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58A9" w14:textId="77777777" w:rsidR="006B0151" w:rsidRDefault="006B0151" w:rsidP="00925C4F">
      <w:pPr>
        <w:spacing w:after="0"/>
        <w:rPr>
          <w:rFonts w:cstheme="minorHAnsi"/>
          <w:sz w:val="24"/>
          <w:szCs w:val="24"/>
        </w:rPr>
      </w:pPr>
    </w:p>
    <w:p w14:paraId="29434754" w14:textId="77777777" w:rsidR="00D94188" w:rsidRDefault="00D94188" w:rsidP="00925C4F">
      <w:pPr>
        <w:spacing w:after="0"/>
        <w:rPr>
          <w:rFonts w:cstheme="minorHAnsi"/>
          <w:sz w:val="24"/>
          <w:szCs w:val="24"/>
        </w:rPr>
      </w:pPr>
    </w:p>
    <w:p w14:paraId="151425C7" w14:textId="77777777" w:rsidR="00D94188" w:rsidRPr="00FB049B" w:rsidRDefault="00D94188" w:rsidP="00D94188">
      <w:pPr>
        <w:spacing w:after="0"/>
        <w:jc w:val="right"/>
        <w:rPr>
          <w:rFonts w:cstheme="minorHAnsi"/>
          <w:sz w:val="24"/>
          <w:szCs w:val="24"/>
        </w:rPr>
      </w:pPr>
      <w:r w:rsidRPr="00FB049B">
        <w:rPr>
          <w:rFonts w:cstheme="minorHAnsi"/>
          <w:sz w:val="24"/>
          <w:szCs w:val="24"/>
        </w:rPr>
        <w:t>5 Φεβρουαρίου 2025</w:t>
      </w:r>
    </w:p>
    <w:p w14:paraId="40FA08FA" w14:textId="77777777" w:rsidR="00D94188" w:rsidRDefault="00D94188" w:rsidP="00D94188">
      <w:pPr>
        <w:spacing w:after="0"/>
        <w:rPr>
          <w:rFonts w:cstheme="minorHAnsi"/>
          <w:sz w:val="24"/>
          <w:szCs w:val="24"/>
        </w:rPr>
      </w:pPr>
    </w:p>
    <w:p w14:paraId="533735D0" w14:textId="77777777" w:rsidR="00FB049B" w:rsidRDefault="00FB049B" w:rsidP="00FB049B">
      <w:pPr>
        <w:tabs>
          <w:tab w:val="left" w:pos="204"/>
        </w:tabs>
        <w:spacing w:line="360" w:lineRule="auto"/>
        <w:rPr>
          <w:rFonts w:ascii="Bookman Old Style" w:hAnsi="Bookman Old Style"/>
          <w:b/>
          <w:sz w:val="28"/>
          <w:szCs w:val="28"/>
          <w:lang w:val="en-US"/>
        </w:rPr>
      </w:pPr>
    </w:p>
    <w:p w14:paraId="081841FC" w14:textId="77777777" w:rsidR="00FB049B" w:rsidRPr="00FB049B" w:rsidRDefault="00FB049B" w:rsidP="00FB049B">
      <w:pPr>
        <w:tabs>
          <w:tab w:val="left" w:pos="204"/>
        </w:tabs>
        <w:spacing w:line="360" w:lineRule="auto"/>
        <w:jc w:val="center"/>
        <w:rPr>
          <w:rFonts w:cstheme="minorHAnsi"/>
          <w:b/>
          <w:sz w:val="24"/>
          <w:szCs w:val="24"/>
        </w:rPr>
      </w:pPr>
      <w:r w:rsidRPr="00FB049B">
        <w:rPr>
          <w:rFonts w:cstheme="minorHAnsi"/>
          <w:b/>
          <w:sz w:val="24"/>
          <w:szCs w:val="24"/>
        </w:rPr>
        <w:t>Διπλασιάζεται το όριο στον υποχρεωτικό εξωδικαστικό μηχανισμό</w:t>
      </w:r>
    </w:p>
    <w:p w14:paraId="25A816B9" w14:textId="77777777" w:rsidR="00FB049B" w:rsidRDefault="00FB049B" w:rsidP="00FB049B">
      <w:pPr>
        <w:tabs>
          <w:tab w:val="left" w:pos="1104"/>
        </w:tabs>
        <w:spacing w:line="360" w:lineRule="auto"/>
        <w:jc w:val="center"/>
        <w:rPr>
          <w:rFonts w:cstheme="minorHAnsi"/>
          <w:i/>
          <w:sz w:val="24"/>
          <w:szCs w:val="24"/>
        </w:rPr>
      </w:pPr>
      <w:r w:rsidRPr="00FB049B">
        <w:rPr>
          <w:rFonts w:cstheme="minorHAnsi"/>
          <w:i/>
          <w:sz w:val="24"/>
          <w:szCs w:val="24"/>
        </w:rPr>
        <w:t>6 νέες πρωτοβουλίες για την περαιτέρω μείωση του ιδιωτικού χρέους</w:t>
      </w:r>
    </w:p>
    <w:p w14:paraId="3C7C7732" w14:textId="77777777" w:rsidR="00FB049B" w:rsidRDefault="00FB049B" w:rsidP="00FB049B">
      <w:pPr>
        <w:tabs>
          <w:tab w:val="left" w:pos="1104"/>
        </w:tabs>
        <w:spacing w:line="360" w:lineRule="auto"/>
        <w:rPr>
          <w:rFonts w:cstheme="minorHAnsi"/>
          <w:i/>
          <w:sz w:val="24"/>
          <w:szCs w:val="24"/>
        </w:rPr>
      </w:pPr>
    </w:p>
    <w:p w14:paraId="0DF597A7" w14:textId="77777777" w:rsidR="00FB049B" w:rsidRPr="00733028" w:rsidRDefault="00FB049B" w:rsidP="00733028">
      <w:pPr>
        <w:tabs>
          <w:tab w:val="left" w:pos="1104"/>
        </w:tabs>
        <w:spacing w:line="360" w:lineRule="auto"/>
        <w:jc w:val="both"/>
        <w:rPr>
          <w:rFonts w:ascii="Calibri" w:hAnsi="Calibri" w:cs="Calibri"/>
          <w:sz w:val="24"/>
          <w:szCs w:val="24"/>
        </w:rPr>
      </w:pPr>
      <w:r w:rsidRPr="00733028">
        <w:rPr>
          <w:rFonts w:ascii="Calibri" w:hAnsi="Calibri" w:cs="Calibri"/>
          <w:sz w:val="24"/>
          <w:szCs w:val="24"/>
        </w:rPr>
        <w:t>Από το Γραφείο Τύπου του Υπουργείου Εθνικής Οικονομίας και Οικονομικών εκδόθηκε η ακόλουθη ανακοίνωση:</w:t>
      </w:r>
    </w:p>
    <w:p w14:paraId="21C79705" w14:textId="77777777" w:rsidR="00FB049B" w:rsidRPr="00733028" w:rsidRDefault="00FB049B" w:rsidP="00733028">
      <w:pPr>
        <w:spacing w:line="360" w:lineRule="auto"/>
        <w:jc w:val="both"/>
        <w:rPr>
          <w:rFonts w:ascii="Calibri" w:hAnsi="Calibri" w:cs="Calibri"/>
          <w:sz w:val="24"/>
          <w:szCs w:val="24"/>
        </w:rPr>
      </w:pPr>
      <w:r w:rsidRPr="00733028">
        <w:rPr>
          <w:rFonts w:ascii="Calibri" w:hAnsi="Calibri" w:cs="Calibri"/>
          <w:sz w:val="24"/>
          <w:szCs w:val="24"/>
        </w:rPr>
        <w:t xml:space="preserve">Διπλασιασμό του ορίου ένταξης στον υποχρεωτικό εξωδικαστικό μηχανισμό προκειμένου να εντάσσονται ευκολότερα ακόμη περισσότεροι οφειλέτες, ενίσχυση της προστασίας του οφειλέτη απέναντι στον κίνδυνο πλειστηριασμού της ακίνητης περιουσίας του και ρυθμίσεις περαιτέρω επιτάχυνσης της μείωσης του ιδιωτικού χρέους, περιλαμβάνονται, μεταξύ άλλων, στις 6 νέες πρωτοβουλίες που παρουσιάστηκαν σήμερα από τον Υπουργό Εθνικής Οικονομίας και Οικονομικών </w:t>
      </w:r>
      <w:r w:rsidRPr="00733028">
        <w:rPr>
          <w:rFonts w:ascii="Calibri" w:hAnsi="Calibri" w:cs="Calibri"/>
          <w:b/>
          <w:sz w:val="24"/>
          <w:szCs w:val="24"/>
        </w:rPr>
        <w:t>Κωστή Χατζηδάκη</w:t>
      </w:r>
      <w:r w:rsidRPr="00733028">
        <w:rPr>
          <w:rFonts w:ascii="Calibri" w:hAnsi="Calibri" w:cs="Calibri"/>
          <w:sz w:val="24"/>
          <w:szCs w:val="24"/>
        </w:rPr>
        <w:t xml:space="preserve"> και την Γενική Γραμματέα Χρηματοπιστωτικού Τομέα και Διαχείρισης Ιδιωτικού Χρέους </w:t>
      </w:r>
      <w:r w:rsidRPr="00733028">
        <w:rPr>
          <w:rFonts w:ascii="Calibri" w:hAnsi="Calibri" w:cs="Calibri"/>
          <w:b/>
          <w:sz w:val="24"/>
          <w:szCs w:val="24"/>
        </w:rPr>
        <w:t xml:space="preserve">Θεώνη </w:t>
      </w:r>
      <w:proofErr w:type="spellStart"/>
      <w:r w:rsidRPr="00733028">
        <w:rPr>
          <w:rFonts w:ascii="Calibri" w:hAnsi="Calibri" w:cs="Calibri"/>
          <w:b/>
          <w:sz w:val="24"/>
          <w:szCs w:val="24"/>
        </w:rPr>
        <w:t>Αλαμπάση</w:t>
      </w:r>
      <w:proofErr w:type="spellEnd"/>
      <w:r w:rsidRPr="00733028">
        <w:rPr>
          <w:rFonts w:ascii="Calibri" w:hAnsi="Calibri" w:cs="Calibri"/>
          <w:sz w:val="24"/>
          <w:szCs w:val="24"/>
        </w:rPr>
        <w:t xml:space="preserve">. Επιπρόσθετα, στις πρωτοβουλίες περιλαμβάνονται και ρυθμίσεις που σχετίζονται με τις αποζημιώσεις ασφάλειας ζωής και που αφορούν και την εκκαθάριση της «ΑΣΠΙΣ ΠΡΟΝΟΙΑ». Παρουσιάστηκαν επίσης στοιχεία σχετικά με την λειτουργία του </w:t>
      </w:r>
      <w:r w:rsidRPr="00733028">
        <w:rPr>
          <w:rFonts w:ascii="Calibri" w:hAnsi="Calibri" w:cs="Calibri"/>
          <w:b/>
          <w:sz w:val="24"/>
          <w:szCs w:val="24"/>
        </w:rPr>
        <w:t>εξωδικαστικού μηχανισμού</w:t>
      </w:r>
      <w:r w:rsidRPr="00733028">
        <w:rPr>
          <w:rFonts w:ascii="Calibri" w:hAnsi="Calibri" w:cs="Calibri"/>
          <w:sz w:val="24"/>
          <w:szCs w:val="24"/>
        </w:rPr>
        <w:t xml:space="preserve"> όπου</w:t>
      </w:r>
      <w:r w:rsidRPr="00733028">
        <w:rPr>
          <w:rFonts w:ascii="Calibri" w:hAnsi="Calibri" w:cs="Calibri"/>
          <w:b/>
          <w:sz w:val="24"/>
          <w:szCs w:val="24"/>
        </w:rPr>
        <w:t xml:space="preserve"> </w:t>
      </w:r>
      <w:r w:rsidRPr="00733028">
        <w:rPr>
          <w:rFonts w:ascii="Calibri" w:hAnsi="Calibri" w:cs="Calibri"/>
          <w:sz w:val="24"/>
          <w:szCs w:val="24"/>
        </w:rPr>
        <w:t>η πρόοδος που έχει σημειωθεί</w:t>
      </w:r>
      <w:r w:rsidR="00AC4BEE">
        <w:rPr>
          <w:rFonts w:ascii="Calibri" w:hAnsi="Calibri" w:cs="Calibri"/>
          <w:sz w:val="24"/>
          <w:szCs w:val="24"/>
        </w:rPr>
        <w:t xml:space="preserve"> ειδικά</w:t>
      </w:r>
      <w:r w:rsidRPr="00733028">
        <w:rPr>
          <w:rFonts w:ascii="Calibri" w:hAnsi="Calibri" w:cs="Calibri"/>
          <w:sz w:val="24"/>
          <w:szCs w:val="24"/>
        </w:rPr>
        <w:t xml:space="preserve"> τους τελευταίους μήνες είναι σημαντική, καθώς ο μέχρι σήμερα συνολικός αριθμός των επιτυχών ρυθμίσεων διαμορφώνεται </w:t>
      </w:r>
      <w:r w:rsidRPr="00733028">
        <w:rPr>
          <w:rFonts w:ascii="Calibri" w:hAnsi="Calibri" w:cs="Calibri"/>
          <w:b/>
          <w:sz w:val="24"/>
          <w:szCs w:val="24"/>
        </w:rPr>
        <w:t>σε 30.515</w:t>
      </w:r>
      <w:r w:rsidRPr="00733028">
        <w:rPr>
          <w:rFonts w:ascii="Calibri" w:hAnsi="Calibri" w:cs="Calibri"/>
          <w:sz w:val="24"/>
          <w:szCs w:val="24"/>
        </w:rPr>
        <w:t xml:space="preserve">, με τη συνολική αξία ρυθμισμένων οφειλών να ανέρχεται πλέον στα </w:t>
      </w:r>
      <w:r w:rsidRPr="00733028">
        <w:rPr>
          <w:rFonts w:ascii="Calibri" w:hAnsi="Calibri" w:cs="Calibri"/>
          <w:b/>
          <w:sz w:val="24"/>
          <w:szCs w:val="24"/>
        </w:rPr>
        <w:t>10,01 δισ</w:t>
      </w:r>
      <w:r w:rsidRPr="00733028">
        <w:rPr>
          <w:rFonts w:ascii="Calibri" w:hAnsi="Calibri" w:cs="Calibri"/>
          <w:sz w:val="24"/>
          <w:szCs w:val="24"/>
        </w:rPr>
        <w:t xml:space="preserve">. </w:t>
      </w:r>
      <w:r w:rsidRPr="00733028">
        <w:rPr>
          <w:rFonts w:ascii="Calibri" w:hAnsi="Calibri" w:cs="Calibri"/>
          <w:b/>
          <w:sz w:val="24"/>
          <w:szCs w:val="24"/>
        </w:rPr>
        <w:t xml:space="preserve">ευρώ. </w:t>
      </w:r>
      <w:r w:rsidRPr="00733028">
        <w:rPr>
          <w:rFonts w:ascii="Calibri" w:hAnsi="Calibri" w:cs="Calibri"/>
          <w:sz w:val="24"/>
          <w:szCs w:val="24"/>
        </w:rPr>
        <w:t xml:space="preserve">Είναι χαρακτηριστικό πως οι ρυθμίσεις στον εξωδικαστικό μηχανισμό μεταξύ 2023 και 2024 αυξήθηκαν κατά </w:t>
      </w:r>
      <w:r w:rsidRPr="00733028">
        <w:rPr>
          <w:rFonts w:ascii="Calibri" w:hAnsi="Calibri" w:cs="Calibri"/>
          <w:b/>
          <w:sz w:val="24"/>
          <w:szCs w:val="24"/>
        </w:rPr>
        <w:t>81%.</w:t>
      </w:r>
    </w:p>
    <w:p w14:paraId="00F95AE2" w14:textId="77777777" w:rsidR="00FB049B" w:rsidRPr="00733028" w:rsidRDefault="00FB049B" w:rsidP="00733028">
      <w:pPr>
        <w:spacing w:line="360" w:lineRule="auto"/>
        <w:jc w:val="both"/>
        <w:rPr>
          <w:rFonts w:ascii="Calibri" w:hAnsi="Calibri" w:cs="Calibri"/>
          <w:sz w:val="24"/>
          <w:szCs w:val="24"/>
        </w:rPr>
      </w:pPr>
      <w:r w:rsidRPr="00733028">
        <w:rPr>
          <w:rFonts w:ascii="Calibri" w:hAnsi="Calibri" w:cs="Calibri"/>
          <w:sz w:val="24"/>
          <w:szCs w:val="24"/>
        </w:rPr>
        <w:t xml:space="preserve"> Ο Υπουργός Εθνικής Οικονομίας και Οικονομικών </w:t>
      </w:r>
      <w:r w:rsidRPr="00733028">
        <w:rPr>
          <w:rFonts w:ascii="Calibri" w:hAnsi="Calibri" w:cs="Calibri"/>
          <w:b/>
          <w:sz w:val="24"/>
          <w:szCs w:val="24"/>
        </w:rPr>
        <w:t>Κωστής Χατζηδάκης</w:t>
      </w:r>
      <w:r w:rsidRPr="00733028">
        <w:rPr>
          <w:rFonts w:ascii="Calibri" w:hAnsi="Calibri" w:cs="Calibri"/>
          <w:sz w:val="24"/>
          <w:szCs w:val="24"/>
        </w:rPr>
        <w:t xml:space="preserve"> δήλωσε:</w:t>
      </w:r>
      <w:r w:rsidR="00AB48A9">
        <w:rPr>
          <w:rFonts w:ascii="Calibri" w:hAnsi="Calibri" w:cs="Calibri"/>
          <w:sz w:val="24"/>
          <w:szCs w:val="24"/>
        </w:rPr>
        <w:t xml:space="preserve"> </w:t>
      </w:r>
      <w:r w:rsidRPr="00733028">
        <w:rPr>
          <w:rFonts w:ascii="Calibri" w:hAnsi="Calibri" w:cs="Calibri"/>
          <w:sz w:val="24"/>
          <w:szCs w:val="24"/>
        </w:rPr>
        <w:t>«</w:t>
      </w:r>
      <w:r w:rsidRPr="00733028">
        <w:rPr>
          <w:rFonts w:ascii="Calibri" w:hAnsi="Calibri" w:cs="Calibri"/>
          <w:i/>
          <w:sz w:val="24"/>
          <w:szCs w:val="24"/>
        </w:rPr>
        <w:t xml:space="preserve">Η πρόοδος που έχει σημειωθεί για τη μείωση του ιδιωτικού χρέους είναι σημαντική! Τα </w:t>
      </w:r>
      <w:r w:rsidRPr="00733028">
        <w:rPr>
          <w:rFonts w:ascii="Calibri" w:hAnsi="Calibri" w:cs="Calibri"/>
          <w:i/>
          <w:sz w:val="24"/>
          <w:szCs w:val="24"/>
        </w:rPr>
        <w:lastRenderedPageBreak/>
        <w:t xml:space="preserve">κόκκινα δάνεια σε τράπεζες και </w:t>
      </w:r>
      <w:proofErr w:type="spellStart"/>
      <w:r w:rsidRPr="00733028">
        <w:rPr>
          <w:rFonts w:ascii="Calibri" w:hAnsi="Calibri" w:cs="Calibri"/>
          <w:i/>
          <w:sz w:val="24"/>
          <w:szCs w:val="24"/>
        </w:rPr>
        <w:t>servicers</w:t>
      </w:r>
      <w:proofErr w:type="spellEnd"/>
      <w:r w:rsidRPr="00733028">
        <w:rPr>
          <w:rFonts w:ascii="Calibri" w:hAnsi="Calibri" w:cs="Calibri"/>
          <w:i/>
          <w:sz w:val="24"/>
          <w:szCs w:val="24"/>
        </w:rPr>
        <w:t xml:space="preserve"> συνολικά μειώθηκαν από 92 δισ. το 2019 στα 67 δισ. το γ’ τρίμηνο του 2024. Σ’ αυτό συνετέλεσαν μια σειρά από νομοθετικές πρωτοβουλίες που βελτίωσαν σημαντικά την λειτουργία του εξωδικαστικού μηχανισμού. Ήδη υπάρχουν περισσότερες από </w:t>
      </w:r>
      <w:r w:rsidRPr="00733028">
        <w:rPr>
          <w:rFonts w:ascii="Calibri" w:hAnsi="Calibri" w:cs="Calibri"/>
          <w:b/>
          <w:i/>
          <w:sz w:val="24"/>
          <w:szCs w:val="24"/>
        </w:rPr>
        <w:t>30.000 επιτυχείς ρυθμίσεις</w:t>
      </w:r>
      <w:r w:rsidRPr="00733028">
        <w:rPr>
          <w:rFonts w:ascii="Calibri" w:hAnsi="Calibri" w:cs="Calibri"/>
          <w:i/>
          <w:sz w:val="24"/>
          <w:szCs w:val="24"/>
        </w:rPr>
        <w:t xml:space="preserve"> με ποσό οφειλών που ξεπερνά τα </w:t>
      </w:r>
      <w:r w:rsidRPr="00733028">
        <w:rPr>
          <w:rFonts w:ascii="Calibri" w:hAnsi="Calibri" w:cs="Calibri"/>
          <w:b/>
          <w:i/>
          <w:sz w:val="24"/>
          <w:szCs w:val="24"/>
        </w:rPr>
        <w:t xml:space="preserve">10 δισ. ευρώ, με τις ρυθμίσεις μεταξύ 2023 και 2024 να έχουν αυξηθεί κατά 81%. </w:t>
      </w:r>
      <w:r w:rsidRPr="00733028">
        <w:rPr>
          <w:rFonts w:ascii="Calibri" w:hAnsi="Calibri" w:cs="Calibri"/>
          <w:i/>
          <w:sz w:val="24"/>
          <w:szCs w:val="24"/>
        </w:rPr>
        <w:t>Παράλληλα οι πρωτοβουλίες αυτές ενίσχυσαν την προστασία των οφειλετών και έδωσαν πολλαπλές επιλογές διευθέτησης των χρεών σε χιλιάδες πολίτες και επιχειρήσεις. Σήμερα παρουσιάσαμε επιπλέον πρωτοβουλίες, όπως ο διπλασιασμός του εισοδηματικού ορίου ένταξης στον υποχρεωτικό εξωδικαστικό μηχανισμό, για να θωρακίσουμε ακόμη περισσότερο τους οφειλέτες και ενισχύοντας περαιτέρω τους τρόπους διευθέτησης των οφειλών για πολίτες και επιχειρήσεις».</w:t>
      </w:r>
    </w:p>
    <w:p w14:paraId="79204F30" w14:textId="77777777" w:rsidR="00FB049B" w:rsidRPr="00733028" w:rsidRDefault="00FB049B" w:rsidP="00733028">
      <w:pPr>
        <w:spacing w:line="360" w:lineRule="auto"/>
        <w:jc w:val="both"/>
        <w:rPr>
          <w:rFonts w:ascii="Calibri" w:hAnsi="Calibri" w:cs="Calibri"/>
          <w:sz w:val="24"/>
          <w:szCs w:val="24"/>
        </w:rPr>
      </w:pPr>
      <w:r w:rsidRPr="00733028">
        <w:rPr>
          <w:rFonts w:ascii="Calibri" w:hAnsi="Calibri" w:cs="Calibri"/>
          <w:sz w:val="24"/>
          <w:szCs w:val="24"/>
          <w:lang w:val="en-US"/>
        </w:rPr>
        <w:t>H</w:t>
      </w:r>
      <w:r w:rsidRPr="00733028">
        <w:rPr>
          <w:rFonts w:ascii="Calibri" w:hAnsi="Calibri" w:cs="Calibri"/>
          <w:sz w:val="24"/>
          <w:szCs w:val="24"/>
        </w:rPr>
        <w:t xml:space="preserve"> Γενική Γραμματέας Χρηματοπιστωτικού Τομέα και Διαχείρισης Ιδιωτικού Χρέους </w:t>
      </w:r>
      <w:r w:rsidRPr="00733028">
        <w:rPr>
          <w:rFonts w:ascii="Calibri" w:hAnsi="Calibri" w:cs="Calibri"/>
          <w:b/>
          <w:sz w:val="24"/>
          <w:szCs w:val="24"/>
        </w:rPr>
        <w:t xml:space="preserve">Θεώνη </w:t>
      </w:r>
      <w:proofErr w:type="spellStart"/>
      <w:r w:rsidRPr="00733028">
        <w:rPr>
          <w:rFonts w:ascii="Calibri" w:hAnsi="Calibri" w:cs="Calibri"/>
          <w:b/>
          <w:sz w:val="24"/>
          <w:szCs w:val="24"/>
        </w:rPr>
        <w:t>Αλαμπάση</w:t>
      </w:r>
      <w:proofErr w:type="spellEnd"/>
      <w:r w:rsidRPr="00733028">
        <w:rPr>
          <w:rFonts w:ascii="Calibri" w:hAnsi="Calibri" w:cs="Calibri"/>
          <w:b/>
          <w:sz w:val="24"/>
          <w:szCs w:val="24"/>
        </w:rPr>
        <w:t xml:space="preserve"> </w:t>
      </w:r>
      <w:r w:rsidRPr="00733028">
        <w:rPr>
          <w:rFonts w:ascii="Calibri" w:hAnsi="Calibri" w:cs="Calibri"/>
          <w:sz w:val="24"/>
          <w:szCs w:val="24"/>
        </w:rPr>
        <w:t>δήλωσε:</w:t>
      </w:r>
      <w:r w:rsidRPr="00733028">
        <w:rPr>
          <w:rFonts w:ascii="Calibri" w:hAnsi="Calibri" w:cs="Calibri"/>
          <w:b/>
          <w:sz w:val="24"/>
          <w:szCs w:val="24"/>
        </w:rPr>
        <w:t xml:space="preserve"> </w:t>
      </w:r>
      <w:r w:rsidRPr="00733028">
        <w:rPr>
          <w:rFonts w:ascii="Calibri" w:hAnsi="Calibri" w:cs="Calibri"/>
          <w:sz w:val="24"/>
          <w:szCs w:val="24"/>
        </w:rPr>
        <w:t>«</w:t>
      </w:r>
      <w:r w:rsidRPr="00733028">
        <w:rPr>
          <w:rFonts w:ascii="Calibri" w:hAnsi="Calibri" w:cs="Calibri"/>
          <w:i/>
          <w:sz w:val="24"/>
          <w:szCs w:val="24"/>
        </w:rPr>
        <w:t>Ο όγκος των ληξιπρόθεσμων οφειλών που βαραίνει την οικονομία από τα χρόνια της κρίσης, μπορούμε πια να πούμε ότι έχει μπει σε τροχιά σοβαρής διαχείρισης, μετά από πολλή, συνεχή και επισταμένη δουλειά. Κρίνοντας από μετρήσιμα αποτελέσματα ο εξωδικαστικός μηχανισμός αποδεικνύεται ένα σημαντικό εργαλείο ευρείας εφαρμογής που δίνει λύσεις σε πλήθος οφειλών και δανειοληπτών και συμβάλλει σημαντικά στην υποχώρηση του ιδιωτικού χρέους. Η στενή παρακολούθηση στην εφαρμογή, αλλά και οι καίριες παρεμβάσεις στις αγκυλώσεις που συναντάμε είναι τα στοιχεία που οδηγούν μια πολιτική να αποδώσει</w:t>
      </w:r>
      <w:r w:rsidRPr="00733028">
        <w:rPr>
          <w:rFonts w:ascii="Calibri" w:hAnsi="Calibri" w:cs="Calibri"/>
          <w:sz w:val="24"/>
          <w:szCs w:val="24"/>
        </w:rPr>
        <w:t>».</w:t>
      </w:r>
    </w:p>
    <w:p w14:paraId="678AE264" w14:textId="77777777" w:rsidR="00FB049B" w:rsidRPr="00733028" w:rsidRDefault="00FB049B" w:rsidP="00733028">
      <w:pPr>
        <w:spacing w:line="360" w:lineRule="auto"/>
        <w:jc w:val="both"/>
        <w:rPr>
          <w:rFonts w:ascii="Calibri" w:hAnsi="Calibri" w:cs="Calibri"/>
          <w:b/>
          <w:sz w:val="24"/>
          <w:szCs w:val="24"/>
        </w:rPr>
      </w:pPr>
      <w:r w:rsidRPr="00733028">
        <w:rPr>
          <w:rFonts w:ascii="Calibri" w:hAnsi="Calibri" w:cs="Calibri"/>
          <w:b/>
          <w:sz w:val="24"/>
          <w:szCs w:val="24"/>
        </w:rPr>
        <w:t>Αναλυτικά, οι 6 πρωτοβουλίες είναι οι εξής:</w:t>
      </w:r>
    </w:p>
    <w:p w14:paraId="561C08BE" w14:textId="77777777" w:rsidR="00FB049B" w:rsidRPr="00733028" w:rsidRDefault="00FB049B" w:rsidP="00733028">
      <w:pPr>
        <w:pStyle w:val="a5"/>
        <w:numPr>
          <w:ilvl w:val="0"/>
          <w:numId w:val="10"/>
        </w:numPr>
        <w:spacing w:after="120" w:line="360" w:lineRule="auto"/>
        <w:ind w:right="-199"/>
        <w:rPr>
          <w:rFonts w:ascii="Calibri" w:hAnsi="Calibri" w:cs="Calibri"/>
          <w:sz w:val="24"/>
          <w:szCs w:val="24"/>
        </w:rPr>
      </w:pPr>
      <w:r w:rsidRPr="00733028">
        <w:rPr>
          <w:rFonts w:ascii="Calibri" w:eastAsiaTheme="majorEastAsia" w:hAnsi="Calibri" w:cs="Calibri"/>
          <w:b/>
          <w:bCs/>
          <w:sz w:val="24"/>
          <w:szCs w:val="24"/>
        </w:rPr>
        <w:t xml:space="preserve">Αύξηση των εισοδηματικών και περιουσιακών ορίων προκειμένου να χαρακτηριστεί ένας οφειλέτης ως επιλέξιμος στο πλαίσιο της υποχρεωτικής αποδοχής του εξωδικαστικού μηχανισμού από τους πιστωτές. </w:t>
      </w:r>
      <w:r w:rsidRPr="00733028">
        <w:rPr>
          <w:rFonts w:ascii="Calibri" w:hAnsi="Calibri" w:cs="Calibri"/>
          <w:sz w:val="24"/>
          <w:szCs w:val="24"/>
        </w:rPr>
        <w:t xml:space="preserve">Με τη ρύθμιση που εισάγεται, </w:t>
      </w:r>
      <w:r w:rsidRPr="00733028">
        <w:rPr>
          <w:rFonts w:ascii="Calibri" w:hAnsi="Calibri" w:cs="Calibri"/>
          <w:b/>
          <w:sz w:val="24"/>
          <w:szCs w:val="24"/>
          <w:u w:val="single"/>
        </w:rPr>
        <w:t>διπλασιάζονται</w:t>
      </w:r>
      <w:r w:rsidRPr="00733028">
        <w:rPr>
          <w:rFonts w:ascii="Calibri" w:hAnsi="Calibri" w:cs="Calibri"/>
          <w:b/>
          <w:sz w:val="24"/>
          <w:szCs w:val="24"/>
        </w:rPr>
        <w:t xml:space="preserve"> </w:t>
      </w:r>
      <w:r w:rsidRPr="00733028">
        <w:rPr>
          <w:rFonts w:ascii="Calibri" w:hAnsi="Calibri" w:cs="Calibri"/>
          <w:sz w:val="24"/>
          <w:szCs w:val="24"/>
        </w:rPr>
        <w:t xml:space="preserve">τα κριτήρια για το χαρακτηρισμό δανειολήπτη </w:t>
      </w:r>
      <w:r w:rsidRPr="00733028">
        <w:rPr>
          <w:rFonts w:ascii="Calibri" w:hAnsi="Calibri" w:cs="Calibri"/>
          <w:b/>
          <w:sz w:val="24"/>
          <w:szCs w:val="24"/>
        </w:rPr>
        <w:t>ως επιλέξιμου</w:t>
      </w:r>
      <w:r w:rsidRPr="00733028">
        <w:rPr>
          <w:rFonts w:ascii="Calibri" w:hAnsi="Calibri" w:cs="Calibri"/>
          <w:sz w:val="24"/>
          <w:szCs w:val="24"/>
        </w:rPr>
        <w:t xml:space="preserve"> προκειμένου να καταστεί υποχρεωτική η συναίνεση του συνόλου των πιστωτών για ένταξη του οφειλέτη στον εξωδικαστικό μηχανισμό. Ο διπλασιασμός των ορίων αυτών έχει ως προϋπόθεση ο οφειλέτης να έχει </w:t>
      </w:r>
      <w:r w:rsidRPr="00733028">
        <w:rPr>
          <w:rFonts w:ascii="Calibri" w:hAnsi="Calibri" w:cs="Calibri"/>
          <w:sz w:val="24"/>
          <w:szCs w:val="24"/>
        </w:rPr>
        <w:lastRenderedPageBreak/>
        <w:t xml:space="preserve">ανώτατο όριο ήδη μη εξυπηρετούμενων τραπεζικών οφειλών (δηλαδή σε τράπεζες ή </w:t>
      </w:r>
      <w:proofErr w:type="spellStart"/>
      <w:r w:rsidRPr="00733028">
        <w:rPr>
          <w:rFonts w:ascii="Calibri" w:hAnsi="Calibri" w:cs="Calibri"/>
          <w:sz w:val="24"/>
          <w:szCs w:val="24"/>
        </w:rPr>
        <w:t>servicers</w:t>
      </w:r>
      <w:proofErr w:type="spellEnd"/>
      <w:r w:rsidRPr="00733028">
        <w:rPr>
          <w:rFonts w:ascii="Calibri" w:hAnsi="Calibri" w:cs="Calibri"/>
          <w:sz w:val="24"/>
          <w:szCs w:val="24"/>
        </w:rPr>
        <w:t xml:space="preserve">) τις </w:t>
      </w:r>
      <w:r w:rsidRPr="00733028">
        <w:rPr>
          <w:rFonts w:ascii="Calibri" w:hAnsi="Calibri" w:cs="Calibri"/>
          <w:b/>
          <w:sz w:val="24"/>
          <w:szCs w:val="24"/>
        </w:rPr>
        <w:t>300.000 ευρώ</w:t>
      </w:r>
      <w:r w:rsidRPr="00733028">
        <w:rPr>
          <w:rFonts w:ascii="Calibri" w:hAnsi="Calibri" w:cs="Calibri"/>
          <w:sz w:val="24"/>
          <w:szCs w:val="24"/>
        </w:rPr>
        <w:t>.</w:t>
      </w:r>
    </w:p>
    <w:p w14:paraId="0C8848E1" w14:textId="77777777" w:rsidR="00FB049B" w:rsidRPr="00733028" w:rsidRDefault="00FB049B" w:rsidP="00733028">
      <w:pPr>
        <w:spacing w:after="120" w:line="360" w:lineRule="auto"/>
        <w:ind w:left="360" w:right="-199"/>
        <w:jc w:val="both"/>
        <w:rPr>
          <w:rFonts w:ascii="Calibri" w:hAnsi="Calibri" w:cs="Calibri"/>
          <w:sz w:val="24"/>
          <w:szCs w:val="24"/>
        </w:rPr>
      </w:pPr>
      <w:r w:rsidRPr="00733028">
        <w:rPr>
          <w:rFonts w:ascii="Calibri" w:hAnsi="Calibri" w:cs="Calibri"/>
          <w:sz w:val="24"/>
          <w:szCs w:val="24"/>
        </w:rPr>
        <w:t>Τα νέα όρια ορίζονται ως εξής:</w:t>
      </w:r>
    </w:p>
    <w:p w14:paraId="636089C5" w14:textId="77777777" w:rsidR="00FB049B" w:rsidRPr="00733028" w:rsidRDefault="00FB049B" w:rsidP="00733028">
      <w:pPr>
        <w:spacing w:line="360" w:lineRule="auto"/>
        <w:ind w:right="-199"/>
        <w:jc w:val="both"/>
        <w:rPr>
          <w:rFonts w:ascii="Calibri" w:hAnsi="Calibri" w:cs="Calibri"/>
          <w:sz w:val="24"/>
          <w:szCs w:val="24"/>
        </w:rPr>
      </w:pPr>
    </w:p>
    <w:p w14:paraId="099246F3" w14:textId="77777777" w:rsidR="00FB049B" w:rsidRPr="00733028" w:rsidRDefault="00FB049B" w:rsidP="00733028">
      <w:pPr>
        <w:spacing w:line="360" w:lineRule="auto"/>
        <w:jc w:val="both"/>
        <w:rPr>
          <w:rFonts w:ascii="Calibri" w:hAnsi="Calibri" w:cs="Calibri"/>
          <w:b/>
          <w:sz w:val="24"/>
          <w:szCs w:val="24"/>
          <w:u w:val="single"/>
        </w:rPr>
      </w:pPr>
      <w:r w:rsidRPr="00733028">
        <w:rPr>
          <w:rFonts w:ascii="Calibri" w:hAnsi="Calibri" w:cs="Calibri"/>
          <w:b/>
          <w:sz w:val="24"/>
          <w:szCs w:val="24"/>
          <w:u w:val="single"/>
        </w:rPr>
        <w:t>Α) Όρια Εισοδήματος:</w:t>
      </w:r>
    </w:p>
    <w:tbl>
      <w:tblPr>
        <w:tblStyle w:val="a8"/>
        <w:tblW w:w="9640" w:type="dxa"/>
        <w:tblInd w:w="-714" w:type="dxa"/>
        <w:tblLook w:val="04A0" w:firstRow="1" w:lastRow="0" w:firstColumn="1" w:lastColumn="0" w:noHBand="0" w:noVBand="1"/>
      </w:tblPr>
      <w:tblGrid>
        <w:gridCol w:w="4066"/>
        <w:gridCol w:w="3306"/>
        <w:gridCol w:w="2268"/>
      </w:tblGrid>
      <w:tr w:rsidR="00FB049B" w:rsidRPr="00733028" w14:paraId="2DEDB4B6" w14:textId="77777777" w:rsidTr="00463951">
        <w:tc>
          <w:tcPr>
            <w:tcW w:w="4066" w:type="dxa"/>
            <w:tcBorders>
              <w:top w:val="single" w:sz="4" w:space="0" w:color="auto"/>
              <w:left w:val="single" w:sz="4" w:space="0" w:color="auto"/>
              <w:bottom w:val="single" w:sz="4" w:space="0" w:color="auto"/>
              <w:right w:val="single" w:sz="4" w:space="0" w:color="auto"/>
            </w:tcBorders>
          </w:tcPr>
          <w:p w14:paraId="4BB89FD5"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bookmarkStart w:id="0" w:name="_Hlk185592636"/>
            <w:r w:rsidRPr="00733028">
              <w:rPr>
                <w:rFonts w:ascii="Calibri" w:eastAsia="SimSun" w:hAnsi="Calibri" w:cs="Calibri"/>
                <w:b/>
                <w:bCs/>
                <w:iCs/>
                <w:kern w:val="0"/>
                <w:sz w:val="24"/>
                <w:szCs w:val="24"/>
                <w:lang w:eastAsia="zh-CN"/>
              </w:rPr>
              <w:t xml:space="preserve">Σύνθεση Νοικοκυριού </w:t>
            </w:r>
          </w:p>
        </w:tc>
        <w:tc>
          <w:tcPr>
            <w:tcW w:w="3306" w:type="dxa"/>
            <w:tcBorders>
              <w:top w:val="single" w:sz="4" w:space="0" w:color="auto"/>
              <w:left w:val="single" w:sz="4" w:space="0" w:color="auto"/>
              <w:bottom w:val="single" w:sz="4" w:space="0" w:color="auto"/>
              <w:right w:val="single" w:sz="4" w:space="0" w:color="auto"/>
            </w:tcBorders>
          </w:tcPr>
          <w:p w14:paraId="04D89A21" w14:textId="77777777" w:rsidR="00FB049B" w:rsidRPr="00733028" w:rsidRDefault="00FB049B" w:rsidP="00733028">
            <w:pPr>
              <w:tabs>
                <w:tab w:val="left" w:pos="8364"/>
              </w:tabs>
              <w:suppressAutoHyphens/>
              <w:spacing w:line="360" w:lineRule="auto"/>
              <w:jc w:val="both"/>
              <w:rPr>
                <w:rFonts w:ascii="Calibri" w:eastAsia="SimSun" w:hAnsi="Calibri" w:cs="Calibri"/>
                <w:b/>
                <w:bCs/>
                <w:iCs/>
                <w:sz w:val="24"/>
                <w:szCs w:val="24"/>
                <w:lang w:eastAsia="zh-CN"/>
              </w:rPr>
            </w:pPr>
            <w:r w:rsidRPr="00733028">
              <w:rPr>
                <w:rFonts w:ascii="Calibri" w:eastAsia="SimSun" w:hAnsi="Calibri" w:cs="Calibri"/>
                <w:b/>
                <w:bCs/>
                <w:iCs/>
                <w:sz w:val="24"/>
                <w:szCs w:val="24"/>
                <w:lang w:eastAsia="zh-CN"/>
              </w:rPr>
              <w:t xml:space="preserve">Όρια με το ισχύον καθεστώς </w:t>
            </w:r>
            <w:proofErr w:type="spellStart"/>
            <w:r w:rsidRPr="00733028">
              <w:rPr>
                <w:rFonts w:ascii="Calibri" w:eastAsia="SimSun" w:hAnsi="Calibri" w:cs="Calibri"/>
                <w:b/>
                <w:bCs/>
                <w:iCs/>
                <w:sz w:val="24"/>
                <w:szCs w:val="24"/>
                <w:lang w:eastAsia="zh-CN"/>
              </w:rPr>
              <w:t>ευαλωτότητας</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49D9F1C"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Νέο Όριο</w:t>
            </w:r>
          </w:p>
        </w:tc>
      </w:tr>
      <w:tr w:rsidR="00FB049B" w:rsidRPr="00733028" w14:paraId="611D3AA1"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133A8528"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Μονοπρόσωπο νοικοκυριό</w:t>
            </w:r>
          </w:p>
        </w:tc>
        <w:tc>
          <w:tcPr>
            <w:tcW w:w="3306" w:type="dxa"/>
            <w:tcBorders>
              <w:top w:val="single" w:sz="4" w:space="0" w:color="auto"/>
              <w:left w:val="single" w:sz="4" w:space="0" w:color="auto"/>
              <w:bottom w:val="single" w:sz="4" w:space="0" w:color="auto"/>
              <w:right w:val="single" w:sz="4" w:space="0" w:color="auto"/>
            </w:tcBorders>
          </w:tcPr>
          <w:p w14:paraId="47131D9B"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sz w:val="24"/>
                <w:szCs w:val="24"/>
                <w:lang w:eastAsia="zh-CN"/>
              </w:rPr>
              <w:t>7.000 ευρώ</w:t>
            </w:r>
          </w:p>
        </w:tc>
        <w:tc>
          <w:tcPr>
            <w:tcW w:w="2268" w:type="dxa"/>
            <w:tcBorders>
              <w:top w:val="single" w:sz="4" w:space="0" w:color="auto"/>
              <w:left w:val="single" w:sz="4" w:space="0" w:color="auto"/>
              <w:bottom w:val="single" w:sz="4" w:space="0" w:color="auto"/>
              <w:right w:val="single" w:sz="4" w:space="0" w:color="auto"/>
            </w:tcBorders>
            <w:hideMark/>
          </w:tcPr>
          <w:p w14:paraId="4363A77D"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14.000 ευρώ </w:t>
            </w:r>
          </w:p>
        </w:tc>
      </w:tr>
      <w:tr w:rsidR="00FB049B" w:rsidRPr="00733028" w14:paraId="64F06A45"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395F129F"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δύο μέλη</w:t>
            </w:r>
          </w:p>
        </w:tc>
        <w:tc>
          <w:tcPr>
            <w:tcW w:w="3306" w:type="dxa"/>
            <w:tcBorders>
              <w:top w:val="single" w:sz="4" w:space="0" w:color="auto"/>
              <w:left w:val="single" w:sz="4" w:space="0" w:color="auto"/>
              <w:bottom w:val="single" w:sz="4" w:space="0" w:color="auto"/>
              <w:right w:val="single" w:sz="4" w:space="0" w:color="auto"/>
            </w:tcBorders>
          </w:tcPr>
          <w:p w14:paraId="0F5A3954"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sz w:val="24"/>
                <w:szCs w:val="24"/>
                <w:lang w:eastAsia="zh-CN"/>
              </w:rPr>
              <w:t>10.500 ευρώ</w:t>
            </w:r>
          </w:p>
        </w:tc>
        <w:tc>
          <w:tcPr>
            <w:tcW w:w="2268" w:type="dxa"/>
            <w:tcBorders>
              <w:top w:val="single" w:sz="4" w:space="0" w:color="auto"/>
              <w:left w:val="single" w:sz="4" w:space="0" w:color="auto"/>
              <w:bottom w:val="single" w:sz="4" w:space="0" w:color="auto"/>
              <w:right w:val="single" w:sz="4" w:space="0" w:color="auto"/>
            </w:tcBorders>
            <w:hideMark/>
          </w:tcPr>
          <w:p w14:paraId="1355FDA5"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21.000 ευρώ </w:t>
            </w:r>
          </w:p>
        </w:tc>
      </w:tr>
      <w:tr w:rsidR="00FB049B" w:rsidRPr="00733028" w14:paraId="22B49995"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7629D645"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τρία μέλη ή μονογονεϊκή οικογένεια με ένα ανήλικο μέλος</w:t>
            </w:r>
          </w:p>
        </w:tc>
        <w:tc>
          <w:tcPr>
            <w:tcW w:w="3306" w:type="dxa"/>
            <w:tcBorders>
              <w:top w:val="single" w:sz="4" w:space="0" w:color="auto"/>
              <w:left w:val="single" w:sz="4" w:space="0" w:color="auto"/>
              <w:bottom w:val="single" w:sz="4" w:space="0" w:color="auto"/>
              <w:right w:val="single" w:sz="4" w:space="0" w:color="auto"/>
            </w:tcBorders>
          </w:tcPr>
          <w:p w14:paraId="3E0E02E9"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14.000 ευρώ</w:t>
            </w:r>
          </w:p>
        </w:tc>
        <w:tc>
          <w:tcPr>
            <w:tcW w:w="2268" w:type="dxa"/>
            <w:tcBorders>
              <w:top w:val="single" w:sz="4" w:space="0" w:color="auto"/>
              <w:left w:val="single" w:sz="4" w:space="0" w:color="auto"/>
              <w:bottom w:val="single" w:sz="4" w:space="0" w:color="auto"/>
              <w:right w:val="single" w:sz="4" w:space="0" w:color="auto"/>
            </w:tcBorders>
            <w:hideMark/>
          </w:tcPr>
          <w:p w14:paraId="3A928993"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28.000 ευρώ</w:t>
            </w:r>
          </w:p>
        </w:tc>
      </w:tr>
      <w:tr w:rsidR="00FB049B" w:rsidRPr="00733028" w14:paraId="7B44CBF4"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0574A00E"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τέσσερα ή μονογονεϊκή οικογένεια με δύο ανήλικα μέλη</w:t>
            </w:r>
          </w:p>
        </w:tc>
        <w:tc>
          <w:tcPr>
            <w:tcW w:w="3306" w:type="dxa"/>
            <w:tcBorders>
              <w:top w:val="single" w:sz="4" w:space="0" w:color="auto"/>
              <w:left w:val="single" w:sz="4" w:space="0" w:color="auto"/>
              <w:bottom w:val="single" w:sz="4" w:space="0" w:color="auto"/>
              <w:right w:val="single" w:sz="4" w:space="0" w:color="auto"/>
            </w:tcBorders>
          </w:tcPr>
          <w:p w14:paraId="662CF208"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17.500 ευρώ</w:t>
            </w:r>
          </w:p>
        </w:tc>
        <w:tc>
          <w:tcPr>
            <w:tcW w:w="2268" w:type="dxa"/>
            <w:tcBorders>
              <w:top w:val="single" w:sz="4" w:space="0" w:color="auto"/>
              <w:left w:val="single" w:sz="4" w:space="0" w:color="auto"/>
              <w:bottom w:val="single" w:sz="4" w:space="0" w:color="auto"/>
              <w:right w:val="single" w:sz="4" w:space="0" w:color="auto"/>
            </w:tcBorders>
            <w:hideMark/>
          </w:tcPr>
          <w:p w14:paraId="654DF88B"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35.000 ευρώ</w:t>
            </w:r>
          </w:p>
        </w:tc>
      </w:tr>
      <w:tr w:rsidR="00FB049B" w:rsidRPr="00733028" w14:paraId="546C5779"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19513938"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πέντε μέλη και πάνω ή μονογονεϊκή οικογένεια με τρία ανήλικα μέλη και πάνω</w:t>
            </w:r>
          </w:p>
        </w:tc>
        <w:tc>
          <w:tcPr>
            <w:tcW w:w="3306" w:type="dxa"/>
            <w:tcBorders>
              <w:top w:val="single" w:sz="4" w:space="0" w:color="auto"/>
              <w:left w:val="single" w:sz="4" w:space="0" w:color="auto"/>
              <w:bottom w:val="single" w:sz="4" w:space="0" w:color="auto"/>
              <w:right w:val="single" w:sz="4" w:space="0" w:color="auto"/>
            </w:tcBorders>
          </w:tcPr>
          <w:p w14:paraId="5C0CCA45"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21.000 ευρώ</w:t>
            </w:r>
          </w:p>
        </w:tc>
        <w:tc>
          <w:tcPr>
            <w:tcW w:w="2268" w:type="dxa"/>
            <w:tcBorders>
              <w:top w:val="single" w:sz="4" w:space="0" w:color="auto"/>
              <w:left w:val="single" w:sz="4" w:space="0" w:color="auto"/>
              <w:bottom w:val="single" w:sz="4" w:space="0" w:color="auto"/>
              <w:right w:val="single" w:sz="4" w:space="0" w:color="auto"/>
            </w:tcBorders>
            <w:hideMark/>
          </w:tcPr>
          <w:p w14:paraId="71B8AA5B"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42.000 ευρώ</w:t>
            </w:r>
          </w:p>
        </w:tc>
      </w:tr>
      <w:bookmarkEnd w:id="0"/>
    </w:tbl>
    <w:p w14:paraId="5B64A4E2" w14:textId="77777777" w:rsidR="00FB049B" w:rsidRPr="00733028" w:rsidRDefault="00FB049B" w:rsidP="00733028">
      <w:pPr>
        <w:tabs>
          <w:tab w:val="left" w:pos="8364"/>
        </w:tabs>
        <w:suppressAutoHyphens/>
        <w:spacing w:after="0" w:line="360" w:lineRule="auto"/>
        <w:jc w:val="both"/>
        <w:rPr>
          <w:rFonts w:ascii="Calibri" w:eastAsia="SimSun" w:hAnsi="Calibri" w:cs="Calibri"/>
          <w:b/>
          <w:bCs/>
          <w:iCs/>
          <w:sz w:val="24"/>
          <w:szCs w:val="24"/>
          <w:u w:val="single"/>
          <w:lang w:eastAsia="zh-CN"/>
        </w:rPr>
      </w:pPr>
    </w:p>
    <w:p w14:paraId="3F164978" w14:textId="77777777" w:rsidR="00FB049B" w:rsidRPr="00733028" w:rsidRDefault="00FB049B" w:rsidP="00733028">
      <w:pPr>
        <w:tabs>
          <w:tab w:val="left" w:pos="8364"/>
        </w:tabs>
        <w:suppressAutoHyphens/>
        <w:spacing w:after="0" w:line="360" w:lineRule="auto"/>
        <w:jc w:val="both"/>
        <w:rPr>
          <w:rFonts w:ascii="Calibri" w:eastAsia="SimSun" w:hAnsi="Calibri" w:cs="Calibri"/>
          <w:b/>
          <w:bCs/>
          <w:iCs/>
          <w:sz w:val="24"/>
          <w:szCs w:val="24"/>
          <w:lang w:eastAsia="zh-CN"/>
        </w:rPr>
      </w:pPr>
      <w:r w:rsidRPr="00733028">
        <w:rPr>
          <w:rFonts w:ascii="Calibri" w:eastAsia="SimSun" w:hAnsi="Calibri" w:cs="Calibri"/>
          <w:b/>
          <w:bCs/>
          <w:iCs/>
          <w:sz w:val="24"/>
          <w:szCs w:val="24"/>
          <w:u w:val="single"/>
          <w:lang w:eastAsia="zh-CN"/>
        </w:rPr>
        <w:t>Β) Όρια Περιουσίας</w:t>
      </w:r>
      <w:r w:rsidRPr="00733028">
        <w:rPr>
          <w:rFonts w:ascii="Calibri" w:eastAsia="SimSun" w:hAnsi="Calibri" w:cs="Calibri"/>
          <w:b/>
          <w:bCs/>
          <w:iCs/>
          <w:sz w:val="24"/>
          <w:szCs w:val="24"/>
          <w:lang w:eastAsia="zh-CN"/>
        </w:rPr>
        <w:t>:</w:t>
      </w:r>
    </w:p>
    <w:tbl>
      <w:tblPr>
        <w:tblStyle w:val="a8"/>
        <w:tblW w:w="9640" w:type="dxa"/>
        <w:tblInd w:w="-714" w:type="dxa"/>
        <w:tblLook w:val="04A0" w:firstRow="1" w:lastRow="0" w:firstColumn="1" w:lastColumn="0" w:noHBand="0" w:noVBand="1"/>
      </w:tblPr>
      <w:tblGrid>
        <w:gridCol w:w="4066"/>
        <w:gridCol w:w="3306"/>
        <w:gridCol w:w="2268"/>
      </w:tblGrid>
      <w:tr w:rsidR="00FB049B" w:rsidRPr="00733028" w14:paraId="1E677F27" w14:textId="77777777" w:rsidTr="00463951">
        <w:tc>
          <w:tcPr>
            <w:tcW w:w="4066" w:type="dxa"/>
            <w:tcBorders>
              <w:top w:val="single" w:sz="4" w:space="0" w:color="auto"/>
              <w:left w:val="single" w:sz="4" w:space="0" w:color="auto"/>
              <w:bottom w:val="single" w:sz="4" w:space="0" w:color="auto"/>
              <w:right w:val="single" w:sz="4" w:space="0" w:color="auto"/>
            </w:tcBorders>
          </w:tcPr>
          <w:p w14:paraId="550D527D"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 xml:space="preserve">Σύνθεση Νοικοκυριού </w:t>
            </w:r>
          </w:p>
          <w:p w14:paraId="7B2273B4"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p>
        </w:tc>
        <w:tc>
          <w:tcPr>
            <w:tcW w:w="3306" w:type="dxa"/>
            <w:tcBorders>
              <w:top w:val="single" w:sz="4" w:space="0" w:color="auto"/>
              <w:left w:val="single" w:sz="4" w:space="0" w:color="auto"/>
              <w:bottom w:val="single" w:sz="4" w:space="0" w:color="auto"/>
              <w:right w:val="single" w:sz="4" w:space="0" w:color="auto"/>
            </w:tcBorders>
          </w:tcPr>
          <w:p w14:paraId="73BDA89D" w14:textId="77777777" w:rsidR="00FB049B" w:rsidRPr="00733028" w:rsidRDefault="00FB049B" w:rsidP="00733028">
            <w:pPr>
              <w:tabs>
                <w:tab w:val="left" w:pos="8364"/>
              </w:tabs>
              <w:suppressAutoHyphens/>
              <w:spacing w:line="360" w:lineRule="auto"/>
              <w:jc w:val="both"/>
              <w:rPr>
                <w:rFonts w:ascii="Calibri" w:eastAsia="SimSun" w:hAnsi="Calibri" w:cs="Calibri"/>
                <w:b/>
                <w:bCs/>
                <w:iCs/>
                <w:sz w:val="24"/>
                <w:szCs w:val="24"/>
                <w:lang w:eastAsia="zh-CN"/>
              </w:rPr>
            </w:pPr>
            <w:r w:rsidRPr="00733028">
              <w:rPr>
                <w:rFonts w:ascii="Calibri" w:eastAsia="SimSun" w:hAnsi="Calibri" w:cs="Calibri"/>
                <w:b/>
                <w:bCs/>
                <w:iCs/>
                <w:sz w:val="24"/>
                <w:szCs w:val="24"/>
                <w:lang w:eastAsia="zh-CN"/>
              </w:rPr>
              <w:t xml:space="preserve">Όρια με το ισχύον καθεστώς </w:t>
            </w:r>
            <w:proofErr w:type="spellStart"/>
            <w:r w:rsidRPr="00733028">
              <w:rPr>
                <w:rFonts w:ascii="Calibri" w:eastAsia="SimSun" w:hAnsi="Calibri" w:cs="Calibri"/>
                <w:b/>
                <w:bCs/>
                <w:iCs/>
                <w:sz w:val="24"/>
                <w:szCs w:val="24"/>
                <w:lang w:eastAsia="zh-CN"/>
              </w:rPr>
              <w:t>ευαλωτότητας</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DFA8259"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Νέο Όριο</w:t>
            </w:r>
          </w:p>
        </w:tc>
      </w:tr>
      <w:tr w:rsidR="00FB049B" w:rsidRPr="00733028" w14:paraId="49E53FF0"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0385C773"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Μονοπρόσωπο νοικοκυριό</w:t>
            </w:r>
          </w:p>
        </w:tc>
        <w:tc>
          <w:tcPr>
            <w:tcW w:w="3306" w:type="dxa"/>
            <w:tcBorders>
              <w:top w:val="single" w:sz="4" w:space="0" w:color="auto"/>
              <w:left w:val="single" w:sz="4" w:space="0" w:color="auto"/>
              <w:bottom w:val="single" w:sz="4" w:space="0" w:color="auto"/>
              <w:right w:val="single" w:sz="4" w:space="0" w:color="auto"/>
            </w:tcBorders>
          </w:tcPr>
          <w:p w14:paraId="3E4136CF"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sz w:val="24"/>
                <w:szCs w:val="24"/>
                <w:lang w:eastAsia="zh-CN"/>
              </w:rPr>
              <w:t>120.000 ευρώ</w:t>
            </w:r>
          </w:p>
        </w:tc>
        <w:tc>
          <w:tcPr>
            <w:tcW w:w="2268" w:type="dxa"/>
            <w:tcBorders>
              <w:top w:val="single" w:sz="4" w:space="0" w:color="auto"/>
              <w:left w:val="single" w:sz="4" w:space="0" w:color="auto"/>
              <w:bottom w:val="single" w:sz="4" w:space="0" w:color="auto"/>
              <w:right w:val="single" w:sz="4" w:space="0" w:color="auto"/>
            </w:tcBorders>
            <w:hideMark/>
          </w:tcPr>
          <w:p w14:paraId="66E0673B"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240.000 ευρώ </w:t>
            </w:r>
          </w:p>
        </w:tc>
      </w:tr>
      <w:tr w:rsidR="00FB049B" w:rsidRPr="00733028" w14:paraId="3193E15D"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7AD2BD8A"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δύο μέλη</w:t>
            </w:r>
          </w:p>
        </w:tc>
        <w:tc>
          <w:tcPr>
            <w:tcW w:w="3306" w:type="dxa"/>
            <w:tcBorders>
              <w:top w:val="single" w:sz="4" w:space="0" w:color="auto"/>
              <w:left w:val="single" w:sz="4" w:space="0" w:color="auto"/>
              <w:bottom w:val="single" w:sz="4" w:space="0" w:color="auto"/>
              <w:right w:val="single" w:sz="4" w:space="0" w:color="auto"/>
            </w:tcBorders>
          </w:tcPr>
          <w:p w14:paraId="01BE51CB"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sz w:val="24"/>
                <w:szCs w:val="24"/>
                <w:lang w:eastAsia="zh-CN"/>
              </w:rPr>
              <w:t>135.000 ευρώ</w:t>
            </w:r>
          </w:p>
        </w:tc>
        <w:tc>
          <w:tcPr>
            <w:tcW w:w="2268" w:type="dxa"/>
            <w:tcBorders>
              <w:top w:val="single" w:sz="4" w:space="0" w:color="auto"/>
              <w:left w:val="single" w:sz="4" w:space="0" w:color="auto"/>
              <w:bottom w:val="single" w:sz="4" w:space="0" w:color="auto"/>
              <w:right w:val="single" w:sz="4" w:space="0" w:color="auto"/>
            </w:tcBorders>
            <w:hideMark/>
          </w:tcPr>
          <w:p w14:paraId="7D54998E"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270.000 ευρώ </w:t>
            </w:r>
          </w:p>
        </w:tc>
      </w:tr>
      <w:tr w:rsidR="00FB049B" w:rsidRPr="00733028" w14:paraId="1244A593"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1139723F"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τρία μέλη ή μονογονεϊκή οικογένεια με ένα ανήλικο μέλος</w:t>
            </w:r>
          </w:p>
        </w:tc>
        <w:tc>
          <w:tcPr>
            <w:tcW w:w="3306" w:type="dxa"/>
            <w:tcBorders>
              <w:top w:val="single" w:sz="4" w:space="0" w:color="auto"/>
              <w:left w:val="single" w:sz="4" w:space="0" w:color="auto"/>
              <w:bottom w:val="single" w:sz="4" w:space="0" w:color="auto"/>
              <w:right w:val="single" w:sz="4" w:space="0" w:color="auto"/>
            </w:tcBorders>
          </w:tcPr>
          <w:p w14:paraId="63E09CF9"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150.000 ευρώ</w:t>
            </w:r>
          </w:p>
        </w:tc>
        <w:tc>
          <w:tcPr>
            <w:tcW w:w="2268" w:type="dxa"/>
            <w:tcBorders>
              <w:top w:val="single" w:sz="4" w:space="0" w:color="auto"/>
              <w:left w:val="single" w:sz="4" w:space="0" w:color="auto"/>
              <w:bottom w:val="single" w:sz="4" w:space="0" w:color="auto"/>
              <w:right w:val="single" w:sz="4" w:space="0" w:color="auto"/>
            </w:tcBorders>
            <w:hideMark/>
          </w:tcPr>
          <w:p w14:paraId="3AF2DE3D"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300.000 ευρώ</w:t>
            </w:r>
          </w:p>
        </w:tc>
      </w:tr>
      <w:tr w:rsidR="00FB049B" w:rsidRPr="00733028" w14:paraId="33919D30"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6E90C2F4"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lastRenderedPageBreak/>
              <w:t>Νοικοκυριό αποτελούμενο από τέσσερα ή μονογονεϊκή οικογένεια με δύο ανήλικα μέλη</w:t>
            </w:r>
          </w:p>
        </w:tc>
        <w:tc>
          <w:tcPr>
            <w:tcW w:w="3306" w:type="dxa"/>
            <w:tcBorders>
              <w:top w:val="single" w:sz="4" w:space="0" w:color="auto"/>
              <w:left w:val="single" w:sz="4" w:space="0" w:color="auto"/>
              <w:bottom w:val="single" w:sz="4" w:space="0" w:color="auto"/>
              <w:right w:val="single" w:sz="4" w:space="0" w:color="auto"/>
            </w:tcBorders>
          </w:tcPr>
          <w:p w14:paraId="42940094"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165.000 ευρώ</w:t>
            </w:r>
          </w:p>
        </w:tc>
        <w:tc>
          <w:tcPr>
            <w:tcW w:w="2268" w:type="dxa"/>
            <w:tcBorders>
              <w:top w:val="single" w:sz="4" w:space="0" w:color="auto"/>
              <w:left w:val="single" w:sz="4" w:space="0" w:color="auto"/>
              <w:bottom w:val="single" w:sz="4" w:space="0" w:color="auto"/>
              <w:right w:val="single" w:sz="4" w:space="0" w:color="auto"/>
            </w:tcBorders>
            <w:hideMark/>
          </w:tcPr>
          <w:p w14:paraId="42E70402"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330.000 ευρώ</w:t>
            </w:r>
          </w:p>
        </w:tc>
      </w:tr>
      <w:tr w:rsidR="00FB049B" w:rsidRPr="00733028" w14:paraId="6A0147FD"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744819D1"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πέντε μέλη και πάνω ή μονογονεϊκή οικογένεια με τρία ανήλικα μέλη και πάνω</w:t>
            </w:r>
          </w:p>
        </w:tc>
        <w:tc>
          <w:tcPr>
            <w:tcW w:w="3306" w:type="dxa"/>
            <w:tcBorders>
              <w:top w:val="single" w:sz="4" w:space="0" w:color="auto"/>
              <w:left w:val="single" w:sz="4" w:space="0" w:color="auto"/>
              <w:bottom w:val="single" w:sz="4" w:space="0" w:color="auto"/>
              <w:right w:val="single" w:sz="4" w:space="0" w:color="auto"/>
            </w:tcBorders>
          </w:tcPr>
          <w:p w14:paraId="0D136FE6"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180.000 ευρώ</w:t>
            </w:r>
          </w:p>
        </w:tc>
        <w:tc>
          <w:tcPr>
            <w:tcW w:w="2268" w:type="dxa"/>
            <w:tcBorders>
              <w:top w:val="single" w:sz="4" w:space="0" w:color="auto"/>
              <w:left w:val="single" w:sz="4" w:space="0" w:color="auto"/>
              <w:bottom w:val="single" w:sz="4" w:space="0" w:color="auto"/>
              <w:right w:val="single" w:sz="4" w:space="0" w:color="auto"/>
            </w:tcBorders>
            <w:hideMark/>
          </w:tcPr>
          <w:p w14:paraId="3DB87F88"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360.000 ευρώ</w:t>
            </w:r>
          </w:p>
        </w:tc>
      </w:tr>
    </w:tbl>
    <w:p w14:paraId="4E33AEF8" w14:textId="77777777" w:rsidR="00FB049B" w:rsidRPr="00733028" w:rsidRDefault="00FB049B" w:rsidP="00733028">
      <w:pPr>
        <w:tabs>
          <w:tab w:val="left" w:pos="8364"/>
        </w:tabs>
        <w:suppressAutoHyphens/>
        <w:spacing w:after="0" w:line="360" w:lineRule="auto"/>
        <w:jc w:val="both"/>
        <w:rPr>
          <w:rFonts w:ascii="Calibri" w:eastAsia="SimSun" w:hAnsi="Calibri" w:cs="Calibri"/>
          <w:b/>
          <w:bCs/>
          <w:iCs/>
          <w:sz w:val="24"/>
          <w:szCs w:val="24"/>
          <w:lang w:eastAsia="zh-CN"/>
        </w:rPr>
      </w:pPr>
    </w:p>
    <w:p w14:paraId="2FCC35D0" w14:textId="77777777" w:rsidR="00FB049B" w:rsidRPr="00733028" w:rsidRDefault="00FB049B" w:rsidP="00733028">
      <w:pPr>
        <w:tabs>
          <w:tab w:val="left" w:pos="8364"/>
        </w:tabs>
        <w:suppressAutoHyphens/>
        <w:spacing w:after="0" w:line="360" w:lineRule="auto"/>
        <w:jc w:val="both"/>
        <w:rPr>
          <w:rFonts w:ascii="Calibri" w:eastAsia="SimSun" w:hAnsi="Calibri" w:cs="Calibri"/>
          <w:b/>
          <w:bCs/>
          <w:iCs/>
          <w:sz w:val="24"/>
          <w:szCs w:val="24"/>
          <w:u w:val="single"/>
          <w:lang w:eastAsia="zh-CN"/>
        </w:rPr>
      </w:pPr>
      <w:r w:rsidRPr="00733028">
        <w:rPr>
          <w:rFonts w:ascii="Calibri" w:eastAsia="SimSun" w:hAnsi="Calibri" w:cs="Calibri"/>
          <w:b/>
          <w:iCs/>
          <w:sz w:val="24"/>
          <w:szCs w:val="24"/>
          <w:u w:val="single"/>
          <w:lang w:eastAsia="zh-CN"/>
        </w:rPr>
        <w:t>Γ) Ό</w:t>
      </w:r>
      <w:r w:rsidRPr="00733028">
        <w:rPr>
          <w:rFonts w:ascii="Calibri" w:eastAsia="SimSun" w:hAnsi="Calibri" w:cs="Calibri"/>
          <w:b/>
          <w:bCs/>
          <w:iCs/>
          <w:sz w:val="24"/>
          <w:szCs w:val="24"/>
          <w:u w:val="single"/>
          <w:lang w:eastAsia="zh-CN"/>
        </w:rPr>
        <w:t>ρια καταθέσεων:</w:t>
      </w:r>
    </w:p>
    <w:tbl>
      <w:tblPr>
        <w:tblStyle w:val="a8"/>
        <w:tblW w:w="9640" w:type="dxa"/>
        <w:tblInd w:w="-714" w:type="dxa"/>
        <w:tblLook w:val="04A0" w:firstRow="1" w:lastRow="0" w:firstColumn="1" w:lastColumn="0" w:noHBand="0" w:noVBand="1"/>
      </w:tblPr>
      <w:tblGrid>
        <w:gridCol w:w="4066"/>
        <w:gridCol w:w="3306"/>
        <w:gridCol w:w="2268"/>
      </w:tblGrid>
      <w:tr w:rsidR="00FB049B" w:rsidRPr="00733028" w14:paraId="1972BB6A" w14:textId="77777777" w:rsidTr="00463951">
        <w:tc>
          <w:tcPr>
            <w:tcW w:w="4066" w:type="dxa"/>
            <w:tcBorders>
              <w:top w:val="single" w:sz="4" w:space="0" w:color="auto"/>
              <w:left w:val="single" w:sz="4" w:space="0" w:color="auto"/>
              <w:bottom w:val="single" w:sz="4" w:space="0" w:color="auto"/>
              <w:right w:val="single" w:sz="4" w:space="0" w:color="auto"/>
            </w:tcBorders>
          </w:tcPr>
          <w:p w14:paraId="48393E9C"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 xml:space="preserve">Σύνθεση Νοικοκυριού </w:t>
            </w:r>
          </w:p>
          <w:p w14:paraId="5723BC8A"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p>
        </w:tc>
        <w:tc>
          <w:tcPr>
            <w:tcW w:w="3306" w:type="dxa"/>
            <w:tcBorders>
              <w:top w:val="single" w:sz="4" w:space="0" w:color="auto"/>
              <w:left w:val="single" w:sz="4" w:space="0" w:color="auto"/>
              <w:bottom w:val="single" w:sz="4" w:space="0" w:color="auto"/>
              <w:right w:val="single" w:sz="4" w:space="0" w:color="auto"/>
            </w:tcBorders>
          </w:tcPr>
          <w:p w14:paraId="1104DA1F"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 xml:space="preserve">Όρια με το ισχύον καθεστώς </w:t>
            </w:r>
            <w:proofErr w:type="spellStart"/>
            <w:r w:rsidRPr="00733028">
              <w:rPr>
                <w:rFonts w:ascii="Calibri" w:eastAsia="SimSun" w:hAnsi="Calibri" w:cs="Calibri"/>
                <w:b/>
                <w:bCs/>
                <w:iCs/>
                <w:kern w:val="0"/>
                <w:sz w:val="24"/>
                <w:szCs w:val="24"/>
                <w:lang w:eastAsia="zh-CN"/>
              </w:rPr>
              <w:t>ευαλωτότητας</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2307E87" w14:textId="77777777" w:rsidR="00FB049B" w:rsidRPr="00733028" w:rsidRDefault="00FB049B" w:rsidP="00733028">
            <w:pPr>
              <w:tabs>
                <w:tab w:val="left" w:pos="8364"/>
              </w:tabs>
              <w:suppressAutoHyphens/>
              <w:spacing w:line="360" w:lineRule="auto"/>
              <w:jc w:val="both"/>
              <w:rPr>
                <w:rFonts w:ascii="Calibri" w:eastAsia="SimSun" w:hAnsi="Calibri" w:cs="Calibri"/>
                <w:b/>
                <w:bCs/>
                <w:iCs/>
                <w:kern w:val="0"/>
                <w:sz w:val="24"/>
                <w:szCs w:val="24"/>
                <w:lang w:eastAsia="zh-CN"/>
              </w:rPr>
            </w:pPr>
            <w:r w:rsidRPr="00733028">
              <w:rPr>
                <w:rFonts w:ascii="Calibri" w:eastAsia="SimSun" w:hAnsi="Calibri" w:cs="Calibri"/>
                <w:b/>
                <w:bCs/>
                <w:iCs/>
                <w:kern w:val="0"/>
                <w:sz w:val="24"/>
                <w:szCs w:val="24"/>
                <w:lang w:eastAsia="zh-CN"/>
              </w:rPr>
              <w:t>Νέο Όριο</w:t>
            </w:r>
          </w:p>
        </w:tc>
      </w:tr>
      <w:tr w:rsidR="00FB049B" w:rsidRPr="00733028" w14:paraId="78F994A8"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618C9817"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Μονοπρόσωπο νοικοκυριό</w:t>
            </w:r>
          </w:p>
        </w:tc>
        <w:tc>
          <w:tcPr>
            <w:tcW w:w="3306" w:type="dxa"/>
            <w:tcBorders>
              <w:top w:val="single" w:sz="4" w:space="0" w:color="auto"/>
              <w:left w:val="single" w:sz="4" w:space="0" w:color="auto"/>
              <w:bottom w:val="single" w:sz="4" w:space="0" w:color="auto"/>
              <w:right w:val="single" w:sz="4" w:space="0" w:color="auto"/>
            </w:tcBorders>
          </w:tcPr>
          <w:p w14:paraId="69B39F3E"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7.000 ευρώ</w:t>
            </w:r>
          </w:p>
        </w:tc>
        <w:tc>
          <w:tcPr>
            <w:tcW w:w="2268" w:type="dxa"/>
            <w:tcBorders>
              <w:top w:val="single" w:sz="4" w:space="0" w:color="auto"/>
              <w:left w:val="single" w:sz="4" w:space="0" w:color="auto"/>
              <w:bottom w:val="single" w:sz="4" w:space="0" w:color="auto"/>
              <w:right w:val="single" w:sz="4" w:space="0" w:color="auto"/>
            </w:tcBorders>
            <w:hideMark/>
          </w:tcPr>
          <w:p w14:paraId="2AF0F527"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14.000 ευρώ </w:t>
            </w:r>
          </w:p>
        </w:tc>
      </w:tr>
      <w:tr w:rsidR="00FB049B" w:rsidRPr="00733028" w14:paraId="5E46F2C7"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19C8F9C7"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δύο μέλη</w:t>
            </w:r>
          </w:p>
        </w:tc>
        <w:tc>
          <w:tcPr>
            <w:tcW w:w="3306" w:type="dxa"/>
            <w:tcBorders>
              <w:top w:val="single" w:sz="4" w:space="0" w:color="auto"/>
              <w:left w:val="single" w:sz="4" w:space="0" w:color="auto"/>
              <w:bottom w:val="single" w:sz="4" w:space="0" w:color="auto"/>
              <w:right w:val="single" w:sz="4" w:space="0" w:color="auto"/>
            </w:tcBorders>
          </w:tcPr>
          <w:p w14:paraId="4E230DCD"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10.500 ευρώ</w:t>
            </w:r>
          </w:p>
        </w:tc>
        <w:tc>
          <w:tcPr>
            <w:tcW w:w="2268" w:type="dxa"/>
            <w:tcBorders>
              <w:top w:val="single" w:sz="4" w:space="0" w:color="auto"/>
              <w:left w:val="single" w:sz="4" w:space="0" w:color="auto"/>
              <w:bottom w:val="single" w:sz="4" w:space="0" w:color="auto"/>
              <w:right w:val="single" w:sz="4" w:space="0" w:color="auto"/>
            </w:tcBorders>
            <w:hideMark/>
          </w:tcPr>
          <w:p w14:paraId="31D54864"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 xml:space="preserve">21.000 ευρώ </w:t>
            </w:r>
          </w:p>
        </w:tc>
      </w:tr>
      <w:tr w:rsidR="00FB049B" w:rsidRPr="00733028" w14:paraId="1BED3CB8"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62DC9CF3"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τρία μέλη ή μονογονεϊκή οικογένεια με ένα ανήλικο μέλος</w:t>
            </w:r>
          </w:p>
        </w:tc>
        <w:tc>
          <w:tcPr>
            <w:tcW w:w="3306" w:type="dxa"/>
            <w:tcBorders>
              <w:top w:val="single" w:sz="4" w:space="0" w:color="auto"/>
              <w:left w:val="single" w:sz="4" w:space="0" w:color="auto"/>
              <w:bottom w:val="single" w:sz="4" w:space="0" w:color="auto"/>
              <w:right w:val="single" w:sz="4" w:space="0" w:color="auto"/>
            </w:tcBorders>
          </w:tcPr>
          <w:p w14:paraId="447DFC41"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14.000 ευρώ</w:t>
            </w:r>
          </w:p>
        </w:tc>
        <w:tc>
          <w:tcPr>
            <w:tcW w:w="2268" w:type="dxa"/>
            <w:tcBorders>
              <w:top w:val="single" w:sz="4" w:space="0" w:color="auto"/>
              <w:left w:val="single" w:sz="4" w:space="0" w:color="auto"/>
              <w:bottom w:val="single" w:sz="4" w:space="0" w:color="auto"/>
              <w:right w:val="single" w:sz="4" w:space="0" w:color="auto"/>
            </w:tcBorders>
            <w:hideMark/>
          </w:tcPr>
          <w:p w14:paraId="30432B9F"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28.000 ευρώ</w:t>
            </w:r>
          </w:p>
        </w:tc>
      </w:tr>
      <w:tr w:rsidR="00FB049B" w:rsidRPr="00733028" w14:paraId="39F25412"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773F1D08"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τέσσερα ή μονογονεϊκή οικογένεια με δύο ανήλικα μέλη</w:t>
            </w:r>
          </w:p>
        </w:tc>
        <w:tc>
          <w:tcPr>
            <w:tcW w:w="3306" w:type="dxa"/>
            <w:tcBorders>
              <w:top w:val="single" w:sz="4" w:space="0" w:color="auto"/>
              <w:left w:val="single" w:sz="4" w:space="0" w:color="auto"/>
              <w:bottom w:val="single" w:sz="4" w:space="0" w:color="auto"/>
              <w:right w:val="single" w:sz="4" w:space="0" w:color="auto"/>
            </w:tcBorders>
          </w:tcPr>
          <w:p w14:paraId="4B49B2F8"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17.500 ευρώ</w:t>
            </w:r>
          </w:p>
        </w:tc>
        <w:tc>
          <w:tcPr>
            <w:tcW w:w="2268" w:type="dxa"/>
            <w:tcBorders>
              <w:top w:val="single" w:sz="4" w:space="0" w:color="auto"/>
              <w:left w:val="single" w:sz="4" w:space="0" w:color="auto"/>
              <w:bottom w:val="single" w:sz="4" w:space="0" w:color="auto"/>
              <w:right w:val="single" w:sz="4" w:space="0" w:color="auto"/>
            </w:tcBorders>
            <w:hideMark/>
          </w:tcPr>
          <w:p w14:paraId="65639FB2"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35.000 ευρώ</w:t>
            </w:r>
          </w:p>
        </w:tc>
      </w:tr>
      <w:tr w:rsidR="00FB049B" w:rsidRPr="00733028" w14:paraId="19EBD70C" w14:textId="77777777" w:rsidTr="00463951">
        <w:tc>
          <w:tcPr>
            <w:tcW w:w="4066" w:type="dxa"/>
            <w:tcBorders>
              <w:top w:val="single" w:sz="4" w:space="0" w:color="auto"/>
              <w:left w:val="single" w:sz="4" w:space="0" w:color="auto"/>
              <w:bottom w:val="single" w:sz="4" w:space="0" w:color="auto"/>
              <w:right w:val="single" w:sz="4" w:space="0" w:color="auto"/>
            </w:tcBorders>
            <w:hideMark/>
          </w:tcPr>
          <w:p w14:paraId="208FF94D"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Νοικοκυριό αποτελούμενο από πέντε μέλη και πάνω ή μονογονεϊκή οικογένεια με τρία ανήλικα μέλη και πάνω</w:t>
            </w:r>
          </w:p>
        </w:tc>
        <w:tc>
          <w:tcPr>
            <w:tcW w:w="3306" w:type="dxa"/>
            <w:tcBorders>
              <w:top w:val="single" w:sz="4" w:space="0" w:color="auto"/>
              <w:left w:val="single" w:sz="4" w:space="0" w:color="auto"/>
              <w:bottom w:val="single" w:sz="4" w:space="0" w:color="auto"/>
              <w:right w:val="single" w:sz="4" w:space="0" w:color="auto"/>
            </w:tcBorders>
          </w:tcPr>
          <w:p w14:paraId="4E5BD2BE" w14:textId="77777777" w:rsidR="00FB049B" w:rsidRPr="00733028" w:rsidRDefault="00FB049B" w:rsidP="00733028">
            <w:pPr>
              <w:tabs>
                <w:tab w:val="left" w:pos="8364"/>
              </w:tabs>
              <w:suppressAutoHyphens/>
              <w:spacing w:line="360" w:lineRule="auto"/>
              <w:jc w:val="both"/>
              <w:rPr>
                <w:rFonts w:ascii="Calibri" w:eastAsia="SimSun" w:hAnsi="Calibri" w:cs="Calibri"/>
                <w:bCs/>
                <w:iCs/>
                <w:kern w:val="0"/>
                <w:sz w:val="24"/>
                <w:szCs w:val="24"/>
                <w:lang w:eastAsia="zh-CN"/>
              </w:rPr>
            </w:pPr>
            <w:r w:rsidRPr="00733028">
              <w:rPr>
                <w:rFonts w:ascii="Calibri" w:eastAsia="SimSun" w:hAnsi="Calibri" w:cs="Calibri"/>
                <w:bCs/>
                <w:iCs/>
                <w:kern w:val="0"/>
                <w:sz w:val="24"/>
                <w:szCs w:val="24"/>
                <w:lang w:eastAsia="zh-CN"/>
              </w:rPr>
              <w:t>21.000 ευρώ</w:t>
            </w:r>
          </w:p>
        </w:tc>
        <w:tc>
          <w:tcPr>
            <w:tcW w:w="2268" w:type="dxa"/>
            <w:tcBorders>
              <w:top w:val="single" w:sz="4" w:space="0" w:color="auto"/>
              <w:left w:val="single" w:sz="4" w:space="0" w:color="auto"/>
              <w:bottom w:val="single" w:sz="4" w:space="0" w:color="auto"/>
              <w:right w:val="single" w:sz="4" w:space="0" w:color="auto"/>
            </w:tcBorders>
            <w:hideMark/>
          </w:tcPr>
          <w:p w14:paraId="33B09FB6" w14:textId="77777777" w:rsidR="00FB049B" w:rsidRPr="00733028" w:rsidRDefault="00FB049B" w:rsidP="00733028">
            <w:pPr>
              <w:tabs>
                <w:tab w:val="left" w:pos="8364"/>
              </w:tabs>
              <w:suppressAutoHyphens/>
              <w:spacing w:line="360" w:lineRule="auto"/>
              <w:jc w:val="both"/>
              <w:rPr>
                <w:rFonts w:ascii="Calibri" w:eastAsia="SimSun" w:hAnsi="Calibri" w:cs="Calibri"/>
                <w:bCs/>
                <w:iCs/>
                <w:sz w:val="24"/>
                <w:szCs w:val="24"/>
                <w:lang w:eastAsia="zh-CN"/>
              </w:rPr>
            </w:pPr>
            <w:r w:rsidRPr="00733028">
              <w:rPr>
                <w:rFonts w:ascii="Calibri" w:eastAsia="SimSun" w:hAnsi="Calibri" w:cs="Calibri"/>
                <w:bCs/>
                <w:iCs/>
                <w:kern w:val="0"/>
                <w:sz w:val="24"/>
                <w:szCs w:val="24"/>
                <w:lang w:eastAsia="zh-CN"/>
              </w:rPr>
              <w:t>42.000 ευρώ</w:t>
            </w:r>
          </w:p>
        </w:tc>
      </w:tr>
    </w:tbl>
    <w:p w14:paraId="07A5973E" w14:textId="77777777" w:rsidR="00FB049B" w:rsidRPr="00733028" w:rsidRDefault="00FB049B" w:rsidP="00733028">
      <w:pPr>
        <w:tabs>
          <w:tab w:val="left" w:pos="8364"/>
        </w:tabs>
        <w:suppressAutoHyphens/>
        <w:spacing w:after="0" w:line="360" w:lineRule="auto"/>
        <w:jc w:val="both"/>
        <w:rPr>
          <w:rFonts w:ascii="Calibri" w:eastAsia="SimSun" w:hAnsi="Calibri" w:cs="Calibri"/>
          <w:bCs/>
          <w:iCs/>
          <w:sz w:val="24"/>
          <w:szCs w:val="24"/>
          <w:u w:val="single"/>
          <w:lang w:eastAsia="zh-CN"/>
        </w:rPr>
      </w:pPr>
    </w:p>
    <w:p w14:paraId="76A7DB9E"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Παράλληλα, μέσω περαιτέρω βελτιώσεων, δρομολογείται η βελτίωση των όρων ρύθμισης καθώς θα μειωθεί η αξία των ακίνητων εξασφαλίσεων που λαμβάνει υπόψιν ο αλγόριθμος, αλλά και θα </w:t>
      </w:r>
      <w:proofErr w:type="spellStart"/>
      <w:r w:rsidRPr="00733028">
        <w:rPr>
          <w:rFonts w:ascii="Calibri" w:hAnsi="Calibri" w:cs="Calibri"/>
          <w:sz w:val="24"/>
          <w:szCs w:val="24"/>
        </w:rPr>
        <w:t>εξορθολογιστούν</w:t>
      </w:r>
      <w:proofErr w:type="spellEnd"/>
      <w:r w:rsidRPr="00733028">
        <w:rPr>
          <w:rFonts w:ascii="Calibri" w:hAnsi="Calibri" w:cs="Calibri"/>
          <w:sz w:val="24"/>
          <w:szCs w:val="24"/>
        </w:rPr>
        <w:t xml:space="preserve"> τα κριτήρια </w:t>
      </w:r>
      <w:r w:rsidRPr="00733028">
        <w:rPr>
          <w:rFonts w:ascii="Calibri" w:eastAsia="Times New Roman" w:hAnsi="Calibri" w:cs="Calibri"/>
          <w:sz w:val="24"/>
          <w:szCs w:val="24"/>
        </w:rPr>
        <w:t>του «εύλογου ποσοστού κέρδους» 10% στην περίπτωση των νομικών προσώπων ώστε να λαμβάνουν μεγαλύτερο αριθμό δόσεων</w:t>
      </w:r>
      <w:r w:rsidRPr="00733028">
        <w:rPr>
          <w:rFonts w:ascii="Calibri" w:hAnsi="Calibri" w:cs="Calibri"/>
          <w:sz w:val="24"/>
          <w:szCs w:val="24"/>
        </w:rPr>
        <w:t>.</w:t>
      </w:r>
    </w:p>
    <w:p w14:paraId="20A14226"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b/>
          <w:sz w:val="24"/>
          <w:szCs w:val="24"/>
        </w:rPr>
        <w:lastRenderedPageBreak/>
        <w:t>Υπενθυμίζεται πως ο εξωδικαστικός μηχανισμός ρύθμισης οφειλών εξελίσσεται ιδιαιτέρως ικανοποιητικά με συνεχή αύξηση των αποτελεσμάτων του χάρη και στις νομοθετικές πρωτοβουλίες που αναλήφθηκαν το τελευταίο διάστημα (ν.5072/2023 και ν.5113/2024).</w:t>
      </w:r>
      <w:r w:rsidRPr="00733028">
        <w:rPr>
          <w:rFonts w:ascii="Calibri" w:hAnsi="Calibri" w:cs="Calibri"/>
          <w:sz w:val="24"/>
          <w:szCs w:val="24"/>
        </w:rPr>
        <w:t xml:space="preserve"> </w:t>
      </w:r>
    </w:p>
    <w:p w14:paraId="6573681F"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Ενδεικτικά αναφέρονται:</w:t>
      </w:r>
    </w:p>
    <w:p w14:paraId="176E4F92"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-Αυτόματη και υποχρεωτική αποδοχή από Τράπεζες και Δημόσιο της πρότασης αναδιάρθρωσης του χρέους των ευάλωτων οφειλετών.</w:t>
      </w:r>
    </w:p>
    <w:p w14:paraId="7DEF5380"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-Ένταξη ατόμων με ποσοστό αναπηρίας άνω του 67% στην κατηγορία των ευάλωτων οφειλετών με αυξημένα όρια στα εισοδηματικά και περιουσιακά κριτήρια.</w:t>
      </w:r>
    </w:p>
    <w:p w14:paraId="61634FEE"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-Επιπλέον υψηλότερο κούρεμα ένα και 28% στην οφειλή.</w:t>
      </w:r>
    </w:p>
    <w:p w14:paraId="39FE562C"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-Σταθερό επιτόκιο 3% για 3 χρόνια για όλες τις ρυθμίσεις (Δημόσιο, Τράπεζες, </w:t>
      </w:r>
      <w:r w:rsidRPr="00733028">
        <w:rPr>
          <w:rFonts w:ascii="Calibri" w:hAnsi="Calibri" w:cs="Calibri"/>
          <w:sz w:val="24"/>
          <w:szCs w:val="24"/>
          <w:lang w:val="en-US"/>
        </w:rPr>
        <w:t>servicers</w:t>
      </w:r>
      <w:r w:rsidRPr="00733028">
        <w:rPr>
          <w:rFonts w:ascii="Calibri" w:hAnsi="Calibri" w:cs="Calibri"/>
          <w:sz w:val="24"/>
          <w:szCs w:val="24"/>
        </w:rPr>
        <w:t>).</w:t>
      </w:r>
    </w:p>
    <w:p w14:paraId="6D3CA15C"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-Δυνατότητα ρύθμιση των οφειλών προς το Δημόσιο των νομικών προσώπων, τα οποία έχουν τεθεί σε λύση ή εκκαθάριση, από τα </w:t>
      </w:r>
      <w:proofErr w:type="spellStart"/>
      <w:r w:rsidRPr="00733028">
        <w:rPr>
          <w:rFonts w:ascii="Calibri" w:hAnsi="Calibri" w:cs="Calibri"/>
          <w:sz w:val="24"/>
          <w:szCs w:val="24"/>
        </w:rPr>
        <w:t>συνυπόχρεα</w:t>
      </w:r>
      <w:proofErr w:type="spellEnd"/>
      <w:r w:rsidRPr="00733028">
        <w:rPr>
          <w:rFonts w:ascii="Calibri" w:hAnsi="Calibri" w:cs="Calibri"/>
          <w:sz w:val="24"/>
          <w:szCs w:val="24"/>
        </w:rPr>
        <w:t xml:space="preserve"> για τις οφειλές πρόσωπα</w:t>
      </w:r>
      <w:r w:rsidR="00733028" w:rsidRPr="00733028">
        <w:rPr>
          <w:rFonts w:ascii="Calibri" w:hAnsi="Calibri" w:cs="Calibri"/>
          <w:sz w:val="24"/>
          <w:szCs w:val="24"/>
        </w:rPr>
        <w:t>.</w:t>
      </w:r>
    </w:p>
    <w:p w14:paraId="4A073C49"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-Δυνατότητα προκαταβολής έως 10% για οφειλέτες στους οποίους έχει κοινοποιηθεί πρόγραμμα πλειστηριασμού με εξαίρεση τους ευάλωτους οφειλέτες για τους οποίους έχει εκδοθεί βεβαίωση ευάλωτου οφειλέτη (όπου δεν θα μπορεί να ζητηθεί προκαταβολή). </w:t>
      </w:r>
    </w:p>
    <w:p w14:paraId="12A08BB9"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-Δυνατότητα </w:t>
      </w:r>
      <w:proofErr w:type="spellStart"/>
      <w:r w:rsidRPr="00733028">
        <w:rPr>
          <w:rFonts w:ascii="Calibri" w:hAnsi="Calibri" w:cs="Calibri"/>
          <w:sz w:val="24"/>
          <w:szCs w:val="24"/>
        </w:rPr>
        <w:t>επανάντλησης</w:t>
      </w:r>
      <w:proofErr w:type="spellEnd"/>
      <w:r w:rsidRPr="00733028">
        <w:rPr>
          <w:rFonts w:ascii="Calibri" w:hAnsi="Calibri" w:cs="Calibri"/>
          <w:sz w:val="24"/>
          <w:szCs w:val="24"/>
        </w:rPr>
        <w:t xml:space="preserve"> οφειλών ώστε να περιληφθούν οφειλές προς το Δημόσιο που βεβαιώθηκαν στο μεσοδιάστημα, εάν καθυστερήσει η χορήγηση πρότασης αναδιάρθρωσης για οποιονδήποτε λόγο. </w:t>
      </w:r>
    </w:p>
    <w:p w14:paraId="341CEB76"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Ως αποτέλεσμα όλων των παραπάνω, ο μέχρι σήμερα ο συνολικός αριθμός των επιτυχών ρυθμίσεων αυξήθηκε σημαντικά και διαμορφώνεται σε </w:t>
      </w:r>
      <w:r w:rsidRPr="00733028">
        <w:rPr>
          <w:rFonts w:ascii="Calibri" w:hAnsi="Calibri" w:cs="Calibri"/>
          <w:b/>
          <w:sz w:val="24"/>
          <w:szCs w:val="24"/>
        </w:rPr>
        <w:t>30.515</w:t>
      </w:r>
      <w:r w:rsidRPr="00733028">
        <w:rPr>
          <w:rFonts w:ascii="Calibri" w:hAnsi="Calibri" w:cs="Calibri"/>
          <w:sz w:val="24"/>
          <w:szCs w:val="24"/>
        </w:rPr>
        <w:t xml:space="preserve">, με τη συνολική αξία ρυθμισμένων οφειλών να ανέρχεται στα </w:t>
      </w:r>
      <w:r w:rsidRPr="00733028">
        <w:rPr>
          <w:rFonts w:ascii="Calibri" w:hAnsi="Calibri" w:cs="Calibri"/>
          <w:b/>
          <w:sz w:val="24"/>
          <w:szCs w:val="24"/>
        </w:rPr>
        <w:t>10,01 δισ. ευρώ</w:t>
      </w:r>
      <w:r w:rsidRPr="00733028">
        <w:rPr>
          <w:rFonts w:ascii="Calibri" w:hAnsi="Calibri" w:cs="Calibri"/>
          <w:sz w:val="24"/>
          <w:szCs w:val="24"/>
        </w:rPr>
        <w:t xml:space="preserve">. Ειδικότερα, με τη βελτίωση που εισήχθη με την </w:t>
      </w:r>
      <w:proofErr w:type="spellStart"/>
      <w:r w:rsidRPr="00733028">
        <w:rPr>
          <w:rFonts w:ascii="Calibri" w:hAnsi="Calibri" w:cs="Calibri"/>
          <w:sz w:val="24"/>
          <w:szCs w:val="24"/>
        </w:rPr>
        <w:t>τεκμαιρόμενη</w:t>
      </w:r>
      <w:proofErr w:type="spellEnd"/>
      <w:r w:rsidRPr="00733028">
        <w:rPr>
          <w:rFonts w:ascii="Calibri" w:hAnsi="Calibri" w:cs="Calibri"/>
          <w:sz w:val="24"/>
          <w:szCs w:val="24"/>
        </w:rPr>
        <w:t xml:space="preserve"> συναίνεση των πιστωτών στην αίτηση εξωδικαστικού των ευάλωτων, ενισχύθηκε η προστασία των ευάλωτων δανειοληπτών, </w:t>
      </w:r>
      <w:r w:rsidRPr="00733028">
        <w:rPr>
          <w:rFonts w:ascii="Calibri" w:hAnsi="Calibri" w:cs="Calibri"/>
          <w:b/>
          <w:sz w:val="24"/>
          <w:szCs w:val="24"/>
        </w:rPr>
        <w:t>με 2.673 ευάλωτα νοικοκυριά να επωφελούνται από ρυθμίσεις οφειλών</w:t>
      </w:r>
      <w:r w:rsidRPr="00733028">
        <w:rPr>
          <w:rFonts w:ascii="Calibri" w:hAnsi="Calibri" w:cs="Calibri"/>
          <w:sz w:val="24"/>
          <w:szCs w:val="24"/>
        </w:rPr>
        <w:t xml:space="preserve">. Με την νέα </w:t>
      </w:r>
      <w:r w:rsidRPr="00733028">
        <w:rPr>
          <w:rFonts w:ascii="Calibri" w:hAnsi="Calibri" w:cs="Calibri"/>
          <w:sz w:val="24"/>
          <w:szCs w:val="24"/>
        </w:rPr>
        <w:lastRenderedPageBreak/>
        <w:t xml:space="preserve">ρύθμιση που έρχεται, στόχος είναι ο αριθμός των δυνητικά καλυπτόμενων ευάλωτων οφειλετών να αυξηθεί σημαντικά. </w:t>
      </w:r>
    </w:p>
    <w:p w14:paraId="5481CAA2" w14:textId="77777777" w:rsidR="00FB049B" w:rsidRPr="00733028" w:rsidRDefault="00FB049B" w:rsidP="00733028">
      <w:pPr>
        <w:pStyle w:val="a5"/>
        <w:numPr>
          <w:ilvl w:val="0"/>
          <w:numId w:val="10"/>
        </w:numPr>
        <w:spacing w:after="120" w:line="360" w:lineRule="auto"/>
        <w:rPr>
          <w:rFonts w:ascii="Calibri" w:eastAsiaTheme="majorEastAsia" w:hAnsi="Calibri" w:cs="Calibri"/>
          <w:b/>
          <w:bCs/>
          <w:sz w:val="24"/>
          <w:szCs w:val="24"/>
        </w:rPr>
      </w:pPr>
      <w:r w:rsidRPr="00733028">
        <w:rPr>
          <w:rFonts w:ascii="Calibri" w:eastAsiaTheme="majorEastAsia" w:hAnsi="Calibri" w:cs="Calibri"/>
          <w:b/>
          <w:bCs/>
          <w:sz w:val="24"/>
          <w:szCs w:val="24"/>
        </w:rPr>
        <w:t>Υποχρέωση του πιστωτή να έχει καταθέσει τουλάχιστον 3 μήνες προ της διενέργειας του πλειστηριασμού έγγραφη πρόταση ρύθμισης στον οφειλέτη.</w:t>
      </w:r>
    </w:p>
    <w:p w14:paraId="12478E9B" w14:textId="77777777" w:rsidR="00FB049B" w:rsidRPr="00733028" w:rsidRDefault="00FB049B" w:rsidP="00733028">
      <w:pPr>
        <w:spacing w:line="360" w:lineRule="auto"/>
        <w:jc w:val="both"/>
        <w:rPr>
          <w:rFonts w:ascii="Calibri" w:eastAsiaTheme="majorEastAsia" w:hAnsi="Calibri" w:cs="Calibri"/>
          <w:bCs/>
          <w:sz w:val="24"/>
          <w:szCs w:val="24"/>
        </w:rPr>
      </w:pPr>
      <w:r w:rsidRPr="00733028">
        <w:rPr>
          <w:rFonts w:ascii="Calibri" w:eastAsiaTheme="majorEastAsia" w:hAnsi="Calibri" w:cs="Calibri"/>
          <w:bCs/>
          <w:sz w:val="24"/>
          <w:szCs w:val="24"/>
        </w:rPr>
        <w:t>Πλέον των εργαλείων ρύθμισης και προστασίας που ήδη λειτουργούν, με νέα ρύθμιση θεσμοθετείται</w:t>
      </w:r>
      <w:r w:rsidRPr="00733028">
        <w:rPr>
          <w:rFonts w:ascii="Calibri" w:eastAsiaTheme="majorEastAsia" w:hAnsi="Calibri" w:cs="Calibri"/>
          <w:b/>
          <w:bCs/>
          <w:sz w:val="24"/>
          <w:szCs w:val="24"/>
        </w:rPr>
        <w:t xml:space="preserve"> η υποχρέωση του πιστωτή να έχει καταθέσει εγγράφως στον οφειλέτη, τουλάχιστον τρεις (3) μήνες προ της διενέργειας του πλειστηριασμού, </w:t>
      </w:r>
      <w:r w:rsidRPr="00733028">
        <w:rPr>
          <w:rFonts w:ascii="Calibri" w:eastAsiaTheme="majorEastAsia" w:hAnsi="Calibri" w:cs="Calibri"/>
          <w:bCs/>
          <w:sz w:val="24"/>
          <w:szCs w:val="24"/>
        </w:rPr>
        <w:t>με κάθε πρόσφορο τρόπο (συμπεριλαμβανομένης της ηλεκτρονικής αλληλογραφίας)</w:t>
      </w:r>
      <w:r w:rsidRPr="00733028">
        <w:rPr>
          <w:rFonts w:ascii="Calibri" w:eastAsiaTheme="majorEastAsia" w:hAnsi="Calibri" w:cs="Calibri"/>
          <w:b/>
          <w:bCs/>
          <w:sz w:val="24"/>
          <w:szCs w:val="24"/>
        </w:rPr>
        <w:t xml:space="preserve"> πρόταση ρύθμισης </w:t>
      </w:r>
      <w:r w:rsidRPr="00733028">
        <w:rPr>
          <w:rFonts w:ascii="Calibri" w:eastAsiaTheme="majorEastAsia" w:hAnsi="Calibri" w:cs="Calibri"/>
          <w:bCs/>
          <w:sz w:val="24"/>
          <w:szCs w:val="24"/>
        </w:rPr>
        <w:t xml:space="preserve">για την οφειλή για την οποία επισπεύδει τον πλειστηριασμό. </w:t>
      </w:r>
      <w:r w:rsidRPr="00733028">
        <w:rPr>
          <w:rFonts w:ascii="Calibri" w:eastAsiaTheme="majorEastAsia" w:hAnsi="Calibri" w:cs="Calibri"/>
          <w:b/>
          <w:bCs/>
          <w:sz w:val="24"/>
          <w:szCs w:val="24"/>
        </w:rPr>
        <w:t>Ωστόσο, η υποχρέωση</w:t>
      </w:r>
      <w:r w:rsidRPr="00733028">
        <w:rPr>
          <w:rFonts w:ascii="Calibri" w:eastAsiaTheme="majorEastAsia" w:hAnsi="Calibri" w:cs="Calibri"/>
          <w:bCs/>
          <w:sz w:val="24"/>
          <w:szCs w:val="24"/>
        </w:rPr>
        <w:t xml:space="preserve"> </w:t>
      </w:r>
      <w:r w:rsidRPr="00733028">
        <w:rPr>
          <w:rFonts w:ascii="Calibri" w:eastAsiaTheme="majorEastAsia" w:hAnsi="Calibri" w:cs="Calibri"/>
          <w:b/>
          <w:bCs/>
          <w:sz w:val="24"/>
          <w:szCs w:val="24"/>
        </w:rPr>
        <w:t>αυτή δεν υφίσταται</w:t>
      </w:r>
      <w:r w:rsidRPr="00733028">
        <w:rPr>
          <w:rFonts w:ascii="Calibri" w:eastAsiaTheme="majorEastAsia" w:hAnsi="Calibri" w:cs="Calibri"/>
          <w:bCs/>
          <w:sz w:val="24"/>
          <w:szCs w:val="24"/>
        </w:rPr>
        <w:t xml:space="preserve"> </w:t>
      </w:r>
      <w:r w:rsidRPr="00733028">
        <w:rPr>
          <w:rFonts w:ascii="Calibri" w:eastAsiaTheme="majorEastAsia" w:hAnsi="Calibri" w:cs="Calibri"/>
          <w:b/>
          <w:bCs/>
          <w:sz w:val="24"/>
          <w:szCs w:val="24"/>
        </w:rPr>
        <w:t>εάν ο οφειλέτης δεν έχει εγγραφεί στην ηλεκτρονική πλατφόρμα ενημέρωσης του πιστωτή</w:t>
      </w:r>
      <w:r w:rsidRPr="00733028">
        <w:rPr>
          <w:rFonts w:ascii="Calibri" w:eastAsiaTheme="majorEastAsia" w:hAnsi="Calibri" w:cs="Calibri"/>
          <w:bCs/>
          <w:sz w:val="24"/>
          <w:szCs w:val="24"/>
        </w:rPr>
        <w:t xml:space="preserve">, παρέχοντας κατ’ ελάχιστον διεύθυνση ηλεκτρονικής αλληλογραφίας και τηλέφωνο επικοινωνίας. </w:t>
      </w:r>
    </w:p>
    <w:p w14:paraId="5E369D69" w14:textId="77777777" w:rsidR="00FB049B" w:rsidRPr="00733028" w:rsidRDefault="00FB049B" w:rsidP="00733028">
      <w:pPr>
        <w:pStyle w:val="a5"/>
        <w:numPr>
          <w:ilvl w:val="0"/>
          <w:numId w:val="10"/>
        </w:numPr>
        <w:spacing w:after="120" w:line="360" w:lineRule="auto"/>
        <w:rPr>
          <w:rFonts w:ascii="Calibri" w:eastAsiaTheme="majorEastAsia" w:hAnsi="Calibri" w:cs="Calibri"/>
          <w:bCs/>
          <w:sz w:val="24"/>
          <w:szCs w:val="24"/>
        </w:rPr>
      </w:pPr>
      <w:r w:rsidRPr="00733028">
        <w:rPr>
          <w:rFonts w:ascii="Calibri" w:eastAsiaTheme="majorEastAsia" w:hAnsi="Calibri" w:cs="Calibri"/>
          <w:b/>
          <w:bCs/>
          <w:sz w:val="24"/>
          <w:szCs w:val="24"/>
        </w:rPr>
        <w:t xml:space="preserve">Απαλλαγή οφειλέτη για τον οποίο δεν ανοίγει πτωχευτική διαδικασία αλλά καταχωρείται στο Μητρώο Φερεγγυότητας. </w:t>
      </w:r>
    </w:p>
    <w:p w14:paraId="70419B76" w14:textId="77777777" w:rsidR="00FB049B" w:rsidRPr="00733028" w:rsidRDefault="00FB049B" w:rsidP="00733028">
      <w:pPr>
        <w:pStyle w:val="a9"/>
        <w:spacing w:line="360" w:lineRule="auto"/>
        <w:jc w:val="both"/>
        <w:rPr>
          <w:rFonts w:eastAsiaTheme="majorEastAsia" w:cs="Calibri"/>
          <w:bCs/>
          <w:sz w:val="24"/>
          <w:szCs w:val="24"/>
        </w:rPr>
      </w:pPr>
      <w:r w:rsidRPr="00733028">
        <w:rPr>
          <w:rFonts w:eastAsiaTheme="majorEastAsia" w:cs="Calibri"/>
          <w:bCs/>
          <w:sz w:val="24"/>
          <w:szCs w:val="24"/>
        </w:rPr>
        <w:t xml:space="preserve">Με νέα ρύθμιση, προστίθεται </w:t>
      </w:r>
      <w:r w:rsidRPr="00733028">
        <w:rPr>
          <w:rFonts w:eastAsiaTheme="majorEastAsia" w:cs="Calibri"/>
          <w:b/>
          <w:bCs/>
          <w:sz w:val="24"/>
          <w:szCs w:val="24"/>
        </w:rPr>
        <w:t>η δυνατότητα στον εισηγητή δικαστή</w:t>
      </w:r>
      <w:r w:rsidRPr="00733028">
        <w:rPr>
          <w:rFonts w:eastAsiaTheme="majorEastAsia" w:cs="Calibri"/>
          <w:bCs/>
          <w:sz w:val="24"/>
          <w:szCs w:val="24"/>
        </w:rPr>
        <w:t xml:space="preserve">, κατόπιν αίτησης του οφειλέτη, να </w:t>
      </w:r>
      <w:r w:rsidRPr="00733028">
        <w:rPr>
          <w:rFonts w:eastAsiaTheme="majorEastAsia" w:cs="Calibri"/>
          <w:b/>
          <w:bCs/>
          <w:sz w:val="24"/>
          <w:szCs w:val="24"/>
        </w:rPr>
        <w:t>εκδίδει πράξη με την οποία διαπιστώνει την επέλευση</w:t>
      </w:r>
      <w:r w:rsidRPr="00733028">
        <w:rPr>
          <w:rFonts w:eastAsiaTheme="majorEastAsia" w:cs="Calibri"/>
          <w:bCs/>
          <w:sz w:val="24"/>
          <w:szCs w:val="24"/>
        </w:rPr>
        <w:t xml:space="preserve"> της απαλλαγής του οφειλέτη από τις οφειλές του. Υπενθυμίζεται ότι εάν δεν επαρκεί η περιουσία του οφειλέτη δεν ανοίγεται πτωχευτική διαδικασία αλλά εγγράφεται στο Μητρώο Φερεγγυότητας. Έτσι, επεκτείνεται η δυνατότητα του εισηγητή δικαστή να εκδώσει και για αυτούς τους οφειλέτες πράξη με την οποία διαπιστώνεται η επέλευση της απαλλαγής.</w:t>
      </w:r>
    </w:p>
    <w:p w14:paraId="1FF5E14D" w14:textId="77777777" w:rsidR="00FB049B" w:rsidRPr="00733028" w:rsidRDefault="00FB049B" w:rsidP="00733028">
      <w:pPr>
        <w:pStyle w:val="a5"/>
        <w:numPr>
          <w:ilvl w:val="0"/>
          <w:numId w:val="10"/>
        </w:numPr>
        <w:spacing w:after="120" w:line="360" w:lineRule="auto"/>
        <w:ind w:right="-199"/>
        <w:rPr>
          <w:rFonts w:ascii="Calibri" w:eastAsiaTheme="majorEastAsia" w:hAnsi="Calibri" w:cs="Calibri"/>
          <w:b/>
          <w:bCs/>
          <w:sz w:val="24"/>
          <w:szCs w:val="24"/>
        </w:rPr>
      </w:pPr>
      <w:r w:rsidRPr="00733028">
        <w:rPr>
          <w:rFonts w:ascii="Calibri" w:eastAsiaTheme="majorEastAsia" w:hAnsi="Calibri" w:cs="Calibri"/>
          <w:b/>
          <w:bCs/>
          <w:sz w:val="24"/>
          <w:szCs w:val="24"/>
        </w:rPr>
        <w:t>Επέκταση προθεσμιών ώστε να μπορεί ο ευάλωτος οφειλέτης να μπει στο ενδιάμεσο πρόγραμμα.</w:t>
      </w:r>
    </w:p>
    <w:p w14:paraId="36D0FBF3" w14:textId="77777777" w:rsidR="00FB049B" w:rsidRPr="00733028" w:rsidRDefault="00FB049B" w:rsidP="00733028">
      <w:pPr>
        <w:spacing w:line="360" w:lineRule="auto"/>
        <w:jc w:val="both"/>
        <w:rPr>
          <w:rFonts w:ascii="Calibri" w:hAnsi="Calibri" w:cs="Calibri"/>
          <w:sz w:val="24"/>
          <w:szCs w:val="24"/>
        </w:rPr>
      </w:pPr>
      <w:r w:rsidRPr="00733028">
        <w:rPr>
          <w:rFonts w:ascii="Calibri" w:hAnsi="Calibri" w:cs="Calibri"/>
          <w:b/>
          <w:sz w:val="24"/>
          <w:szCs w:val="24"/>
        </w:rPr>
        <w:t>Καταργείται η αποκλειστική προθεσμία των εξήντα (60) ημερών</w:t>
      </w:r>
      <w:r w:rsidRPr="00733028">
        <w:rPr>
          <w:rFonts w:ascii="Calibri" w:hAnsi="Calibri" w:cs="Calibri"/>
          <w:sz w:val="24"/>
          <w:szCs w:val="24"/>
        </w:rPr>
        <w:t xml:space="preserve">, εντός της οποίας ο ευάλωτος οφειλέτης καλείται να υποβάλει αίτηση για ένταξή του στο Πρόγραμμα Συνεισφοράς του Δημοσίου σε </w:t>
      </w:r>
      <w:r w:rsidR="00733028" w:rsidRPr="00733028">
        <w:rPr>
          <w:rFonts w:ascii="Calibri" w:hAnsi="Calibri" w:cs="Calibri"/>
          <w:sz w:val="24"/>
          <w:szCs w:val="24"/>
        </w:rPr>
        <w:t>ε</w:t>
      </w:r>
      <w:r w:rsidRPr="00733028">
        <w:rPr>
          <w:rFonts w:ascii="Calibri" w:hAnsi="Calibri" w:cs="Calibri"/>
          <w:sz w:val="24"/>
          <w:szCs w:val="24"/>
        </w:rPr>
        <w:t xml:space="preserve">υάλωτους οφειλέτες. Η κατάργηση αυτή γίνεται προκειμένου να διευκολυνθούν περισσότεροι ευάλωτοι οφειλέτες να ενταχθούν στο πρόγραμμα προστασίας και να διασώσουν από την εκποίηση την κατοικία τους. </w:t>
      </w:r>
      <w:r w:rsidRPr="00733028">
        <w:rPr>
          <w:rFonts w:ascii="Calibri" w:hAnsi="Calibri" w:cs="Calibri"/>
          <w:sz w:val="24"/>
          <w:szCs w:val="24"/>
        </w:rPr>
        <w:lastRenderedPageBreak/>
        <w:t>Παράλληλα, το ίδιο το Ενδιάμεσο πρόγραμμα επεκτείνεται για 4 επιπλέον μήνες</w:t>
      </w:r>
      <w:r w:rsidR="00733028" w:rsidRPr="00733028">
        <w:rPr>
          <w:rFonts w:ascii="Calibri" w:hAnsi="Calibri" w:cs="Calibri"/>
          <w:sz w:val="24"/>
          <w:szCs w:val="24"/>
        </w:rPr>
        <w:t xml:space="preserve"> </w:t>
      </w:r>
      <w:r w:rsidRPr="00733028">
        <w:rPr>
          <w:rFonts w:ascii="Calibri" w:hAnsi="Calibri" w:cs="Calibri"/>
          <w:sz w:val="24"/>
          <w:szCs w:val="24"/>
        </w:rPr>
        <w:t xml:space="preserve">έτσι ώστε να ολοκληρωθούν οι απαιτούμενες ενέργειες για τη σύσταση και λειτουργία του Φορέα Απόκτησης και </w:t>
      </w:r>
      <w:proofErr w:type="spellStart"/>
      <w:r w:rsidRPr="00733028">
        <w:rPr>
          <w:rFonts w:ascii="Calibri" w:hAnsi="Calibri" w:cs="Calibri"/>
          <w:sz w:val="24"/>
          <w:szCs w:val="24"/>
        </w:rPr>
        <w:t>Επαναμίσθωσης</w:t>
      </w:r>
      <w:proofErr w:type="spellEnd"/>
      <w:r w:rsidRPr="00733028">
        <w:rPr>
          <w:rFonts w:ascii="Calibri" w:hAnsi="Calibri" w:cs="Calibri"/>
          <w:sz w:val="24"/>
          <w:szCs w:val="24"/>
        </w:rPr>
        <w:t>.</w:t>
      </w:r>
    </w:p>
    <w:p w14:paraId="0A5E5CDE" w14:textId="77777777" w:rsidR="00FB049B" w:rsidRPr="00733028" w:rsidRDefault="00FB049B" w:rsidP="00733028">
      <w:pPr>
        <w:pStyle w:val="a5"/>
        <w:numPr>
          <w:ilvl w:val="0"/>
          <w:numId w:val="10"/>
        </w:numPr>
        <w:spacing w:after="120" w:line="360" w:lineRule="auto"/>
        <w:rPr>
          <w:rFonts w:ascii="Calibri" w:eastAsiaTheme="majorEastAsia" w:hAnsi="Calibri" w:cs="Calibri"/>
          <w:b/>
          <w:bCs/>
          <w:sz w:val="24"/>
          <w:szCs w:val="24"/>
        </w:rPr>
      </w:pPr>
      <w:r w:rsidRPr="00733028">
        <w:rPr>
          <w:rFonts w:ascii="Calibri" w:eastAsiaTheme="majorEastAsia" w:hAnsi="Calibri" w:cs="Calibri"/>
          <w:b/>
          <w:bCs/>
          <w:sz w:val="24"/>
          <w:szCs w:val="24"/>
        </w:rPr>
        <w:t>Επέκταση της δυνατότητας ρύθμισης δανείων με εγγύηση Ελληνικού Δημοσίου μέσω της διαδικασίας εξυγίανσης</w:t>
      </w:r>
      <w:r w:rsidR="00733028" w:rsidRPr="00733028">
        <w:rPr>
          <w:rFonts w:ascii="Calibri" w:eastAsiaTheme="majorEastAsia" w:hAnsi="Calibri" w:cs="Calibri"/>
          <w:b/>
          <w:bCs/>
          <w:sz w:val="24"/>
          <w:szCs w:val="24"/>
        </w:rPr>
        <w:t>.</w:t>
      </w:r>
    </w:p>
    <w:p w14:paraId="611D5DFA" w14:textId="77777777" w:rsidR="00FB049B" w:rsidRPr="00733028" w:rsidRDefault="00FB049B" w:rsidP="00733028">
      <w:pPr>
        <w:spacing w:line="360" w:lineRule="auto"/>
        <w:ind w:left="360"/>
        <w:jc w:val="both"/>
        <w:rPr>
          <w:rFonts w:ascii="Calibri" w:hAnsi="Calibri" w:cs="Calibri"/>
          <w:sz w:val="24"/>
          <w:szCs w:val="24"/>
        </w:rPr>
      </w:pPr>
      <w:r w:rsidRPr="00733028">
        <w:rPr>
          <w:rFonts w:ascii="Calibri" w:hAnsi="Calibri" w:cs="Calibri"/>
          <w:sz w:val="24"/>
          <w:szCs w:val="24"/>
        </w:rPr>
        <w:t xml:space="preserve">Είχε θεσμοθετηθεί ρητώς η δυνατότητα να ρυθμίζονται μέσω του εξωδικαστικού μηχανισμού δάνεια που έχουν εγγύηση Ελληνικού Δημοσίου με δυνατότητες διαγραφών και επέκτασης του χρόνου αποπληρωμής. </w:t>
      </w:r>
      <w:r w:rsidRPr="00733028">
        <w:rPr>
          <w:rFonts w:ascii="Calibri" w:hAnsi="Calibri" w:cs="Calibri"/>
          <w:b/>
          <w:sz w:val="24"/>
          <w:szCs w:val="24"/>
        </w:rPr>
        <w:t>Η δυνατότητα αυτή επεκτείνεται και στην περίπτωση που ο οφειλέτης επιλέξει να ρυθμίσει τις οφειλές του μέσω της διαδικασίας εξυγίανσης</w:t>
      </w:r>
      <w:r w:rsidRPr="00733028">
        <w:rPr>
          <w:rFonts w:ascii="Calibri" w:hAnsi="Calibri" w:cs="Calibri"/>
          <w:sz w:val="24"/>
          <w:szCs w:val="24"/>
        </w:rPr>
        <w:t xml:space="preserve">. Στόχος είναι να βοηθηθούν οι επιχειρήσεις που έχουν συνήθως μεγαλύτερες οφειλές και για αυτό επιλέγουν το εργαλείο της εξυγίανσης, να ρυθμίσουν και τα δάνεια με  εγγύηση </w:t>
      </w:r>
      <w:r w:rsidR="00733028" w:rsidRPr="00733028">
        <w:rPr>
          <w:rFonts w:ascii="Calibri" w:hAnsi="Calibri" w:cs="Calibri"/>
          <w:sz w:val="24"/>
          <w:szCs w:val="24"/>
        </w:rPr>
        <w:t>ε</w:t>
      </w:r>
      <w:r w:rsidRPr="00733028">
        <w:rPr>
          <w:rFonts w:ascii="Calibri" w:hAnsi="Calibri" w:cs="Calibri"/>
          <w:sz w:val="24"/>
          <w:szCs w:val="24"/>
        </w:rPr>
        <w:t xml:space="preserve">λληνικού δημοσίου, χωρίς να </w:t>
      </w:r>
      <w:proofErr w:type="spellStart"/>
      <w:r w:rsidRPr="00733028">
        <w:rPr>
          <w:rFonts w:ascii="Calibri" w:hAnsi="Calibri" w:cs="Calibri"/>
          <w:sz w:val="24"/>
          <w:szCs w:val="24"/>
        </w:rPr>
        <w:t>διακινδυνεύεται</w:t>
      </w:r>
      <w:proofErr w:type="spellEnd"/>
      <w:r w:rsidRPr="00733028">
        <w:rPr>
          <w:rFonts w:ascii="Calibri" w:hAnsi="Calibri" w:cs="Calibri"/>
          <w:sz w:val="24"/>
          <w:szCs w:val="24"/>
        </w:rPr>
        <w:t xml:space="preserve"> η </w:t>
      </w:r>
      <w:proofErr w:type="spellStart"/>
      <w:r w:rsidRPr="00733028">
        <w:rPr>
          <w:rFonts w:ascii="Calibri" w:hAnsi="Calibri" w:cs="Calibri"/>
          <w:sz w:val="24"/>
          <w:szCs w:val="24"/>
        </w:rPr>
        <w:t>παρασχεθείσα</w:t>
      </w:r>
      <w:proofErr w:type="spellEnd"/>
      <w:r w:rsidRPr="00733028">
        <w:rPr>
          <w:rFonts w:ascii="Calibri" w:hAnsi="Calibri" w:cs="Calibri"/>
          <w:sz w:val="24"/>
          <w:szCs w:val="24"/>
        </w:rPr>
        <w:t xml:space="preserve"> εγγύηση. </w:t>
      </w:r>
    </w:p>
    <w:p w14:paraId="3EAB3BE7" w14:textId="77777777" w:rsidR="00FB049B" w:rsidRPr="00733028" w:rsidRDefault="00FB049B" w:rsidP="00733028">
      <w:pPr>
        <w:pStyle w:val="a5"/>
        <w:numPr>
          <w:ilvl w:val="0"/>
          <w:numId w:val="10"/>
        </w:numPr>
        <w:spacing w:after="120" w:line="360" w:lineRule="auto"/>
        <w:rPr>
          <w:rFonts w:ascii="Calibri" w:eastAsiaTheme="majorEastAsia" w:hAnsi="Calibri" w:cs="Calibri"/>
          <w:b/>
          <w:bCs/>
          <w:sz w:val="24"/>
          <w:szCs w:val="24"/>
        </w:rPr>
      </w:pPr>
      <w:r w:rsidRPr="00733028">
        <w:rPr>
          <w:rFonts w:ascii="Calibri" w:eastAsiaTheme="majorEastAsia" w:hAnsi="Calibri" w:cs="Calibri"/>
          <w:b/>
          <w:bCs/>
          <w:sz w:val="24"/>
          <w:szCs w:val="24"/>
        </w:rPr>
        <w:t>Δημιουργείται μόνιμος μηχανισμός αποζημίωσης ζημιωθέντων της «ΑΣΠΙΣ ΠΡΟΝΟΙΑ»</w:t>
      </w:r>
      <w:r w:rsidR="00733028" w:rsidRPr="00733028">
        <w:rPr>
          <w:rFonts w:ascii="Calibri" w:eastAsiaTheme="majorEastAsia" w:hAnsi="Calibri" w:cs="Calibri"/>
          <w:b/>
          <w:bCs/>
          <w:sz w:val="24"/>
          <w:szCs w:val="24"/>
        </w:rPr>
        <w:t xml:space="preserve"> - </w:t>
      </w:r>
      <w:r w:rsidRPr="00733028">
        <w:rPr>
          <w:rFonts w:ascii="Calibri" w:eastAsiaTheme="majorEastAsia" w:hAnsi="Calibri" w:cs="Calibri"/>
          <w:b/>
          <w:bCs/>
          <w:sz w:val="24"/>
          <w:szCs w:val="24"/>
        </w:rPr>
        <w:t>επιλύονται ζητήματα αποζημιώσεων σε δικαιούχους απαιτήσεων από ασφάλειες ζωής.</w:t>
      </w:r>
    </w:p>
    <w:p w14:paraId="4A25DEF7" w14:textId="77777777" w:rsidR="00FB049B" w:rsidRPr="00733028" w:rsidRDefault="00FB049B" w:rsidP="00733028">
      <w:pPr>
        <w:spacing w:line="360" w:lineRule="auto"/>
        <w:jc w:val="both"/>
        <w:rPr>
          <w:rFonts w:ascii="Calibri" w:hAnsi="Calibri" w:cs="Calibri"/>
          <w:sz w:val="24"/>
          <w:szCs w:val="24"/>
          <w:highlight w:val="yellow"/>
        </w:rPr>
      </w:pPr>
      <w:r w:rsidRPr="00733028">
        <w:rPr>
          <w:rFonts w:ascii="Calibri" w:hAnsi="Calibri" w:cs="Calibri"/>
          <w:sz w:val="24"/>
          <w:szCs w:val="24"/>
        </w:rPr>
        <w:t xml:space="preserve">Προκειμένου να επιλυθεί κατά μόνιμο τρόπο η καταβολή αποζημίωσης σε δικαιούχους απαιτήσεων από ασφάλιση ζωής, η οποία καταβάλλεται από το Εγγυητικό Κεφάλαιο Ιδιωτικής Ασφάλισης Ζωής (ΕΚΙΑΖ), εισάγεται ρύθμιση σύμφωνα με την οποία παρέχεται η δυνατότητα σε αυτό να </w:t>
      </w:r>
      <w:r w:rsidRPr="00733028">
        <w:rPr>
          <w:rFonts w:ascii="Calibri" w:hAnsi="Calibri" w:cs="Calibri"/>
          <w:b/>
          <w:sz w:val="24"/>
          <w:szCs w:val="24"/>
        </w:rPr>
        <w:t>καταβάλει πρόσθετα ποσά</w:t>
      </w:r>
      <w:r w:rsidRPr="00733028">
        <w:rPr>
          <w:rFonts w:ascii="Calibri" w:hAnsi="Calibri" w:cs="Calibri"/>
          <w:sz w:val="24"/>
          <w:szCs w:val="24"/>
        </w:rPr>
        <w:t xml:space="preserve"> στους ασφαλισμένους ως προκαταβολή. Τα πρόσθετα ποσά που θα καταβάλλονται θα λαμβάνουν υπόψιν</w:t>
      </w:r>
      <w:r w:rsidRPr="00733028">
        <w:rPr>
          <w:rFonts w:ascii="Calibri" w:hAnsi="Calibri" w:cs="Calibri"/>
          <w:b/>
          <w:sz w:val="24"/>
          <w:szCs w:val="24"/>
        </w:rPr>
        <w:t xml:space="preserve"> τις οικονομικές δυνατότητες του ΕΚΙΑΖ</w:t>
      </w:r>
      <w:r w:rsidRPr="00733028">
        <w:rPr>
          <w:rFonts w:ascii="Calibri" w:hAnsi="Calibri" w:cs="Calibri"/>
          <w:sz w:val="24"/>
          <w:szCs w:val="24"/>
        </w:rPr>
        <w:t>, καθώς δεν θα δύναται να ξεπερνούν το 25% των διαθεσίμων του. Με τον τρόπο αυτό θα επέλθει ταχύτερη αποζημίωση των ζημιωθέντων από την «ΑΣΠΙΣ ΠΡΟΝΟΙΑ», καθώς θα μπορεί να παρέχεται σε τακτά χρονικά διαστήματα ένα εύλογο ποσό.</w:t>
      </w:r>
    </w:p>
    <w:p w14:paraId="29E77F9A" w14:textId="77777777" w:rsidR="00FB049B" w:rsidRPr="00733028" w:rsidRDefault="00FB049B" w:rsidP="00733028">
      <w:pPr>
        <w:spacing w:line="360" w:lineRule="auto"/>
        <w:jc w:val="both"/>
        <w:rPr>
          <w:rFonts w:ascii="Calibri" w:hAnsi="Calibri" w:cs="Calibri"/>
          <w:b/>
          <w:sz w:val="24"/>
          <w:szCs w:val="24"/>
        </w:rPr>
      </w:pPr>
      <w:r w:rsidRPr="00733028">
        <w:rPr>
          <w:rFonts w:ascii="Calibri" w:hAnsi="Calibri" w:cs="Calibri"/>
          <w:b/>
          <w:sz w:val="24"/>
          <w:szCs w:val="24"/>
        </w:rPr>
        <w:t>Στοιχεία για το ιδιωτικό χρέος</w:t>
      </w:r>
    </w:p>
    <w:p w14:paraId="3116F091" w14:textId="77777777" w:rsidR="00FB049B" w:rsidRPr="00733028" w:rsidRDefault="00FB049B" w:rsidP="00733028">
      <w:pPr>
        <w:spacing w:line="360" w:lineRule="auto"/>
        <w:ind w:right="-199"/>
        <w:jc w:val="both"/>
        <w:rPr>
          <w:rFonts w:ascii="Calibri" w:hAnsi="Calibri" w:cs="Calibri"/>
          <w:sz w:val="24"/>
          <w:szCs w:val="24"/>
        </w:rPr>
      </w:pPr>
      <w:r w:rsidRPr="00733028">
        <w:rPr>
          <w:rFonts w:ascii="Calibri" w:hAnsi="Calibri" w:cs="Calibri"/>
          <w:sz w:val="24"/>
          <w:szCs w:val="24"/>
        </w:rPr>
        <w:t xml:space="preserve">Τα τελευταία χρόνια, η </w:t>
      </w:r>
      <w:r w:rsidRPr="00733028">
        <w:rPr>
          <w:rFonts w:ascii="Calibri" w:hAnsi="Calibri" w:cs="Calibri"/>
          <w:b/>
          <w:sz w:val="24"/>
          <w:szCs w:val="24"/>
        </w:rPr>
        <w:t>πρόοδος</w:t>
      </w:r>
      <w:r w:rsidRPr="00733028">
        <w:rPr>
          <w:rFonts w:ascii="Calibri" w:hAnsi="Calibri" w:cs="Calibri"/>
          <w:sz w:val="24"/>
          <w:szCs w:val="24"/>
        </w:rPr>
        <w:t xml:space="preserve"> που έχει σημειωθεί στο πεδίο της μείωσης του ιδιωτικού χρέους είναι </w:t>
      </w:r>
      <w:r w:rsidRPr="00733028">
        <w:rPr>
          <w:rFonts w:ascii="Calibri" w:hAnsi="Calibri" w:cs="Calibri"/>
          <w:b/>
          <w:sz w:val="24"/>
          <w:szCs w:val="24"/>
        </w:rPr>
        <w:t>σημαντική</w:t>
      </w:r>
      <w:r w:rsidRPr="00733028">
        <w:rPr>
          <w:rFonts w:ascii="Calibri" w:hAnsi="Calibri" w:cs="Calibri"/>
          <w:sz w:val="24"/>
          <w:szCs w:val="24"/>
        </w:rPr>
        <w:t xml:space="preserve"> όπως αποτυπώνεται στα επίσημα στοιχεία. Παρατηρείται σημαντική μείωση του μη εξυπηρετούμενου ιδιωτικού χρέους νοικοκυριών και επιχειρήσεων καθώς τα μη εξυπηρετούμενα δάνεια στο σύνολο τους, </w:t>
      </w:r>
      <w:r w:rsidRPr="00733028">
        <w:rPr>
          <w:rFonts w:ascii="Calibri" w:hAnsi="Calibri" w:cs="Calibri"/>
          <w:sz w:val="24"/>
          <w:szCs w:val="24"/>
        </w:rPr>
        <w:lastRenderedPageBreak/>
        <w:t xml:space="preserve">δηλαδή σε τράπεζες και </w:t>
      </w:r>
      <w:r w:rsidRPr="00733028">
        <w:rPr>
          <w:rFonts w:ascii="Calibri" w:hAnsi="Calibri" w:cs="Calibri"/>
          <w:sz w:val="24"/>
          <w:szCs w:val="24"/>
          <w:lang w:val="en-US"/>
        </w:rPr>
        <w:t>servicers</w:t>
      </w:r>
      <w:r w:rsidRPr="00733028">
        <w:rPr>
          <w:rFonts w:ascii="Calibri" w:hAnsi="Calibri" w:cs="Calibri"/>
          <w:sz w:val="24"/>
          <w:szCs w:val="24"/>
        </w:rPr>
        <w:t xml:space="preserve">, </w:t>
      </w:r>
      <w:r w:rsidRPr="00733028">
        <w:rPr>
          <w:rFonts w:ascii="Calibri" w:hAnsi="Calibri" w:cs="Calibri"/>
          <w:b/>
          <w:sz w:val="24"/>
          <w:szCs w:val="24"/>
        </w:rPr>
        <w:t>έχουν πέσει από 92 δι</w:t>
      </w:r>
      <w:r w:rsidR="00733028" w:rsidRPr="00733028">
        <w:rPr>
          <w:rFonts w:ascii="Calibri" w:hAnsi="Calibri" w:cs="Calibri"/>
          <w:b/>
          <w:sz w:val="24"/>
          <w:szCs w:val="24"/>
        </w:rPr>
        <w:t>σ.</w:t>
      </w:r>
      <w:r w:rsidRPr="00733028">
        <w:rPr>
          <w:rFonts w:ascii="Calibri" w:hAnsi="Calibri" w:cs="Calibri"/>
          <w:b/>
          <w:sz w:val="24"/>
          <w:szCs w:val="24"/>
        </w:rPr>
        <w:t xml:space="preserve"> ευρώ το 2019 στα 67 δι</w:t>
      </w:r>
      <w:r w:rsidR="00733028" w:rsidRPr="00733028">
        <w:rPr>
          <w:rFonts w:ascii="Calibri" w:hAnsi="Calibri" w:cs="Calibri"/>
          <w:b/>
          <w:sz w:val="24"/>
          <w:szCs w:val="24"/>
        </w:rPr>
        <w:t>σ.</w:t>
      </w:r>
      <w:r w:rsidRPr="00733028">
        <w:rPr>
          <w:rFonts w:ascii="Calibri" w:hAnsi="Calibri" w:cs="Calibri"/>
          <w:b/>
          <w:sz w:val="24"/>
          <w:szCs w:val="24"/>
        </w:rPr>
        <w:t xml:space="preserve"> το γ’ τρίμηνο του 2024, </w:t>
      </w:r>
      <w:r w:rsidRPr="00733028">
        <w:rPr>
          <w:rFonts w:ascii="Calibri" w:hAnsi="Calibri" w:cs="Calibri"/>
          <w:sz w:val="24"/>
          <w:szCs w:val="24"/>
        </w:rPr>
        <w:t>και η πτωτική τους πορεία αναμένεται να συνεχιστεί χάρη στις σχετικές πρωτοβουλίες της Κυβέρνησης. Τέλος, αναφορικά με την μείωση των κόκκινων δανείων στις τράπεζες, μέσω του προγράμματος «</w:t>
      </w:r>
      <w:r w:rsidRPr="00733028">
        <w:rPr>
          <w:rFonts w:ascii="Calibri" w:hAnsi="Calibri" w:cs="Calibri"/>
          <w:b/>
          <w:sz w:val="24"/>
          <w:szCs w:val="24"/>
        </w:rPr>
        <w:t>ΗΡΑΚΛΗΣ</w:t>
      </w:r>
      <w:r w:rsidRPr="00733028">
        <w:rPr>
          <w:rFonts w:ascii="Calibri" w:hAnsi="Calibri" w:cs="Calibri"/>
          <w:sz w:val="24"/>
          <w:szCs w:val="24"/>
        </w:rPr>
        <w:t xml:space="preserve">», οι τράπεζες πέτυχαν αξιοσημείωτη μείωση των μη εξυπηρετούμενων δανείων στα χαρτοφυλάκια τους. </w:t>
      </w:r>
      <w:r w:rsidRPr="00733028">
        <w:rPr>
          <w:rFonts w:ascii="Calibri" w:hAnsi="Calibri" w:cs="Calibri"/>
          <w:b/>
          <w:sz w:val="24"/>
          <w:szCs w:val="24"/>
        </w:rPr>
        <w:t>Το γ’ τρίμηνο 2024 το ποσοστό έφτασε το 4,6% (το 2019 το ποσοστό ανερχόταν στο 40,6%)</w:t>
      </w:r>
      <w:r w:rsidRPr="00733028">
        <w:rPr>
          <w:rFonts w:ascii="Calibri" w:hAnsi="Calibri" w:cs="Calibri"/>
          <w:sz w:val="24"/>
          <w:szCs w:val="24"/>
        </w:rPr>
        <w:t xml:space="preserve">, χαμηλότερο και από την περίοδο πριν από την κρίση. </w:t>
      </w:r>
    </w:p>
    <w:p w14:paraId="5817B84D" w14:textId="77777777" w:rsidR="00FB049B" w:rsidRPr="00FB049B" w:rsidRDefault="00FB049B" w:rsidP="00733028">
      <w:pPr>
        <w:spacing w:line="360" w:lineRule="auto"/>
        <w:ind w:right="-199"/>
        <w:jc w:val="right"/>
        <w:rPr>
          <w:rFonts w:cstheme="minorHAnsi"/>
          <w:sz w:val="24"/>
          <w:szCs w:val="24"/>
        </w:rPr>
      </w:pPr>
      <w:r w:rsidRPr="00FB049B">
        <w:rPr>
          <w:rFonts w:cstheme="minorHAnsi"/>
          <w:b/>
          <w:sz w:val="24"/>
          <w:szCs w:val="24"/>
        </w:rPr>
        <w:t xml:space="preserve">ΑΠΟ ΤΟ ΓΡΑΦΕΙΟ ΤΥΠΟΥ </w:t>
      </w:r>
    </w:p>
    <w:p w14:paraId="210642B5" w14:textId="77777777" w:rsidR="00FB049B" w:rsidRPr="00FB049B" w:rsidRDefault="00FB049B" w:rsidP="00FB049B">
      <w:pPr>
        <w:spacing w:line="360" w:lineRule="auto"/>
        <w:jc w:val="both"/>
        <w:rPr>
          <w:rFonts w:cstheme="minorHAnsi"/>
          <w:b/>
          <w:sz w:val="24"/>
          <w:szCs w:val="24"/>
        </w:rPr>
      </w:pPr>
    </w:p>
    <w:sectPr w:rsidR="00FB049B" w:rsidRPr="00FB049B"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251A" w14:textId="77777777" w:rsidR="00E14366" w:rsidRDefault="00E14366" w:rsidP="00903640">
      <w:pPr>
        <w:spacing w:after="0" w:line="240" w:lineRule="auto"/>
      </w:pPr>
      <w:r>
        <w:separator/>
      </w:r>
    </w:p>
  </w:endnote>
  <w:endnote w:type="continuationSeparator" w:id="0">
    <w:p w14:paraId="4473238A" w14:textId="77777777" w:rsidR="00E14366" w:rsidRDefault="00E14366"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8D9A" w14:textId="77777777" w:rsidR="00E14366" w:rsidRDefault="00E14366" w:rsidP="00903640">
      <w:pPr>
        <w:spacing w:after="0" w:line="240" w:lineRule="auto"/>
      </w:pPr>
      <w:r>
        <w:separator/>
      </w:r>
    </w:p>
  </w:footnote>
  <w:footnote w:type="continuationSeparator" w:id="0">
    <w:p w14:paraId="6D5A9C9F" w14:textId="77777777" w:rsidR="00E14366" w:rsidRDefault="00E14366"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48E0"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8746" w14:textId="7777777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76C4D95F" wp14:editId="78D40FD6">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14:paraId="44C3517C" w14:textId="77777777" w:rsidR="00524F85" w:rsidRDefault="00524F85" w:rsidP="009821BA">
    <w:pPr>
      <w:pStyle w:val="a3"/>
      <w:tabs>
        <w:tab w:val="clear" w:pos="8306"/>
      </w:tabs>
      <w:ind w:left="-426" w:right="-1700" w:firstLine="1"/>
    </w:pPr>
  </w:p>
  <w:p w14:paraId="1419DFB6"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2B735D"/>
    <w:multiLevelType w:val="hybridMultilevel"/>
    <w:tmpl w:val="83E8C618"/>
    <w:lvl w:ilvl="0" w:tplc="0DC001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771405E"/>
    <w:multiLevelType w:val="hybridMultilevel"/>
    <w:tmpl w:val="5450E0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D5768D9"/>
    <w:multiLevelType w:val="hybridMultilevel"/>
    <w:tmpl w:val="EE36143A"/>
    <w:lvl w:ilvl="0" w:tplc="3898AFCC">
      <w:start w:val="1"/>
      <w:numFmt w:val="bullet"/>
      <w:lvlText w:val=""/>
      <w:lvlJc w:val="left"/>
      <w:pPr>
        <w:ind w:left="1800" w:hanging="360"/>
      </w:pPr>
      <w:rPr>
        <w:rFonts w:ascii="Symbol" w:hAnsi="Symbol" w:hint="default"/>
        <w:u w:color="FFCC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43298830">
    <w:abstractNumId w:val="5"/>
  </w:num>
  <w:num w:numId="2" w16cid:durableId="1513373651">
    <w:abstractNumId w:val="0"/>
  </w:num>
  <w:num w:numId="3" w16cid:durableId="1458836990">
    <w:abstractNumId w:val="1"/>
  </w:num>
  <w:num w:numId="4" w16cid:durableId="1700662512">
    <w:abstractNumId w:val="8"/>
  </w:num>
  <w:num w:numId="5" w16cid:durableId="1426611594">
    <w:abstractNumId w:val="9"/>
  </w:num>
  <w:num w:numId="6" w16cid:durableId="987855928">
    <w:abstractNumId w:val="6"/>
  </w:num>
  <w:num w:numId="7" w16cid:durableId="1249970697">
    <w:abstractNumId w:val="3"/>
  </w:num>
  <w:num w:numId="8" w16cid:durableId="670184495">
    <w:abstractNumId w:val="4"/>
  </w:num>
  <w:num w:numId="9" w16cid:durableId="383063417">
    <w:abstractNumId w:val="7"/>
  </w:num>
  <w:num w:numId="10" w16cid:durableId="187905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2D79"/>
    <w:rsid w:val="000147F8"/>
    <w:rsid w:val="000357B9"/>
    <w:rsid w:val="00045394"/>
    <w:rsid w:val="00060FEA"/>
    <w:rsid w:val="00066689"/>
    <w:rsid w:val="000B2F92"/>
    <w:rsid w:val="000C3FBE"/>
    <w:rsid w:val="000E375B"/>
    <w:rsid w:val="000F5EF2"/>
    <w:rsid w:val="00105C76"/>
    <w:rsid w:val="0013071D"/>
    <w:rsid w:val="001549F0"/>
    <w:rsid w:val="00165AEC"/>
    <w:rsid w:val="00167D9A"/>
    <w:rsid w:val="001817D4"/>
    <w:rsid w:val="00191FEA"/>
    <w:rsid w:val="001A1F5E"/>
    <w:rsid w:val="001A536F"/>
    <w:rsid w:val="001C0047"/>
    <w:rsid w:val="001E6EF7"/>
    <w:rsid w:val="00201A9B"/>
    <w:rsid w:val="002619C4"/>
    <w:rsid w:val="0026720E"/>
    <w:rsid w:val="00276928"/>
    <w:rsid w:val="00291F5F"/>
    <w:rsid w:val="00296258"/>
    <w:rsid w:val="002A01A6"/>
    <w:rsid w:val="002A081C"/>
    <w:rsid w:val="002D4607"/>
    <w:rsid w:val="002E04FE"/>
    <w:rsid w:val="002F06CB"/>
    <w:rsid w:val="00304953"/>
    <w:rsid w:val="003106D8"/>
    <w:rsid w:val="00326109"/>
    <w:rsid w:val="00355182"/>
    <w:rsid w:val="0036367F"/>
    <w:rsid w:val="003B6024"/>
    <w:rsid w:val="003D1F57"/>
    <w:rsid w:val="003F4288"/>
    <w:rsid w:val="00411912"/>
    <w:rsid w:val="00421E1D"/>
    <w:rsid w:val="00462242"/>
    <w:rsid w:val="00465D35"/>
    <w:rsid w:val="00474D7F"/>
    <w:rsid w:val="004A12C0"/>
    <w:rsid w:val="004B5C31"/>
    <w:rsid w:val="004E2705"/>
    <w:rsid w:val="004E48BE"/>
    <w:rsid w:val="004E6A90"/>
    <w:rsid w:val="004F7BAD"/>
    <w:rsid w:val="004F7F5C"/>
    <w:rsid w:val="00506167"/>
    <w:rsid w:val="00524158"/>
    <w:rsid w:val="00524F85"/>
    <w:rsid w:val="00542BE5"/>
    <w:rsid w:val="00545212"/>
    <w:rsid w:val="00571CA0"/>
    <w:rsid w:val="00572FCE"/>
    <w:rsid w:val="00573C19"/>
    <w:rsid w:val="00596126"/>
    <w:rsid w:val="005C53FB"/>
    <w:rsid w:val="005E0403"/>
    <w:rsid w:val="005F5BE7"/>
    <w:rsid w:val="00605CBE"/>
    <w:rsid w:val="00624ED5"/>
    <w:rsid w:val="00630021"/>
    <w:rsid w:val="00631E64"/>
    <w:rsid w:val="00640F3F"/>
    <w:rsid w:val="00650F70"/>
    <w:rsid w:val="006559E1"/>
    <w:rsid w:val="006655D2"/>
    <w:rsid w:val="00675465"/>
    <w:rsid w:val="006A5FD3"/>
    <w:rsid w:val="006A77EB"/>
    <w:rsid w:val="006A7DEB"/>
    <w:rsid w:val="006B0151"/>
    <w:rsid w:val="006B51F4"/>
    <w:rsid w:val="006C25B5"/>
    <w:rsid w:val="006C3390"/>
    <w:rsid w:val="006C6393"/>
    <w:rsid w:val="006C73F3"/>
    <w:rsid w:val="006D3518"/>
    <w:rsid w:val="0070003F"/>
    <w:rsid w:val="00727485"/>
    <w:rsid w:val="0072778A"/>
    <w:rsid w:val="00733028"/>
    <w:rsid w:val="00755F63"/>
    <w:rsid w:val="00776A5F"/>
    <w:rsid w:val="00780AA0"/>
    <w:rsid w:val="00791BAA"/>
    <w:rsid w:val="007B238D"/>
    <w:rsid w:val="007B472B"/>
    <w:rsid w:val="007B71ED"/>
    <w:rsid w:val="007E0306"/>
    <w:rsid w:val="008066A6"/>
    <w:rsid w:val="00836F6C"/>
    <w:rsid w:val="00853038"/>
    <w:rsid w:val="00883B52"/>
    <w:rsid w:val="00886575"/>
    <w:rsid w:val="008B2A36"/>
    <w:rsid w:val="008C6BDE"/>
    <w:rsid w:val="008D18CE"/>
    <w:rsid w:val="008D248B"/>
    <w:rsid w:val="008E4CB8"/>
    <w:rsid w:val="008F064A"/>
    <w:rsid w:val="008F4F8F"/>
    <w:rsid w:val="00903640"/>
    <w:rsid w:val="00925C4F"/>
    <w:rsid w:val="00957F16"/>
    <w:rsid w:val="00963636"/>
    <w:rsid w:val="00970D40"/>
    <w:rsid w:val="00974756"/>
    <w:rsid w:val="00980E95"/>
    <w:rsid w:val="009821BA"/>
    <w:rsid w:val="0098684E"/>
    <w:rsid w:val="009A1D8D"/>
    <w:rsid w:val="009F023E"/>
    <w:rsid w:val="00A009A4"/>
    <w:rsid w:val="00A26184"/>
    <w:rsid w:val="00A27FDA"/>
    <w:rsid w:val="00A42F91"/>
    <w:rsid w:val="00A63AA0"/>
    <w:rsid w:val="00A72257"/>
    <w:rsid w:val="00A83C9E"/>
    <w:rsid w:val="00A96DCE"/>
    <w:rsid w:val="00AA3762"/>
    <w:rsid w:val="00AB314A"/>
    <w:rsid w:val="00AB48A9"/>
    <w:rsid w:val="00AC4BEE"/>
    <w:rsid w:val="00AD5BF1"/>
    <w:rsid w:val="00AE5992"/>
    <w:rsid w:val="00AF02D3"/>
    <w:rsid w:val="00B12D65"/>
    <w:rsid w:val="00B1580B"/>
    <w:rsid w:val="00B15D35"/>
    <w:rsid w:val="00B23C26"/>
    <w:rsid w:val="00B272E9"/>
    <w:rsid w:val="00B500E6"/>
    <w:rsid w:val="00B757B4"/>
    <w:rsid w:val="00B855A1"/>
    <w:rsid w:val="00BA2EB6"/>
    <w:rsid w:val="00BB1074"/>
    <w:rsid w:val="00BB5DA1"/>
    <w:rsid w:val="00BC34EF"/>
    <w:rsid w:val="00BD37D6"/>
    <w:rsid w:val="00BD3A3C"/>
    <w:rsid w:val="00BE3C6C"/>
    <w:rsid w:val="00C418AF"/>
    <w:rsid w:val="00C51093"/>
    <w:rsid w:val="00C53AC3"/>
    <w:rsid w:val="00C63906"/>
    <w:rsid w:val="00C74766"/>
    <w:rsid w:val="00C857A3"/>
    <w:rsid w:val="00C878EA"/>
    <w:rsid w:val="00CE0293"/>
    <w:rsid w:val="00CE4684"/>
    <w:rsid w:val="00CF0356"/>
    <w:rsid w:val="00D75D1A"/>
    <w:rsid w:val="00D855A1"/>
    <w:rsid w:val="00D86FB0"/>
    <w:rsid w:val="00D94188"/>
    <w:rsid w:val="00DA3706"/>
    <w:rsid w:val="00DD06E9"/>
    <w:rsid w:val="00DD64F9"/>
    <w:rsid w:val="00DE4F60"/>
    <w:rsid w:val="00DF1F58"/>
    <w:rsid w:val="00E06B12"/>
    <w:rsid w:val="00E14366"/>
    <w:rsid w:val="00E378F9"/>
    <w:rsid w:val="00E46BB7"/>
    <w:rsid w:val="00E55E00"/>
    <w:rsid w:val="00E62AEF"/>
    <w:rsid w:val="00E673AF"/>
    <w:rsid w:val="00EA20C3"/>
    <w:rsid w:val="00EA3EB1"/>
    <w:rsid w:val="00EB4981"/>
    <w:rsid w:val="00EC6ADA"/>
    <w:rsid w:val="00F9706B"/>
    <w:rsid w:val="00FB049B"/>
    <w:rsid w:val="00FB2977"/>
    <w:rsid w:val="00FC06EF"/>
    <w:rsid w:val="00FC5CF5"/>
    <w:rsid w:val="00FC6AD9"/>
    <w:rsid w:val="00FD6B95"/>
    <w:rsid w:val="00FE2320"/>
    <w:rsid w:val="00FE4859"/>
    <w:rsid w:val="00FF741D"/>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F91B"/>
  <w15:docId w15:val="{E828CF76-4351-4A24-8BE9-4DB98ADB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styleId="a7">
    <w:name w:val="Emphasis"/>
    <w:basedOn w:val="a0"/>
    <w:uiPriority w:val="20"/>
    <w:qFormat/>
    <w:rsid w:val="006B0151"/>
    <w:rPr>
      <w:i/>
      <w:iCs/>
    </w:rPr>
  </w:style>
  <w:style w:type="character" w:customStyle="1" w:styleId="il">
    <w:name w:val="il"/>
    <w:basedOn w:val="a0"/>
    <w:rsid w:val="006B0151"/>
  </w:style>
  <w:style w:type="table" w:styleId="a8">
    <w:name w:val="Table Grid"/>
    <w:basedOn w:val="a1"/>
    <w:uiPriority w:val="59"/>
    <w:rsid w:val="00D94188"/>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uiPriority w:val="99"/>
    <w:unhideWhenUsed/>
    <w:rsid w:val="00D94188"/>
    <w:pPr>
      <w:spacing w:after="0" w:line="240" w:lineRule="auto"/>
    </w:pPr>
    <w:rPr>
      <w:rFonts w:ascii="Calibri" w:hAnsi="Calibri"/>
      <w:szCs w:val="21"/>
    </w:rPr>
  </w:style>
  <w:style w:type="character" w:customStyle="1" w:styleId="Char2">
    <w:name w:val="Απλό κείμενο Char"/>
    <w:basedOn w:val="a0"/>
    <w:link w:val="a9"/>
    <w:uiPriority w:val="99"/>
    <w:rsid w:val="00D941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10106</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Akis Haralabidis</cp:lastModifiedBy>
  <cp:revision>2</cp:revision>
  <dcterms:created xsi:type="dcterms:W3CDTF">2025-02-05T13:07:00Z</dcterms:created>
  <dcterms:modified xsi:type="dcterms:W3CDTF">2025-02-05T13:07:00Z</dcterms:modified>
</cp:coreProperties>
</file>