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0E5A8" w14:textId="5D610A13" w:rsidR="00805F10" w:rsidRPr="00B003DD" w:rsidRDefault="00805F10" w:rsidP="00514DD6">
      <w:pPr>
        <w:jc w:val="both"/>
        <w:rPr>
          <w:rFonts w:cstheme="minorHAnsi"/>
          <w:b/>
          <w:color w:val="2F5496" w:themeColor="accent1" w:themeShade="BF"/>
        </w:rPr>
      </w:pPr>
      <w:r w:rsidRPr="00477F98">
        <w:rPr>
          <w:rFonts w:cstheme="minorHAnsi"/>
          <w:b/>
          <w:color w:val="2F5496" w:themeColor="accent1" w:themeShade="BF"/>
        </w:rPr>
        <w:t>ΚΥΡΙΟΤΕΡΑ ΣΗΜΕΙΑ ΚΡΑΤΙΚΟΥ ΠΡΟΫΠΟΛΟΓΙΣΜΟΥ 202</w:t>
      </w:r>
      <w:r w:rsidR="00CB5870" w:rsidRPr="00B003DD">
        <w:rPr>
          <w:rFonts w:cstheme="minorHAnsi"/>
          <w:b/>
          <w:color w:val="2F5496" w:themeColor="accent1" w:themeShade="BF"/>
        </w:rPr>
        <w:t>5</w:t>
      </w:r>
    </w:p>
    <w:p w14:paraId="79EC0513" w14:textId="77777777" w:rsidR="00B003DD" w:rsidRDefault="00B003DD" w:rsidP="00B003DD">
      <w:pPr>
        <w:jc w:val="both"/>
        <w:rPr>
          <w:rFonts w:eastAsia="Calibri"/>
        </w:rPr>
      </w:pPr>
      <w:r>
        <w:rPr>
          <w:rFonts w:eastAsia="Calibri"/>
        </w:rPr>
        <w:t>Την τελευταία τριετία η παγκόσμια οικονομία αντιμετώπισε αλλεπάλληλες κρίσεις λόγω αλληλοσυνδεόμενων αναταραχών σε οικονομικό, κλιματικό και γεωπολιτικό επίπεδο. Παρά τα σημάδια ανάκαμψης το διεθνές οικονομικό περιβάλλον χαρακτηρίζεται από αυξημένη αβεβαιότητα που συνδέεται με τις πρόσφατες γεωπολιτικές εξελίξεις στη Μέση Ανατολή, τον παρατεταμένο πόλεμο στην Ουκρανία καθώς και με βραχυπρόθεσμους παράγοντες, όπως οι εμπορικές εντάσεις, οι συσταλτικές νομισματικές πολιτικές, ο περιορισμός της δημοσιονομικής στήριξης διεθνώς μετά την πανδημία και την ενεργειακή κρίση, αλλά και με τις σημαντικές και επιταχυνόμενες επιπτώσεις της κλιματικής αλλαγής.</w:t>
      </w:r>
    </w:p>
    <w:p w14:paraId="6E8BA502" w14:textId="77777777" w:rsidR="00B003DD" w:rsidRDefault="00B003DD" w:rsidP="00B003DD">
      <w:pPr>
        <w:jc w:val="both"/>
        <w:rPr>
          <w:rFonts w:eastAsia="Calibri"/>
        </w:rPr>
      </w:pPr>
      <w:r>
        <w:rPr>
          <w:rFonts w:eastAsia="Calibri"/>
        </w:rPr>
        <w:t xml:space="preserve">Σε αυτό το δυσμενές και αβέβαιο διεθνές περιβάλλον η ελληνική οικονομία αποδεικνύεται ανθεκτική. Ο ρυθμός ανάπτυξης αναμένεται να ανέλθει σε 2,2% το 2024 και 2,3% το 2025 </w:t>
      </w:r>
      <w:r w:rsidRPr="00D97DC4">
        <w:rPr>
          <w:rFonts w:eastAsia="Calibri"/>
        </w:rPr>
        <w:t xml:space="preserve">έναντι 0,8% και 1,3%, αντίστοιχα, που εκτιμάται για την Ευρωζώνη, με βάση τις φθινοπωρινές προβλέψεις της Ευρωπαϊκής Επιτροπής. Οι επενδύσεις αναμένεται να αυξηθούν κατά 6,7% το 2024 και 8,4% το 2025 και το ποσοστό ανεργίας να μειωθεί από 10,3% το 2024 σε 9,7% το 2025. Το Ακαθάριστο Εγχώριο Προϊόν </w:t>
      </w:r>
      <w:r>
        <w:rPr>
          <w:rFonts w:eastAsia="Calibri"/>
        </w:rPr>
        <w:t xml:space="preserve">(ΑΕΠ) </w:t>
      </w:r>
      <w:r w:rsidRPr="00D97DC4">
        <w:rPr>
          <w:rFonts w:eastAsia="Calibri"/>
        </w:rPr>
        <w:t>σε ονομαστικούς όρους αναμένεται να αυξηθεί κατά περίπου 10 δισ. ευρώ το 2025 και ο λόγος του χρέους της Γενικής Κυβέρνησης προς το ΑΕΠ να μειωθεί</w:t>
      </w:r>
      <w:r>
        <w:rPr>
          <w:rFonts w:eastAsia="Calibri"/>
        </w:rPr>
        <w:t xml:space="preserve"> από 163,9% το 2023 σε 154% το 2024 και περαιτέρω σε 147,5% το 2025.</w:t>
      </w:r>
      <w:r w:rsidRPr="00D97DC4">
        <w:rPr>
          <w:rFonts w:eastAsia="Calibri"/>
        </w:rPr>
        <w:t xml:space="preserve"> Ο</w:t>
      </w:r>
      <w:r>
        <w:rPr>
          <w:rFonts w:eastAsia="Calibri"/>
        </w:rPr>
        <w:t xml:space="preserve"> ρυθμός μεταβολής του Δείκτη Τιμών Καταναλωτή εκτιμάται σε 2,7% το 2024 και αναμένεται να αποκλιμακωθεί σε 2,1% το 2025.</w:t>
      </w:r>
    </w:p>
    <w:p w14:paraId="7E462859" w14:textId="77777777" w:rsidR="00B003DD" w:rsidRDefault="00B003DD" w:rsidP="00B003DD">
      <w:pPr>
        <w:jc w:val="both"/>
        <w:rPr>
          <w:rFonts w:eastAsia="Calibri"/>
        </w:rPr>
      </w:pPr>
      <w:r>
        <w:rPr>
          <w:rFonts w:eastAsia="Calibri"/>
        </w:rPr>
        <w:t xml:space="preserve">Ο προϋπολογισμός του 2025 περιλαμβάνει το σύνολο των παρεμβάσεων που έχουν ανακοινωθεί, συμπεριλαμβανομένων όσων παρουσιάστηκαν στη Διεθνή Έκθεση Θεσσαλονίκης. Τα νέα μόνιμα δημοσιονομικά μέτρα που επηρεάζουν τον τακτικό προϋπολογισμό επιφέρουν επιπλέον δημοσιονομικό κόστος το 2025 σε σχέση με το 2024, ύψους 1,1 δισ. ευρώ, ενώ πλήθος άλλων παρεμβάσεων χρηματοδοτείται από πόρους του </w:t>
      </w:r>
      <w:r w:rsidRPr="00B35BAE">
        <w:rPr>
          <w:rFonts w:eastAsia="Calibri"/>
        </w:rPr>
        <w:t>προϋπολογισμού δημοσίων επενδύσεων (εθνικό και συγχρηματοδοτούμενο σκέλος και Ταμείο Ανάκαμψης και Ανθεκτικότητας</w:t>
      </w:r>
      <w:r>
        <w:rPr>
          <w:rFonts w:eastAsia="Calibri"/>
        </w:rPr>
        <w:t xml:space="preserve"> - ΤΑΑ</w:t>
      </w:r>
      <w:r w:rsidRPr="00B35BAE">
        <w:rPr>
          <w:rFonts w:eastAsia="Calibri"/>
        </w:rPr>
        <w:t>). Σε αυτό</w:t>
      </w:r>
      <w:r>
        <w:rPr>
          <w:rFonts w:eastAsia="Calibri"/>
        </w:rPr>
        <w:t xml:space="preserve"> το πλαίσιο οι επενδυτικές δαπάνες αναμένεται να </w:t>
      </w:r>
      <w:r w:rsidRPr="00512A5E">
        <w:rPr>
          <w:rFonts w:eastAsia="Calibri"/>
        </w:rPr>
        <w:t>αυξηθούν από 13,15 δισ.</w:t>
      </w:r>
      <w:r>
        <w:rPr>
          <w:rFonts w:eastAsia="Calibri"/>
        </w:rPr>
        <w:t xml:space="preserve"> ευρώ το 2024 </w:t>
      </w:r>
      <w:r w:rsidRPr="00F0448C">
        <w:rPr>
          <w:rFonts w:eastAsia="Calibri"/>
        </w:rPr>
        <w:t>σε 14,1 δισ. ευρώ</w:t>
      </w:r>
      <w:r>
        <w:rPr>
          <w:rFonts w:eastAsia="Calibri"/>
        </w:rPr>
        <w:t xml:space="preserve"> το 2025, πλέον των πόρων του δανειακού σκέλους του ΤΑΑ.</w:t>
      </w:r>
    </w:p>
    <w:p w14:paraId="6486CA74" w14:textId="77777777" w:rsidR="00B003DD" w:rsidRDefault="00B003DD" w:rsidP="00B003DD">
      <w:pPr>
        <w:jc w:val="both"/>
        <w:rPr>
          <w:rFonts w:eastAsia="Calibri"/>
        </w:rPr>
      </w:pPr>
      <w:r w:rsidRPr="0003476B">
        <w:rPr>
          <w:rFonts w:eastAsia="Calibri"/>
        </w:rPr>
        <w:t>Τα ανωτέρω θετικά αποτελέσματα για την ελληνική οικονομία επιτυγχάνονται στη βάση της δημοσιονομικής σύνεσης. Παράλληλα, ενισχύεται το κοινωνικό κράτος και εφαρμόζεται ένα πλέγμα δημοσιονομικών παρεμβάσεων</w:t>
      </w:r>
      <w:r>
        <w:rPr>
          <w:rFonts w:eastAsia="Calibri"/>
        </w:rPr>
        <w:t>,</w:t>
      </w:r>
      <w:r w:rsidRPr="0003476B">
        <w:rPr>
          <w:rFonts w:eastAsia="Calibri"/>
        </w:rPr>
        <w:t xml:space="preserve"> </w:t>
      </w:r>
      <w:r>
        <w:rPr>
          <w:rFonts w:eastAsia="Calibri"/>
        </w:rPr>
        <w:t>το οποίο</w:t>
      </w:r>
      <w:r w:rsidRPr="0003476B">
        <w:rPr>
          <w:rFonts w:eastAsia="Calibri"/>
        </w:rPr>
        <w:t xml:space="preserve"> βελτιώνει το πραγματικό εισόδημα των πολιτών και μειώνει τις κοινωνικές ανισότητες.</w:t>
      </w:r>
    </w:p>
    <w:p w14:paraId="2211A22E" w14:textId="77777777" w:rsidR="00B003DD" w:rsidRDefault="00B003DD" w:rsidP="00B003DD">
      <w:pPr>
        <w:jc w:val="both"/>
        <w:rPr>
          <w:rFonts w:eastAsia="Calibri"/>
        </w:rPr>
      </w:pPr>
      <w:r>
        <w:rPr>
          <w:rFonts w:eastAsia="Calibri"/>
        </w:rPr>
        <w:t xml:space="preserve">Οι παρεμβάσεις είναι εντός των δημοσιονομικών στόχων που τίθενται στο </w:t>
      </w:r>
      <w:r w:rsidRPr="00D53F26">
        <w:rPr>
          <w:rFonts w:eastAsia="Calibri"/>
        </w:rPr>
        <w:t>Μεσοπρόθεσμο Δημοσιονομικ</w:t>
      </w:r>
      <w:r>
        <w:rPr>
          <w:rFonts w:eastAsia="Calibri"/>
        </w:rPr>
        <w:t>ό</w:t>
      </w:r>
      <w:r w:rsidRPr="00D53F26">
        <w:rPr>
          <w:rFonts w:eastAsia="Calibri"/>
        </w:rPr>
        <w:t xml:space="preserve"> - Διαρθρωτικ</w:t>
      </w:r>
      <w:r>
        <w:rPr>
          <w:rFonts w:eastAsia="Calibri"/>
        </w:rPr>
        <w:t>ό</w:t>
      </w:r>
      <w:r w:rsidRPr="00D53F26">
        <w:rPr>
          <w:rFonts w:eastAsia="Calibri"/>
        </w:rPr>
        <w:t xml:space="preserve"> Σχ</w:t>
      </w:r>
      <w:r>
        <w:rPr>
          <w:rFonts w:eastAsia="Calibri"/>
        </w:rPr>
        <w:t>έδιο</w:t>
      </w:r>
      <w:r w:rsidRPr="00D53F26">
        <w:rPr>
          <w:rFonts w:eastAsia="Calibri"/>
        </w:rPr>
        <w:t xml:space="preserve"> 2025 - 2028</w:t>
      </w:r>
      <w:r>
        <w:rPr>
          <w:rFonts w:eastAsia="Calibri"/>
        </w:rPr>
        <w:t>, καθώς προβλέπεται αύξηση των καθαρών πρωτογενών δαπανών κατά 3,6% το 2025 σε σχέση με το 2024, ενώ ο σχετικός στόχος ανέρχεται σε αύξηση δαπανών έως 3,7%. Σε αυτό το πλαίσιο το πρωτογενές αποτέλεσμα της Γενικής Κυβέρνησης αναμένεται να διαμορφωθεί σε 2,5% το 2024 και 2,4% το 2025 και το συνολικό αποτέλεσμα σε -0,7% το 2024 και -0,6% το 2025.</w:t>
      </w:r>
    </w:p>
    <w:p w14:paraId="1987709E" w14:textId="77777777" w:rsidR="00B003DD" w:rsidRPr="00893ABF" w:rsidRDefault="00B003DD" w:rsidP="00B003DD">
      <w:pPr>
        <w:jc w:val="both"/>
        <w:rPr>
          <w:rFonts w:eastAsia="Calibri"/>
        </w:rPr>
      </w:pPr>
      <w:r w:rsidRPr="00893ABF">
        <w:rPr>
          <w:rFonts w:eastAsia="Calibri"/>
        </w:rPr>
        <w:t xml:space="preserve">Οι νέες δημοσιονομικές παρεμβάσεις, που συμπληρώνονται από σειρά θεσμικών μέτρων, εστιάζουν στη στήριξη του διαθέσιμου εισοδήματος, στην ενίσχυση των επενδύσεων και της καινοτομίας, στην </w:t>
      </w:r>
      <w:r w:rsidRPr="00893ABF">
        <w:rPr>
          <w:rFonts w:eastAsia="Calibri"/>
        </w:rPr>
        <w:lastRenderedPageBreak/>
        <w:t>αντιμετώπιση του δημογραφικού και του στεγαστικού ζητήματος καθώς και στην αντιμετώπιση των προκλήσεων της κλιματικής αλλαγής.</w:t>
      </w:r>
    </w:p>
    <w:p w14:paraId="7BF80FD2" w14:textId="77777777" w:rsidR="00B003DD" w:rsidRPr="0086639C" w:rsidRDefault="00B003DD" w:rsidP="00B003DD">
      <w:pPr>
        <w:jc w:val="both"/>
        <w:rPr>
          <w:rFonts w:eastAsia="Calibri"/>
        </w:rPr>
      </w:pPr>
      <w:r>
        <w:rPr>
          <w:rFonts w:eastAsia="Calibri"/>
        </w:rPr>
        <w:t>Ο προϋπολογισμός του 2025 συνοδεύεται για τέταρτο έτος από τον προϋπολογισμό επιδόσεων, όπου παρουσιάζεται το πλαίσιο αξιολόγησης των προγραμμάτων των φορέων μέσω των Κύριων Δεικτών Επίδοσης (</w:t>
      </w:r>
      <w:r>
        <w:rPr>
          <w:rFonts w:eastAsia="Calibri"/>
          <w:lang w:val="en-US"/>
        </w:rPr>
        <w:t>Key</w:t>
      </w:r>
      <w:r w:rsidRPr="005B3C03">
        <w:rPr>
          <w:rFonts w:eastAsia="Calibri"/>
        </w:rPr>
        <w:t xml:space="preserve"> </w:t>
      </w:r>
      <w:r>
        <w:rPr>
          <w:rFonts w:eastAsia="Calibri"/>
          <w:lang w:val="en-US"/>
        </w:rPr>
        <w:t>Performance</w:t>
      </w:r>
      <w:r w:rsidRPr="005B3C03">
        <w:rPr>
          <w:rFonts w:eastAsia="Calibri"/>
        </w:rPr>
        <w:t xml:space="preserve"> </w:t>
      </w:r>
      <w:r>
        <w:rPr>
          <w:rFonts w:eastAsia="Calibri"/>
          <w:lang w:val="en-US"/>
        </w:rPr>
        <w:t>Indicators</w:t>
      </w:r>
      <w:r w:rsidRPr="005B3C03">
        <w:rPr>
          <w:rFonts w:eastAsia="Calibri"/>
        </w:rPr>
        <w:t>)</w:t>
      </w:r>
      <w:r>
        <w:rPr>
          <w:rFonts w:eastAsia="Calibri"/>
        </w:rPr>
        <w:t>, ενώ για δεύτερο έτος παρουσιάζεται και η περιβαλλοντική διάσταση των προγραμμάτων (</w:t>
      </w:r>
      <w:r>
        <w:rPr>
          <w:rFonts w:eastAsia="Calibri"/>
          <w:lang w:val="en-US"/>
        </w:rPr>
        <w:t>Green</w:t>
      </w:r>
      <w:r w:rsidRPr="005B3C03">
        <w:rPr>
          <w:rFonts w:eastAsia="Calibri"/>
        </w:rPr>
        <w:t xml:space="preserve"> </w:t>
      </w:r>
      <w:r>
        <w:rPr>
          <w:rFonts w:eastAsia="Calibri"/>
          <w:lang w:val="en-US"/>
        </w:rPr>
        <w:t>Budgeting</w:t>
      </w:r>
      <w:r w:rsidRPr="005B3C03">
        <w:rPr>
          <w:rFonts w:eastAsia="Calibri"/>
        </w:rPr>
        <w:t>).</w:t>
      </w:r>
    </w:p>
    <w:p w14:paraId="7683F4DB" w14:textId="77777777" w:rsidR="00B003DD" w:rsidRDefault="00B003DD" w:rsidP="00B003DD">
      <w:pPr>
        <w:jc w:val="both"/>
        <w:rPr>
          <w:rFonts w:eastAsia="Calibri"/>
        </w:rPr>
      </w:pPr>
      <w:r>
        <w:rPr>
          <w:rFonts w:eastAsia="Calibri"/>
        </w:rPr>
        <w:t xml:space="preserve">Ο προϋπολογισμός του 2025 καλείται να </w:t>
      </w:r>
      <w:proofErr w:type="spellStart"/>
      <w:r>
        <w:rPr>
          <w:rFonts w:eastAsia="Calibri"/>
        </w:rPr>
        <w:t>συγκεράσει</w:t>
      </w:r>
      <w:proofErr w:type="spellEnd"/>
      <w:r>
        <w:rPr>
          <w:rFonts w:eastAsia="Calibri"/>
        </w:rPr>
        <w:t xml:space="preserve"> τον στόχο της δημοσιονομικής σταθερότητας με την ανάγκη για αύξηση του διαθέσιμου εισοδήματος των πολιτών καθώς και την αντιμετώπιση των σύγχρονων προκλήσεων, όπως είναι το δημογραφικό και το στεγαστικό πρόβλημα, η κλιματική κρίση, αλλά και να καλύψει τις αναγκαίες δαπάνες για την ενίσχυση του συστήματος Υγείας και της Εθνικής Άμυνας.</w:t>
      </w:r>
    </w:p>
    <w:p w14:paraId="3F556248" w14:textId="77777777" w:rsidR="00B003DD" w:rsidRDefault="00B003DD" w:rsidP="00B003DD">
      <w:pPr>
        <w:jc w:val="both"/>
        <w:rPr>
          <w:rFonts w:eastAsia="Calibri"/>
        </w:rPr>
      </w:pPr>
      <w:r>
        <w:rPr>
          <w:rFonts w:eastAsia="Calibri"/>
        </w:rPr>
        <w:t>Βασικοί στόχοι του προϋπολογισμού είναι η διασφάλιση της ισχυρής ανάπτυξης της ελληνικής οικονομίας, η βελτίωση του βιοτικού επιπέδου των πολιτών, η ενίσχυση των επενδύσεων, η μείωση του χρέους και η περαιτέρω αναβάθμιση του αξιόχρεου της χώρας, για την επίτευξη των οποίων, απαιτείται η διοχέτευση των πεπερασμένων δημοσιονομικών πόρων με τη μέγιστη δυνατή οικονομική και κοινωνική αποτελεσματικότητα.</w:t>
      </w:r>
    </w:p>
    <w:p w14:paraId="0C955486" w14:textId="77777777" w:rsidR="00477F98" w:rsidRPr="00477F98" w:rsidRDefault="00477F98" w:rsidP="00514DD6">
      <w:pPr>
        <w:jc w:val="both"/>
        <w:rPr>
          <w:rFonts w:cstheme="minorHAnsi"/>
          <w:b/>
          <w:color w:val="2F5496" w:themeColor="accent1" w:themeShade="BF"/>
        </w:rPr>
      </w:pPr>
    </w:p>
    <w:p w14:paraId="6A6D74EA" w14:textId="3D1EF9B6" w:rsidR="008438E9" w:rsidRPr="00A94C84" w:rsidRDefault="008438E9" w:rsidP="00514DD6">
      <w:pPr>
        <w:jc w:val="both"/>
        <w:rPr>
          <w:rFonts w:cstheme="minorHAnsi"/>
          <w:b/>
          <w:color w:val="2F5496" w:themeColor="accent1" w:themeShade="BF"/>
        </w:rPr>
      </w:pPr>
      <w:r w:rsidRPr="00A94C84">
        <w:rPr>
          <w:rFonts w:cstheme="minorHAnsi"/>
          <w:b/>
          <w:color w:val="2F5496" w:themeColor="accent1" w:themeShade="BF"/>
        </w:rPr>
        <w:t>ΟΙΚΟΝΟΜΙΚΕΣ ΕΞΕΛΙΞΕΙΣ ΚΑΙ ΠΡΟΟΠΤΙΚΕΣ</w:t>
      </w:r>
    </w:p>
    <w:p w14:paraId="6A4E4405" w14:textId="77777777" w:rsidR="009A5FFC" w:rsidRDefault="009A5FFC" w:rsidP="009A5FFC">
      <w:pPr>
        <w:jc w:val="both"/>
      </w:pPr>
      <w:r>
        <w:t>Η παγκόσμια οικονομία, παρά τις προκλήσεις των τελευταίων ετών, όπως η πανδημία, η ενεργειακή κρίση και η αύξηση του πληθωρισμού, αποδείχθηκε ανθεκτική. Ωστόσο, ο αντίκτυπος των εξελίξεων αυτών, σε συνδυασμό με την κλιμάκωση των γεωπολιτικών συγκρούσεων, την όξυνση των εμπορικών εντάσεων και τα υψηλά επίπεδα του δημόσιου χρέους, συνιστούν προκλήσεις που συντείνουν σε αυξημένη αβεβαιότητα και ενδεχομένως να επηρεάσουν τις προοπτικές ανάπτυξης σε παγκόσμιο επίπεδο.</w:t>
      </w:r>
    </w:p>
    <w:p w14:paraId="2B70B258" w14:textId="75FA7B6E" w:rsidR="009A5FFC" w:rsidRDefault="009A5FFC" w:rsidP="009A5FFC">
      <w:pPr>
        <w:spacing w:after="240"/>
        <w:jc w:val="both"/>
      </w:pPr>
      <w:r w:rsidRPr="002E78F8">
        <w:t>Σύμφωνα με τις φθινοπωρινές οικονομικές προβλέψεις της Ευρωπαϊκής Επιτροπής (</w:t>
      </w:r>
      <w:r w:rsidRPr="002E78F8">
        <w:rPr>
          <w:lang w:val="en-US"/>
        </w:rPr>
        <w:t>Autumn</w:t>
      </w:r>
      <w:r w:rsidRPr="002E78F8">
        <w:t xml:space="preserve"> </w:t>
      </w:r>
      <w:r w:rsidRPr="002E78F8">
        <w:rPr>
          <w:lang w:val="en-US"/>
        </w:rPr>
        <w:t>European</w:t>
      </w:r>
      <w:r w:rsidRPr="002E78F8">
        <w:t xml:space="preserve"> </w:t>
      </w:r>
      <w:r w:rsidRPr="002E78F8">
        <w:rPr>
          <w:lang w:val="en-US"/>
        </w:rPr>
        <w:t>Economic</w:t>
      </w:r>
      <w:r w:rsidRPr="002E78F8">
        <w:t xml:space="preserve"> </w:t>
      </w:r>
      <w:r w:rsidRPr="002E78F8">
        <w:rPr>
          <w:lang w:val="en-US"/>
        </w:rPr>
        <w:t>Forecast</w:t>
      </w:r>
      <w:r w:rsidRPr="002E78F8">
        <w:t xml:space="preserve">, </w:t>
      </w:r>
      <w:r w:rsidRPr="002E78F8">
        <w:rPr>
          <w:lang w:val="en-US"/>
        </w:rPr>
        <w:t>November</w:t>
      </w:r>
      <w:r w:rsidRPr="002E78F8">
        <w:t xml:space="preserve"> 2024), η οικονομία της Ευρωπαϊκής Ένωσης (ΕΕ), μετά από μ</w:t>
      </w:r>
      <w:r>
        <w:t>ί</w:t>
      </w:r>
      <w:r w:rsidRPr="002E78F8">
        <w:t>α περίοδο στασιμότητας, επανήλθε σε αναπτυξιακή τροχιά το πρώτο τρίμηνο του 2024. Η επέκταση συνεχίστηκε το δεύτερο και τρίτο τρίμηνο του έτους με σταθερό, αλλά ηπιότερο</w:t>
      </w:r>
      <w:r>
        <w:t xml:space="preserve"> </w:t>
      </w:r>
      <w:r w:rsidRPr="002E78F8">
        <w:t xml:space="preserve">ρυθμό. Ο ρυθμός ανάπτυξης για την ΕΕ εκτιμάται </w:t>
      </w:r>
      <w:r>
        <w:t>ότι θ</w:t>
      </w:r>
      <w:r w:rsidRPr="002E78F8">
        <w:t>α ανέλθει σε 0,9% το 2024 και σε 1,5% το 2025 έναντι 0,4% το 2023 και για την Ευρωζώνη σε 0,8% το 2024 και σε 1,3% το 2025 έναντι</w:t>
      </w:r>
      <w:r>
        <w:t>,</w:t>
      </w:r>
      <w:r w:rsidRPr="002E78F8">
        <w:t xml:space="preserve"> </w:t>
      </w:r>
      <w:r>
        <w:t>επίσης,</w:t>
      </w:r>
      <w:r w:rsidRPr="002E78F8">
        <w:t xml:space="preserve"> 0,4% το 2023. Ειδικότερα για τη Γαλλία, ο ρυθμός ανάπτυξης προβλέπεται να αυξηθεί από 0,9% το 2023 σε 1,1% το 2024 και να υποχωρήσει σε 0,8% το 2025. Για τη Γερμανία εκτιμάται ότι μετά από ύφεση 0,3% και 0,1% το 2023 και το 2024</w:t>
      </w:r>
      <w:r>
        <w:t>,</w:t>
      </w:r>
      <w:r w:rsidRPr="002E78F8">
        <w:t xml:space="preserve"> αντίστοιχα, το ΑΕΠ αναμένεται να επανέλθει σε θετικό ρυθμό ανάπτυξης 0,7% το 2025. Για την Ισπανία προβλέπεται επιτάχυνση του ρυθμού ανάπτυξης από 2,7% το 2023 σε 3,0% το 2024</w:t>
      </w:r>
      <w:r>
        <w:t>,</w:t>
      </w:r>
      <w:r w:rsidRPr="002E78F8">
        <w:t xml:space="preserve"> ενώ προβλέπεται επιβράδυνση σε 2,3% το 2025. Ο ρυθμός αύξησης του παγκόσμιου ΑΕΠ (εξαιρουμένης της ΕΕ) αναμένεται να μειωθεί από 3,7% το 2023 σε 3,5% το 2024 και να αυξηθεί σε 3,6% 2025. Ο πληθωρισμός βρίσκεται σε καθοδική πορεία τόσο στην ΕΕ όσο και στην Ευρωζώνη και αναμένεται να υποχωρήσει σημαντικά το 2024 σε 2,6% </w:t>
      </w:r>
      <w:r w:rsidRPr="002E78F8">
        <w:lastRenderedPageBreak/>
        <w:t>για την ΕΕ και σε 2,4% για την Ευρωζώνη και να αποκλιμακωθεί περαιτέρω το 2025</w:t>
      </w:r>
      <w:r>
        <w:t xml:space="preserve"> </w:t>
      </w:r>
      <w:r w:rsidRPr="002E78F8">
        <w:t>σε 2,4% για την ΕΕ και σε 2,1% για την Ευρωζώνη, από 6,4% και 5,4% το 2023</w:t>
      </w:r>
      <w:r>
        <w:t xml:space="preserve">, </w:t>
      </w:r>
      <w:r w:rsidRPr="002E78F8">
        <w:t xml:space="preserve">αντίστοιχα. Η </w:t>
      </w:r>
      <w:r>
        <w:t>επίταση</w:t>
      </w:r>
      <w:r w:rsidRPr="002E78F8">
        <w:t xml:space="preserve"> των συγκρούσεων στη Μέση Ανατολή αυξάνει σημαντικά την αβεβαιότητα στις αγορές πετρελαίου. Καθοδικές πιέσεις στις τιμές πετρελαίου εκτιμάται ότι θα ασκηθούν από τη μειωμένη ζήτηση πετρελαίου και τη σταδιακή αύξηση της παραγωγής τόσο στις χώρες </w:t>
      </w:r>
      <w:r w:rsidRPr="002E78F8">
        <w:rPr>
          <w:lang w:val="en-US"/>
        </w:rPr>
        <w:t>OPEC</w:t>
      </w:r>
      <w:r w:rsidRPr="002E78F8">
        <w:t xml:space="preserve">+ όσο και στις χώρες εκτός </w:t>
      </w:r>
      <w:r w:rsidRPr="002E78F8">
        <w:rPr>
          <w:lang w:val="en-US"/>
        </w:rPr>
        <w:t>OPEC</w:t>
      </w:r>
      <w:r w:rsidRPr="002E78F8">
        <w:t>+.</w:t>
      </w:r>
    </w:p>
    <w:p w14:paraId="15A3B3ED" w14:textId="77777777" w:rsidR="009A5FFC" w:rsidRPr="00815AB5" w:rsidRDefault="009A5FFC" w:rsidP="009A5FFC">
      <w:pPr>
        <w:jc w:val="both"/>
      </w:pPr>
      <w:r w:rsidRPr="00815AB5">
        <w:t xml:space="preserve">Το 2024 η ελληνική οικονομία εκτιμάται ότι θα επιτύχει </w:t>
      </w:r>
      <w:r>
        <w:t xml:space="preserve">υπερδιπλάσιο </w:t>
      </w:r>
      <w:r w:rsidRPr="00815AB5">
        <w:t xml:space="preserve">ρυθμό ανάπτυξης σε σχέση με το σύνολο της Ευρωζώνης (2,2% έναντι 0,8%, με </w:t>
      </w:r>
      <w:r w:rsidRPr="00667E69">
        <w:t>βάση τις φθινοπωρινές προβλέψεις της Ευρωπαϊκής Επιτροπής).</w:t>
      </w:r>
      <w:r w:rsidRPr="00815AB5">
        <w:t xml:space="preserve"> Η συμβολή της αύξησης των επενδύσεων συνεχίζει να αποτελεί βασικό πυλώνα του ρυθμού μεγέθυνσης του ΑΕΠ, ενώ συνολικά οι επιμέρους δείκτες </w:t>
      </w:r>
      <w:r>
        <w:t xml:space="preserve">της ελληνικής οικονομίας </w:t>
      </w:r>
      <w:r w:rsidRPr="00815AB5">
        <w:t>καταδεικνύουν τη διατήρηση των θετικών προοπτικών του 2023, με τον όγκο οικονομικής δραστηριότητας να επιδεικνύει ανθεκτικότητα στις επιπτώσεις των επάλληλων</w:t>
      </w:r>
      <w:r>
        <w:t xml:space="preserve"> </w:t>
      </w:r>
      <w:r w:rsidRPr="00815AB5">
        <w:t>κρίσεων που αντιμετωπίζει η παγκόσμια οικονομία.</w:t>
      </w:r>
    </w:p>
    <w:p w14:paraId="3C9FB6ED" w14:textId="4B413DF4" w:rsidR="00582088" w:rsidRPr="00E71EED" w:rsidRDefault="009A5FFC" w:rsidP="00005508">
      <w:pPr>
        <w:spacing w:after="100"/>
        <w:jc w:val="both"/>
      </w:pPr>
      <w:r w:rsidRPr="00815AB5">
        <w:t>Η ανεργία</w:t>
      </w:r>
      <w:r>
        <w:t xml:space="preserve"> </w:t>
      </w:r>
      <w:r w:rsidRPr="00815AB5">
        <w:t>υποχώρησε σημαντικά</w:t>
      </w:r>
      <w:r>
        <w:t xml:space="preserve"> </w:t>
      </w:r>
      <w:r w:rsidRPr="00815AB5">
        <w:t xml:space="preserve">κατά τον μήνα </w:t>
      </w:r>
      <w:r>
        <w:t>Σεπτέμβριο</w:t>
      </w:r>
      <w:r w:rsidRPr="00815AB5">
        <w:t xml:space="preserve"> 2024 </w:t>
      </w:r>
      <w:r>
        <w:t>σε</w:t>
      </w:r>
      <w:r w:rsidRPr="00815AB5">
        <w:t xml:space="preserve"> 9,</w:t>
      </w:r>
      <w:r>
        <w:t>3</w:t>
      </w:r>
      <w:r w:rsidRPr="00815AB5">
        <w:t>% έναντι 1</w:t>
      </w:r>
      <w:r>
        <w:t>0</w:t>
      </w:r>
      <w:r w:rsidRPr="00815AB5">
        <w:t>,</w:t>
      </w:r>
      <w:r>
        <w:t>7</w:t>
      </w:r>
      <w:r w:rsidRPr="00815AB5">
        <w:t xml:space="preserve">% τον </w:t>
      </w:r>
      <w:r>
        <w:t>Σεπτέμβριο</w:t>
      </w:r>
      <w:r w:rsidRPr="00815AB5">
        <w:t xml:space="preserve"> 2023. Οι αμοιβές εξαρτημένης εργασίας αυξήθηκαν και στα δ</w:t>
      </w:r>
      <w:r>
        <w:t>ύ</w:t>
      </w:r>
      <w:r w:rsidRPr="00815AB5">
        <w:t>ο τρίμηνα του πρώτου εξαμήνου</w:t>
      </w:r>
      <w:r>
        <w:t xml:space="preserve"> (κατά 6% περίπου σε ετήσια βάση)</w:t>
      </w:r>
      <w:r w:rsidRPr="00815AB5">
        <w:t>, σύμφωνα με τα στοιχεία της Ελληνικής Στατιστικής Αρχής (ΕΛΣΤΑΤ). Ο πληθωρισμός παρουσιάζει σταθεροποίηση και διαμορφώθηκε σε 2,</w:t>
      </w:r>
      <w:r>
        <w:t>4</w:t>
      </w:r>
      <w:r w:rsidRPr="00815AB5">
        <w:t xml:space="preserve">% τον </w:t>
      </w:r>
      <w:r>
        <w:t>Οκτώβριο</w:t>
      </w:r>
      <w:r w:rsidRPr="00815AB5">
        <w:t xml:space="preserve"> 2024. Ο μέσος ετήσιος ρυθμός μεταβολής του Εναρμονισμένου Δείκτη Τιμών Καταναλωτή</w:t>
      </w:r>
      <w:r>
        <w:t xml:space="preserve"> (</w:t>
      </w:r>
      <w:proofErr w:type="spellStart"/>
      <w:r>
        <w:t>Εν.ΔΤΚ</w:t>
      </w:r>
      <w:proofErr w:type="spellEnd"/>
      <w:r>
        <w:t>)</w:t>
      </w:r>
      <w:r w:rsidRPr="00815AB5">
        <w:t xml:space="preserve"> για το 2024 προβλέπεται να διαμορφωθεί σε 2,8% έναντι </w:t>
      </w:r>
      <w:r>
        <w:t xml:space="preserve">της </w:t>
      </w:r>
      <w:r w:rsidRPr="00815AB5">
        <w:t>πρόβλεψης 2,</w:t>
      </w:r>
      <w:r>
        <w:t>4</w:t>
      </w:r>
      <w:r w:rsidRPr="00815AB5">
        <w:t>% για τον μέσο όρο της Ευρωζώνης και 2,</w:t>
      </w:r>
      <w:r>
        <w:t>6</w:t>
      </w:r>
      <w:r w:rsidRPr="00815AB5">
        <w:t>% για τον μέσο όρο της ΕΕ</w:t>
      </w:r>
      <w:r w:rsidRPr="009A5FFC">
        <w:t xml:space="preserve">. </w:t>
      </w:r>
    </w:p>
    <w:p w14:paraId="60B78E85" w14:textId="77777777" w:rsidR="006F7137" w:rsidRPr="00815AB5" w:rsidRDefault="006F7137" w:rsidP="006F7137">
      <w:pPr>
        <w:jc w:val="both"/>
      </w:pPr>
      <w:r w:rsidRPr="00815AB5">
        <w:t xml:space="preserve">Στο πλαίσιο της δημοσιονομικής πολιτικής και εν μέσω </w:t>
      </w:r>
      <w:r>
        <w:t xml:space="preserve">της </w:t>
      </w:r>
      <w:r w:rsidRPr="00815AB5">
        <w:t>αποκλιμάκωσης των πληθωριστικών πιέσεων, η Ευρωπαϊκή Επιτροπή ολοκλήρωσε τη θέσπιση του νέου ευρωπαϊκού πλαισίου οικονομικής διακυβέρνησης, με την Ελλάδα</w:t>
      </w:r>
      <w:r>
        <w:t xml:space="preserve"> </w:t>
      </w:r>
      <w:r w:rsidRPr="00815AB5">
        <w:t>να υποβάλει στο Συμβούλιο της Ε</w:t>
      </w:r>
      <w:r>
        <w:t>Ε</w:t>
      </w:r>
      <w:r w:rsidRPr="00815AB5">
        <w:t xml:space="preserve"> και την Ευρωπαϊκή Επιτροπή το πρώτο </w:t>
      </w:r>
      <w:bookmarkStart w:id="0" w:name="_Hlk180416860"/>
      <w:r w:rsidRPr="00815AB5">
        <w:t>Μεσοπρόθεσμο</w:t>
      </w:r>
      <w:r>
        <w:t xml:space="preserve"> </w:t>
      </w:r>
      <w:r w:rsidRPr="00815AB5">
        <w:t xml:space="preserve">Δημοσιονομικό </w:t>
      </w:r>
      <w:r>
        <w:t>-</w:t>
      </w:r>
      <w:r w:rsidRPr="00815AB5">
        <w:t xml:space="preserve"> Διαρθρωτικό Σχέδιο 2025 </w:t>
      </w:r>
      <w:r>
        <w:t>-</w:t>
      </w:r>
      <w:r w:rsidRPr="00815AB5">
        <w:t xml:space="preserve"> 2028</w:t>
      </w:r>
      <w:bookmarkEnd w:id="0"/>
      <w:r w:rsidRPr="00815AB5">
        <w:t xml:space="preserve"> τον Οκτώβριο 2024.</w:t>
      </w:r>
    </w:p>
    <w:p w14:paraId="7CE3724F" w14:textId="77777777" w:rsidR="006F7137" w:rsidRDefault="006F7137" w:rsidP="006F7137">
      <w:pPr>
        <w:jc w:val="both"/>
      </w:pPr>
      <w:r w:rsidRPr="00815AB5">
        <w:t xml:space="preserve">Σε εναρμόνιση με το ανωτέρω σχέδιο </w:t>
      </w:r>
      <w:r>
        <w:t>και με τους στόχους αύξησης των πρωτογενών δαπανών τελούν</w:t>
      </w:r>
      <w:r w:rsidRPr="00815AB5">
        <w:t xml:space="preserve"> οι δημοσιονομικές παρεμβάσεις για τ</w:t>
      </w:r>
      <w:r>
        <w:t>ο</w:t>
      </w:r>
      <w:r w:rsidRPr="00815AB5">
        <w:t xml:space="preserve"> έτ</w:t>
      </w:r>
      <w:r>
        <w:t>ος</w:t>
      </w:r>
      <w:r w:rsidRPr="00815AB5">
        <w:t xml:space="preserve"> 2025, που αποσκοπούν στην ενίσχυση του διαθέσιμου εισοδήματος σε συνδυασμό με τη μείωση των κοινωνικών ανισοτήτων, </w:t>
      </w:r>
      <w:r>
        <w:t>σ</w:t>
      </w:r>
      <w:r w:rsidRPr="00815AB5">
        <w:t xml:space="preserve">την </w:t>
      </w:r>
      <w:r>
        <w:t xml:space="preserve">προώθηση </w:t>
      </w:r>
      <w:r w:rsidRPr="00815AB5">
        <w:t xml:space="preserve">των επενδύσεων και της καινοτομίας καθώς και </w:t>
      </w:r>
      <w:r>
        <w:t>σ</w:t>
      </w:r>
      <w:r w:rsidRPr="00815AB5">
        <w:t xml:space="preserve">την αντιμετώπιση σημαντικών κοινωνικών προβλημάτων, όπως το δημογραφικό και το στεγαστικό. Ιδιαίτερη μέριμνα </w:t>
      </w:r>
      <w:r>
        <w:t xml:space="preserve">λαμβάνεται για </w:t>
      </w:r>
      <w:r w:rsidRPr="00815AB5">
        <w:t>την αντιμετώπιση των επιπτώσεων από φυσικές καταστροφές, ενώ παράλληλα με τις δημοσιονομικές παρεμβάσεις λαμβάνονται μέτρα θεσμικού χαρακτήρα και προωθούνται σημαντικές μεταρρυθμίσεις.</w:t>
      </w:r>
    </w:p>
    <w:p w14:paraId="2F56A18A" w14:textId="77777777" w:rsidR="007805FE" w:rsidRPr="00DF063C" w:rsidRDefault="007805FE" w:rsidP="007805FE">
      <w:pPr>
        <w:jc w:val="both"/>
      </w:pPr>
      <w:r w:rsidRPr="00DF063C">
        <w:t>Για το 2024 συνολικά</w:t>
      </w:r>
      <w:r>
        <w:t>,</w:t>
      </w:r>
      <w:r w:rsidRPr="00DF063C">
        <w:t xml:space="preserve"> εκτιμάται αύξηση </w:t>
      </w:r>
      <w:r>
        <w:t xml:space="preserve">κατά </w:t>
      </w:r>
      <w:r w:rsidRPr="00DF063C">
        <w:t>4,3% της αμοιβής ανά εργαζόμενο (μέσος μισθός), διαμορφ</w:t>
      </w:r>
      <w:r>
        <w:t>ούμενης συνεπώς</w:t>
      </w:r>
      <w:r w:rsidRPr="00DF063C">
        <w:t xml:space="preserve"> τη</w:t>
      </w:r>
      <w:r>
        <w:t>ς</w:t>
      </w:r>
      <w:r w:rsidRPr="00DF063C">
        <w:t xml:space="preserve"> αύξηση</w:t>
      </w:r>
      <w:r>
        <w:t>ς</w:t>
      </w:r>
      <w:r w:rsidRPr="00DF063C">
        <w:t xml:space="preserve"> των συνολικών αμοιβών εξαρτημένης εργασίας σε 5,2% έναντι αυξήσεων 3,7% και 5,3%</w:t>
      </w:r>
      <w:r>
        <w:t>,</w:t>
      </w:r>
      <w:r w:rsidRPr="00DF063C">
        <w:t xml:space="preserve"> αντίστοιχα</w:t>
      </w:r>
      <w:r>
        <w:t>,</w:t>
      </w:r>
      <w:r w:rsidRPr="00DF063C">
        <w:t xml:space="preserve"> που καταγράφηκαν το 2023. Η αύξηση του ακαθάριστου λειτουργικού πλεονάσματος για το 2024 εκτιμάται σε 5,2% έναντι αύξησης 6,5% το 2023.</w:t>
      </w:r>
    </w:p>
    <w:p w14:paraId="6DA9CE4E" w14:textId="78F8575D" w:rsidR="006F7137" w:rsidRPr="009E0DC1" w:rsidRDefault="006F7137" w:rsidP="006F7137">
      <w:pPr>
        <w:spacing w:after="240"/>
        <w:jc w:val="both"/>
        <w:rPr>
          <w:highlight w:val="yellow"/>
        </w:rPr>
      </w:pPr>
      <w:r w:rsidRPr="00DF063C">
        <w:t>H ελληνική οικονομία</w:t>
      </w:r>
      <w:r>
        <w:t>,</w:t>
      </w:r>
      <w:r w:rsidRPr="00DF063C">
        <w:t xml:space="preserve"> παρά τις αλλεπάλληλες εξωγενείς κρίσεις που </w:t>
      </w:r>
      <w:r>
        <w:t>συνεχίστηκαν</w:t>
      </w:r>
      <w:r w:rsidRPr="00DF063C">
        <w:t xml:space="preserve"> το 2024</w:t>
      </w:r>
      <w:r>
        <w:t>,</w:t>
      </w:r>
      <w:r w:rsidRPr="00DF063C">
        <w:t xml:space="preserve"> εκτιμάται ότι θα διατηρήσει μεγάλο μέρος της αναπτυξιακής της δυναμικής για το σύνολο του έτους με τον ρυθμό ανάπτυξης να διαμορφώνεται σε 2,2%, όπως προβλέπεται και στο προσχέδιο</w:t>
      </w:r>
      <w:r>
        <w:t xml:space="preserve"> του</w:t>
      </w:r>
      <w:r w:rsidRPr="00DF063C">
        <w:t xml:space="preserve"> </w:t>
      </w:r>
      <w:r>
        <w:t>κ</w:t>
      </w:r>
      <w:r w:rsidRPr="00DF063C">
        <w:t xml:space="preserve">ρατικού </w:t>
      </w:r>
      <w:r>
        <w:t>π</w:t>
      </w:r>
      <w:r w:rsidRPr="00DF063C">
        <w:t xml:space="preserve">ροϋπολογισμού 2025 και στο </w:t>
      </w:r>
      <w:r>
        <w:t>Μ</w:t>
      </w:r>
      <w:r w:rsidRPr="00DF063C">
        <w:t xml:space="preserve">εσοπρόθεσμο </w:t>
      </w:r>
      <w:r>
        <w:t>Δ</w:t>
      </w:r>
      <w:r w:rsidRPr="00DF063C">
        <w:t xml:space="preserve">ημοσιονομικό - </w:t>
      </w:r>
      <w:r>
        <w:t>Δ</w:t>
      </w:r>
      <w:r w:rsidRPr="00DF063C">
        <w:t xml:space="preserve">ιαρθρωτικό </w:t>
      </w:r>
      <w:r>
        <w:t>Σ</w:t>
      </w:r>
      <w:r w:rsidRPr="00DF063C">
        <w:t>χέδιο 2025</w:t>
      </w:r>
      <w:r>
        <w:t xml:space="preserve"> </w:t>
      </w:r>
      <w:r w:rsidRPr="00DF063C">
        <w:t>-</w:t>
      </w:r>
      <w:r>
        <w:t xml:space="preserve"> </w:t>
      </w:r>
      <w:r w:rsidRPr="00DF063C">
        <w:t xml:space="preserve">2028 που </w:t>
      </w:r>
      <w:r w:rsidRPr="00DF063C">
        <w:lastRenderedPageBreak/>
        <w:t xml:space="preserve">υποβλήθηκε από την ελληνική </w:t>
      </w:r>
      <w:r>
        <w:t>Κ</w:t>
      </w:r>
      <w:r w:rsidRPr="00DF063C">
        <w:t>υβέρνηση στην Ευρωπαϊκή Επιτροπή τον Οκτώβριο 2024.</w:t>
      </w:r>
      <w:r w:rsidRPr="006F7137">
        <w:t xml:space="preserve">  </w:t>
      </w:r>
      <w:r>
        <w:t>Η εκτίμηση για τη διαμόρφωση του πληθωρισμού (ΓΔΤΚ) για το έτος 2024 είναι 2,7%.</w:t>
      </w:r>
    </w:p>
    <w:p w14:paraId="3D73DA65" w14:textId="29250662" w:rsidR="006F7137" w:rsidRPr="008D4951" w:rsidRDefault="007805FE" w:rsidP="007805FE">
      <w:pPr>
        <w:spacing w:after="240"/>
        <w:jc w:val="both"/>
      </w:pPr>
      <w:r w:rsidRPr="00E54C43">
        <w:t>Στο πεδίο της δημοσιονομικής διαχείρισης και μετά την επίτευξη πρωτογενούς πλεονάσματος 2,1%</w:t>
      </w:r>
      <w:r w:rsidRPr="00E54C43">
        <w:rPr>
          <w:rFonts w:cs="Arial"/>
          <w:color w:val="FF0000"/>
          <w:szCs w:val="20"/>
        </w:rPr>
        <w:t xml:space="preserve"> </w:t>
      </w:r>
      <w:r w:rsidRPr="00E54C43">
        <w:t>του ΑΕΠ το 2023, το 2024 εκτιμάται ότι θα επιτευχθεί πρωτογενές πλεόνασμα</w:t>
      </w:r>
      <w:r w:rsidRPr="00E54C43">
        <w:rPr>
          <w:rFonts w:cs="Arial"/>
          <w:szCs w:val="20"/>
        </w:rPr>
        <w:t xml:space="preserve"> 2,5%</w:t>
      </w:r>
      <w:r w:rsidRPr="00E54C43">
        <w:t>. Η πορεία της αποκλιμάκωσης του χρέους της Γενικής Κυβέρνησης εκτιμάται από 163,9% του ΑΕΠ το 2023</w:t>
      </w:r>
      <w:r w:rsidRPr="00E54C43">
        <w:rPr>
          <w:rFonts w:cs="Arial"/>
          <w:szCs w:val="20"/>
        </w:rPr>
        <w:t xml:space="preserve"> </w:t>
      </w:r>
      <w:r w:rsidRPr="00E54C43">
        <w:t>(σύμφωνα με τα στοιχεία της ΕΛΣΤΑΤ) σε</w:t>
      </w:r>
      <w:r w:rsidRPr="00E54C43">
        <w:rPr>
          <w:rFonts w:cs="Arial"/>
          <w:szCs w:val="20"/>
        </w:rPr>
        <w:t xml:space="preserve"> 154% </w:t>
      </w:r>
      <w:r w:rsidRPr="00E54C43">
        <w:t xml:space="preserve">το 2024. Η αξιοπιστία του αξιόχρεου της χώρας </w:t>
      </w:r>
      <w:r w:rsidRPr="00815AB5">
        <w:t>ενισχύεται σημαντικά από την επίτευξη των ανωτέρω δημοσιονομικών στόχων, γεγονός που αποτυπώνεται και στην εξέλιξη των πιστοληπτικών αξιολογήσεων. Επισημαίνεται ότι το έτος 2023 επιβεβαιώθηκε η διεθνής εμπιστοσύνη στην οικονομία</w:t>
      </w:r>
      <w:r w:rsidRPr="00815AB5">
        <w:rPr>
          <w:rFonts w:cs="Arial"/>
          <w:color w:val="657C9C"/>
          <w:szCs w:val="20"/>
        </w:rPr>
        <w:t xml:space="preserve"> </w:t>
      </w:r>
      <w:r w:rsidRPr="00815AB5">
        <w:t xml:space="preserve">της χώρας με την ανάκτηση της επενδυτικής βαθμίδας από τους τρεις σε σύνολο τεσσάρων επενδυτικών οίκων που αναγνωρίζει η ΕΚΤ. Η θετική αυτή στάση των επενδυτικών οίκων συνεχίστηκε και το 2024, καθώς τον Απρίλιο 2024 ο οίκος S&amp;P </w:t>
      </w:r>
      <w:proofErr w:type="spellStart"/>
      <w:r w:rsidRPr="00815AB5">
        <w:t>Global</w:t>
      </w:r>
      <w:proofErr w:type="spellEnd"/>
      <w:r w:rsidRPr="00815AB5">
        <w:t xml:space="preserve"> </w:t>
      </w:r>
      <w:proofErr w:type="spellStart"/>
      <w:r w:rsidRPr="00815AB5">
        <w:t>Ratings</w:t>
      </w:r>
      <w:proofErr w:type="spellEnd"/>
      <w:r w:rsidRPr="00815AB5">
        <w:t xml:space="preserve"> και τον Σεπτέμβριο 2024 οι οίκοι DBRS </w:t>
      </w:r>
      <w:proofErr w:type="spellStart"/>
      <w:r w:rsidRPr="00815AB5">
        <w:t>Morningstar</w:t>
      </w:r>
      <w:proofErr w:type="spellEnd"/>
      <w:r w:rsidRPr="00815AB5">
        <w:t xml:space="preserve"> και </w:t>
      </w:r>
      <w:proofErr w:type="spellStart"/>
      <w:r w:rsidRPr="00815AB5">
        <w:t>Moody’s</w:t>
      </w:r>
      <w:proofErr w:type="spellEnd"/>
      <w:r w:rsidRPr="00815AB5">
        <w:t xml:space="preserve"> αναβάθμισαν τις προοπτικές της ελληνικής οικονομίας από σταθερές σε </w:t>
      </w:r>
      <w:r w:rsidRPr="008E7E79">
        <w:t>θετικέ</w:t>
      </w:r>
      <w:r>
        <w:t>ς</w:t>
      </w:r>
      <w:r w:rsidRPr="008E7E79">
        <w:t>.</w:t>
      </w:r>
      <w:r>
        <w:t xml:space="preserve"> </w:t>
      </w:r>
      <w:r w:rsidRPr="00815AB5">
        <w:t>Οι αναβαθμίσεις αυτές σε συνδυασμό με τις θετικές προοπτικές καταδεικνύουν την ανθεκτικότητα της οικονομίας σε συνθήκες αυξημένης αβεβαιότητας και την εδραίωση της εμπιστοσύνης των διεθνών επενδυτών</w:t>
      </w:r>
      <w:r>
        <w:t xml:space="preserve"> σε σχέση με την ασκούμενη δημοσιονομική και γενικότερη οικονομική πολιτική</w:t>
      </w:r>
      <w:r w:rsidRPr="00815AB5">
        <w:t>.</w:t>
      </w:r>
    </w:p>
    <w:p w14:paraId="4FCA8DBB" w14:textId="77777777" w:rsidR="00BA4008" w:rsidRDefault="00BA4008" w:rsidP="00BA4008">
      <w:r>
        <w:t>Το 2025 η ελληνική οικονομία προβλέπεται να επιταχύνει τον αναπτυξιακό βηματισμό της στο πλαίσιο της ενίσχυσης των επενδύσεων, της συνέχισης της μεταρρυθμιστικής προσπάθειας και υπό την ευνοϊκή επίδραση διαρθρωτικών και κυκλικών οικονομικών εξελίξεων.</w:t>
      </w:r>
    </w:p>
    <w:p w14:paraId="69DA5846" w14:textId="77777777" w:rsidR="00BA4008" w:rsidRDefault="00BA4008" w:rsidP="00BA4008">
      <w:pPr>
        <w:jc w:val="both"/>
      </w:pPr>
      <w:r>
        <w:t>Οι κυκλικοί παράγοντες που επιβάρυναν την παγκόσμια οικονομία το προηγούμενο διάστημα, μεταξύ των οποίων η ενεργειακή κρίση και η περιοριστική νομισματική πολιτική για την καταπολέμηση του υψηλού πληθωρισμού, αναμένεται να εξασθενήσουν εμφανέστερα το 2025, διευκολύνοντας την εγχώρια πιστωτική επέκταση και τη χρηματοδότηση της οικονομικής μεγέθυνσης στην Ελλάδα.</w:t>
      </w:r>
    </w:p>
    <w:p w14:paraId="787974BB" w14:textId="77777777" w:rsidR="00BA4008" w:rsidRDefault="00BA4008" w:rsidP="00BA4008">
      <w:pPr>
        <w:jc w:val="both"/>
      </w:pPr>
      <w:r>
        <w:t>Την ίδια στιγμή, διαρθρωτικοί παράγοντες δρουν προς την ίδια κατεύθυνση ενίσχυσης της αναπτυξιακής δυναμικής, όπως ο συνεχιζόμενος μετασχηματισμός της ελληνικής οικονομίας, με άξονα την ψηφιακή μετάβαση και την πράσινη ανάπτυξη, η ενίσχυση των δημόσιων επενδύσεων, η περαιτέρω μείωση των ασφαλιστικών εισφορών, η αύξηση των αμοιβών, η σωρευτική θετική επίδραση από τις μεταρρυθμίσεις των τελευταίων ετών, η καταπολέμηση της φοροδιαφυγής, ο αντίκτυπος της ανάκτησης της επενδυτικής βαθμίδας καθώς και η συμβολή της συνετής δημοσιονομικής διαχείρισης στην καλλιέργεια ενός κλίματος εμπιστοσύνης στην ελληνική οικονομία, που συνεπάγεται περαιτέρω προσέλκυση επενδύσεων.</w:t>
      </w:r>
    </w:p>
    <w:p w14:paraId="15E55DCA" w14:textId="76F2B5F8" w:rsidR="009A5FFC" w:rsidRDefault="00D50F2E" w:rsidP="00005508">
      <w:pPr>
        <w:spacing w:after="100"/>
        <w:jc w:val="both"/>
      </w:pPr>
      <w:r>
        <w:t>Μέσα σε αυτό το οικονομικό περιβάλλον ο ρυθμός πραγματικής ανάπτυξης στην Ελλάδα προβλέπεται να ανέλθει σε 2,3% το 2025 από 2,2% το 2024 και 2,3% το 2023, ενισχυόμενος, ως προς την εγχώρια ζήτηση, από τη δυναμικότερη ώθηση των επενδύσεων, την περαιτέρω άνοδο της απασχόλησης και των εισοδημάτων και τη σταθερή μεγέθυνση της καταναλωτικής δαπάνης.</w:t>
      </w:r>
    </w:p>
    <w:p w14:paraId="1A78701C" w14:textId="48C8A9FE" w:rsidR="00D50F2E" w:rsidRDefault="00D50F2E" w:rsidP="00005508">
      <w:pPr>
        <w:spacing w:after="100"/>
        <w:jc w:val="both"/>
      </w:pPr>
      <w:r>
        <w:t xml:space="preserve">Η αναπτυξιακή δυναμική στην Ελλάδα προβλέπεται να διατηρηθεί σημαντικά υψηλότερη από τον ευρωπαϊκό μέσο όρο, έχοντας ως μοχλούς τις επενδύσεις, την ιδιωτική κατανάλωση και την εξαγωγική </w:t>
      </w:r>
      <w:r>
        <w:lastRenderedPageBreak/>
        <w:t xml:space="preserve">δραστηριότητα. Το 2025 προβλέπεται να αποτελέσει για την Ελλάδα το τρίτο συνεχόμενο έτος, μετά την ανάκτηση των απωλειών ΑΕΠ της πανδημίας, που θα καταγράψει ρυθμό πραγματικής ανάπτυξης άνω του 2%, ο οποίος αντιστοιχεί σε μέσο ρυθμό τριετίας υπερδιπλάσιο από τον μέσο εκτιμώμενο ρυθμό για την Ευρωζώνη την ίδια περίοδο </w:t>
      </w:r>
      <w:r w:rsidRPr="0034138F">
        <w:t>(σύμφωνα με τις τελευταίες διαθέσιμες οικονομικές προβλέψεις της Ευρωπαϊκής Επιτροπής, Φθινόπωρο 2024).</w:t>
      </w:r>
    </w:p>
    <w:p w14:paraId="6BB27B21" w14:textId="77777777" w:rsidR="002D0457" w:rsidRDefault="00C117D2" w:rsidP="001A6954">
      <w:pPr>
        <w:jc w:val="both"/>
        <w:rPr>
          <w:lang w:val="en-US"/>
        </w:rPr>
      </w:pPr>
      <w:r>
        <w:t xml:space="preserve">Το 2025 οι επενδύσεις αναμένεται να αναδειχθούν σε κινητήρια δύναμη της ανάπτυξης αντικαθιστώντας την ιδιωτική κατανάλωση, η οποία είχε την πρωταρχική συμβολή τα προηγούμενα έτη, ως αποτέλεσμα της </w:t>
      </w:r>
      <w:proofErr w:type="spellStart"/>
      <w:r>
        <w:t>φιλοεπενδυτικής</w:t>
      </w:r>
      <w:proofErr w:type="spellEnd"/>
      <w:r>
        <w:t xml:space="preserve"> οικονομικής πολιτικής, της εντατικότερης αξιοποίησης των ευρωπαϊκών πόρων, των κεκτημένων από τις εθνικές διαρθρωτικές πολιτικές για το επιχειρηματικό περιβάλλον και των ευνοϊκών συνθηκών χρηματοδότησης, σε συνέχεια της χαλάρωσης της νομισματικής πολιτικής της ΕΚΤ και της εμπέδωσης του κλίματος εμπιστοσύνης από την ανάκτηση της επενδυτικής βαθμίδας για τη χώρα. Ο ρυθμός της αύξησης των επενδύσεων προβλέπεται να διαμορφωθεί σε 8,4% το 2025, ενισχυμένος έναντι του 2024 (6,7%)</w:t>
      </w:r>
      <w:r w:rsidR="001A6954">
        <w:t xml:space="preserve">. </w:t>
      </w:r>
    </w:p>
    <w:p w14:paraId="12D4315C" w14:textId="3BD8D8C7" w:rsidR="002D0457" w:rsidRPr="002D0457" w:rsidRDefault="00C117D2" w:rsidP="002D0457">
      <w:pPr>
        <w:jc w:val="both"/>
      </w:pPr>
      <w:r>
        <w:t xml:space="preserve">Το επενδυτικό κενό της Ελλάδας σε σχέση με τις χώρες της Ευρωζώνης, το οποίο κορυφώθηκε το 2019, μετά τη διεύρυνσή του κατά την περίοδο της οικονομικής </w:t>
      </w:r>
      <w:r w:rsidRPr="002776DA">
        <w:t>προσαρμογής</w:t>
      </w:r>
      <w:r w:rsidRPr="002776DA">
        <w:rPr>
          <w:szCs w:val="20"/>
        </w:rPr>
        <w:t>,</w:t>
      </w:r>
      <w:r w:rsidRPr="002776DA">
        <w:t xml:space="preserve"> θα συν</w:t>
      </w:r>
      <w:r>
        <w:t xml:space="preserve">εχίσει να περιορίζεται το 2025, για έκτη συνεχή χρονιά. </w:t>
      </w:r>
      <w:r w:rsidR="002D0457" w:rsidRPr="002D0457">
        <w:t>Μάλιστα, σύμφωνα με τα αναθεωρημένα στοιχεία εθνικών λογαριασμών για το 2023 που δημοσίευσε η ΕΛΣΤΑΤ τον Οκτώβριο 2024, το κλείσιμο του επενδυτικού κενού συντελείται με ακόμα μεγαλύτερη ταχύτητα σε σύγκριση με τα σχετικά στοιχεία του προσχεδίου του κρατικού προϋπολογισμού 2025, λόγω της δυναμικότερης αύξησης των πραγματικών επενδύσεων μετά το 2019, κυρίως κατά τα έτη 2022 και 2023. Ως αποτέλεσμα, ο στόχος του προσχεδίου του κρατικού προϋπολογισμού για τη μείωση του πραγματικού επενδυτικού κενού το 2025 έχει συντελεστεί ήδη από το 2023, σε 5,4 ποσοστιαίες μονάδες σύμφωνα με τα αναθεωρημένα στοιχεία της ΕΛΣΤΑΤ. Το 2025 οι πραγματικές επενδύσεις στην Ελλάδα προβλέπεται να ανακάμψουν περαιτέρω, σε 17,5% του ΑΕΠ έναντι του 20,8% του ΑΕΠ στην Ευρωζώνη. Αυτό αντιστοιχεί σε σωρευτική βελτίωση άνω των δύο τρίτων (69,4%) του επενδυτικού κενού της Ελλάδας το 2025 έναντι του 2019, με το ύψος του επενδυτικού κενού για το έτος να διαμορφώνεται σε 3,3 ποσοστιαίες μονάδες, το χαμηλότερο ποσοστό από το 2010 έως σήμερα.</w:t>
      </w:r>
    </w:p>
    <w:p w14:paraId="53541E47" w14:textId="77777777" w:rsidR="001A6954" w:rsidRDefault="001A6954" w:rsidP="001A6954">
      <w:pPr>
        <w:spacing w:before="120"/>
        <w:jc w:val="both"/>
      </w:pPr>
      <w:r>
        <w:t>Το ποσοστό της ετήσιας πραγματικής ανάπτυξης του 2025, που δεν εξηγείται από τη δυναμική των επενδύσεων, εκτιμάται ότι θα προέλθει σε καθαρή βάση από την αύξηση της ιδιωτικής κατανάλωσης (+1,6% σε ετήσια βάση), η οποία συντηρείται από τις θετικές τάσεις στην απασχόληση (+0,7%), στα ονομαστικά εισοδήματα από μισθωτή εργασία ιδιωτικού και δημόσιου τομέα (+3,4%) και στα πραγματικά εισοδήματα των νοικοκυριών, υπό τη μειούμενη επίδραση του πληθωρισμού.</w:t>
      </w:r>
    </w:p>
    <w:p w14:paraId="5D1A5E63" w14:textId="77777777" w:rsidR="001A6954" w:rsidRDefault="001A6954" w:rsidP="001A6954">
      <w:pPr>
        <w:spacing w:before="120"/>
        <w:jc w:val="both"/>
      </w:pPr>
      <w:r>
        <w:t>Η ενίσχυση των εισοδημάτων (ονομαστικών και πραγματικών) χαρακτηρίζει τις κυβερνητικές παρεμβάσεις, οι οποίες ανακοινώθηκαν στη Διεθνή Έκθεση Θεσσαλονίκης (ΔΕΘ) 2024, αφορούν στο 2025 και εκτείνονται μέχρι το 2027, με κύριο γνώμονα τη βελτίωση του επιπέδου ευημερίας για όλες τις κοινωνικές ομάδες. Στόχος, μεταξύ άλλων, είναι η αύξηση του μέσου εισοδήματος στον ιδιωτικό και τον δημόσιο τομέα, η ενίσχυση των συντάξεων, η αντιμετώπιση του στεγαστικού και του δημογραφικού προβλήματος, η στήριξη των ευπαθών ομάδων, ο περιορισμός των ανισοτήτων, η αναβάθμιση των υπηρεσιών της δημόσιας υγείας και της παιδείας καθώς και η προώθηση της επιχειρηματικότητας.</w:t>
      </w:r>
    </w:p>
    <w:p w14:paraId="3C51BEDA" w14:textId="77777777" w:rsidR="001A6954" w:rsidRDefault="001A6954" w:rsidP="001A6954">
      <w:pPr>
        <w:spacing w:before="120"/>
        <w:jc w:val="both"/>
      </w:pPr>
      <w:r>
        <w:lastRenderedPageBreak/>
        <w:t xml:space="preserve">Το 2025 ο </w:t>
      </w:r>
      <w:proofErr w:type="spellStart"/>
      <w:r>
        <w:t>Εν.ΔΤΚ</w:t>
      </w:r>
      <w:proofErr w:type="spellEnd"/>
      <w:r>
        <w:t xml:space="preserve"> εκτιμάται ότι θα προσεγγίσει σημαντικά τον μεσοπρόθεσμο στόχο της ΕΚΤ (+2,1%), καθώς οι υποκείμενες πιέσεις τιμών στα τρόφιμα και στην ενέργεια θα μετριάζονται περαιτέρω και ο πυρήνας πληθωρισμού θα εξομαλύνεται σε σχέση με το προηγούμενο διάστημα, κοντά στο επίπεδο που προβλέπεται για τον γενικό δείκτη (+2,2%).</w:t>
      </w:r>
    </w:p>
    <w:p w14:paraId="543B6AB3" w14:textId="77777777" w:rsidR="001A6954" w:rsidRDefault="001A6954" w:rsidP="001A6954">
      <w:pPr>
        <w:spacing w:before="120"/>
        <w:jc w:val="both"/>
      </w:pPr>
      <w:r>
        <w:t xml:space="preserve">Σε όρους Έρευνας Εργατικού Δυναμικού, η ανεργία προβλέπεται να μειωθεί το 2025, για πρώτη φορά από το 2009, σε μονοψήφιο ποσοστό 9,7% του εργατικού δυναμικού και ακόμα χαμηλότερα σε </w:t>
      </w:r>
      <w:proofErr w:type="spellStart"/>
      <w:r>
        <w:t>εθνικολογιστικούς</w:t>
      </w:r>
      <w:proofErr w:type="spellEnd"/>
      <w:r>
        <w:t xml:space="preserve"> όρους, σε 8,2% του εργατικού δυναμικού, επωφελούμενη από την εύρωστη εγχώρια οικονομική </w:t>
      </w:r>
      <w:r w:rsidRPr="00757147">
        <w:t>δραστηριότητα</w:t>
      </w:r>
      <w:r>
        <w:t>, τις παρεμβάσεις στις αμοιβές και τις ασφαλιστικές εισφορές</w:t>
      </w:r>
      <w:r w:rsidRPr="00757147">
        <w:t xml:space="preserve"> και από συνέργειες του εθνικού και συγχρηματοδοτούμενου σκέλους του </w:t>
      </w:r>
      <w:r>
        <w:t>ΑΠΔΕ</w:t>
      </w:r>
      <w:r w:rsidRPr="00757147">
        <w:t xml:space="preserve"> κα</w:t>
      </w:r>
      <w:r>
        <w:t>ι του Εθνικού Σχεδίου Ανάκαμψης και Ανθεκτικότητας «Ελλάδα 2.0» για την απασχόληση.</w:t>
      </w:r>
    </w:p>
    <w:p w14:paraId="4E850EE2" w14:textId="77777777" w:rsidR="00A22687" w:rsidRDefault="00A22687" w:rsidP="00A22687">
      <w:pPr>
        <w:spacing w:before="120"/>
        <w:jc w:val="both"/>
      </w:pPr>
      <w:r w:rsidRPr="006962FB">
        <w:t>Σε συμφωνία με τις εαρινές προβλέψεις της Ευρωπαϊκής Επιτροπής, η εθνική πρόβλεψη για αύξηση το</w:t>
      </w:r>
      <w:r>
        <w:t xml:space="preserve"> 2025 των αμοιβών εξαρτημένης εργασίας κατά 3,4% και των αμοιβών ανά εργαζόμενο </w:t>
      </w:r>
      <w:r w:rsidRPr="008A4BFE">
        <w:t>κατά 2,7%, με</w:t>
      </w:r>
      <w:r>
        <w:t xml:space="preserve"> ρυθμό μεγαλύτερο του πληθωρισμού (2,1%), υποδηλώνει κέρδη για τον πραγματικό μέσο μισθό για τρίτη συνεχόμενη χρονιά, η οποία συνδέεται και με την περαιτέρω αύξηση του κατώτατου και του μέσου μισθού (με κυβερνητικό στόχο τα 950 ευρώ και τα 1.500 ευρώ, αντίστοιχα, το 2027). Σημειώνεται ότι εάν ληφθεί υπόψη η μείωση των ασφαλιστικών εισφορών, η αύξηση των καθαρών εισοδημάτων είναι ακόμα μεγαλύτερη, ενώ στις φθινοπωρινές της προβλέψεις η Ευρωπαϊκή Επιτροπή αναθεωρεί προς τα πάνω την πρόβλεψή της για την ετήσια ονομαστική αύξηση το 2025, σε 3,2% από 2,7%, για τις αμοιβές εξαρτημένης εργασίας ανά εργαζόμενο. Η παραγωγικότητα της εργασίας αναμένεται να αυξηθεί πιο δυναμικά το 2025 (+1,5% σε ετήσια βάση από +1,0% το 2024), αντλώντας οφέλη από τον μετασχηματισμό της οικονομίας, υπό το Σχέδιο Ανάκαμψης και Ανθεκτικότητας και από τις κυβερνητικές μεταρρυθμίσεις, διαφυλάττοντας την ανταγωνιστικότητα της ελληνικής οικονομίας.</w:t>
      </w:r>
    </w:p>
    <w:tbl>
      <w:tblPr>
        <w:tblW w:w="0" w:type="auto"/>
        <w:jc w:val="center"/>
        <w:tblBorders>
          <w:top w:val="single" w:sz="4" w:space="0" w:color="7F7F7F"/>
          <w:left w:val="single" w:sz="4" w:space="0" w:color="7F7F7F"/>
          <w:bottom w:val="single" w:sz="4" w:space="0" w:color="7F7F7F"/>
          <w:right w:val="single" w:sz="4" w:space="0" w:color="7F7F7F"/>
        </w:tblBorders>
        <w:tblLook w:val="00A0" w:firstRow="1" w:lastRow="0" w:firstColumn="1" w:lastColumn="0" w:noHBand="0" w:noVBand="0"/>
      </w:tblPr>
      <w:tblGrid>
        <w:gridCol w:w="5434"/>
        <w:gridCol w:w="1018"/>
        <w:gridCol w:w="1080"/>
        <w:gridCol w:w="1026"/>
      </w:tblGrid>
      <w:tr w:rsidR="00A22687" w:rsidRPr="00A22687" w14:paraId="43D7E39A" w14:textId="77777777" w:rsidTr="006A71D3">
        <w:trPr>
          <w:cantSplit/>
          <w:tblHeader/>
          <w:jc w:val="center"/>
        </w:trPr>
        <w:tc>
          <w:tcPr>
            <w:tcW w:w="8558" w:type="dxa"/>
            <w:gridSpan w:val="4"/>
            <w:tcBorders>
              <w:top w:val="single" w:sz="4" w:space="0" w:color="7F7F7F"/>
              <w:bottom w:val="single" w:sz="4" w:space="0" w:color="7F7F7F"/>
            </w:tcBorders>
            <w:shd w:val="clear" w:color="auto" w:fill="D5DCE4"/>
            <w:vAlign w:val="center"/>
          </w:tcPr>
          <w:p w14:paraId="2E9662BC" w14:textId="50E8CDF9" w:rsidR="00A22687" w:rsidRPr="00A22687" w:rsidRDefault="00A22687" w:rsidP="00A22687">
            <w:pPr>
              <w:spacing w:after="0"/>
              <w:jc w:val="center"/>
              <w:rPr>
                <w:rFonts w:ascii="Arial" w:eastAsia="Times New Roman" w:hAnsi="Arial" w:cs="Arial"/>
                <w:b/>
                <w:sz w:val="18"/>
                <w:szCs w:val="18"/>
                <w:lang w:eastAsia="el-GR"/>
              </w:rPr>
            </w:pPr>
            <w:bookmarkStart w:id="1" w:name="_Toc182927914"/>
            <w:r w:rsidRPr="00A22687">
              <w:rPr>
                <w:rFonts w:ascii="Arial" w:eastAsia="Times New Roman" w:hAnsi="Arial" w:cs="Arial"/>
                <w:b/>
                <w:sz w:val="18"/>
                <w:szCs w:val="18"/>
                <w:lang w:eastAsia="el-GR"/>
              </w:rPr>
              <w:t>Βασικά μεγέθη της ελληνικής οικονομίας</w:t>
            </w:r>
            <w:bookmarkEnd w:id="1"/>
          </w:p>
          <w:p w14:paraId="5A568277" w14:textId="77777777" w:rsidR="00A22687" w:rsidRPr="00A22687" w:rsidRDefault="00A22687" w:rsidP="00A22687">
            <w:pPr>
              <w:spacing w:after="0"/>
              <w:jc w:val="center"/>
              <w:rPr>
                <w:rFonts w:ascii="Calibri" w:eastAsia="Times New Roman" w:hAnsi="Calibri" w:cs="Times New Roman"/>
                <w:b/>
                <w:sz w:val="18"/>
                <w:szCs w:val="18"/>
                <w:lang w:eastAsia="el-GR"/>
              </w:rPr>
            </w:pPr>
            <w:r w:rsidRPr="00A22687">
              <w:rPr>
                <w:rFonts w:ascii="Arial" w:eastAsia="Times New Roman" w:hAnsi="Arial" w:cs="Arial"/>
                <w:b/>
                <w:sz w:val="18"/>
                <w:szCs w:val="18"/>
                <w:lang w:eastAsia="el-GR"/>
              </w:rPr>
              <w:t>(% ετήσιες μεταβολές, σταθερές τιμές)</w:t>
            </w:r>
          </w:p>
        </w:tc>
      </w:tr>
      <w:tr w:rsidR="00A22687" w:rsidRPr="00A22687" w14:paraId="127ADE80" w14:textId="77777777" w:rsidTr="00A22687">
        <w:trPr>
          <w:cantSplit/>
          <w:tblHeader/>
          <w:jc w:val="center"/>
        </w:trPr>
        <w:tc>
          <w:tcPr>
            <w:tcW w:w="5434" w:type="dxa"/>
            <w:tcBorders>
              <w:top w:val="single" w:sz="4" w:space="0" w:color="7F7F7F"/>
              <w:bottom w:val="single" w:sz="4" w:space="0" w:color="7F7F7F"/>
            </w:tcBorders>
            <w:shd w:val="clear" w:color="auto" w:fill="F2F2F2"/>
            <w:vAlign w:val="center"/>
          </w:tcPr>
          <w:p w14:paraId="4C4352A7" w14:textId="77777777" w:rsidR="00A22687" w:rsidRPr="00A22687" w:rsidRDefault="00A22687" w:rsidP="00A22687">
            <w:pPr>
              <w:spacing w:after="0"/>
              <w:jc w:val="center"/>
              <w:rPr>
                <w:rFonts w:ascii="Arial Narrow" w:eastAsia="Times New Roman" w:hAnsi="Arial Narrow" w:cs="Times New Roman"/>
                <w:b/>
                <w:sz w:val="16"/>
                <w:szCs w:val="16"/>
                <w:lang w:eastAsia="el-GR"/>
              </w:rPr>
            </w:pPr>
          </w:p>
        </w:tc>
        <w:tc>
          <w:tcPr>
            <w:tcW w:w="1018" w:type="dxa"/>
            <w:tcBorders>
              <w:top w:val="single" w:sz="4" w:space="0" w:color="7F7F7F"/>
              <w:bottom w:val="single" w:sz="4" w:space="0" w:color="7F7F7F"/>
            </w:tcBorders>
            <w:shd w:val="clear" w:color="auto" w:fill="F2F2F2"/>
            <w:vAlign w:val="center"/>
          </w:tcPr>
          <w:p w14:paraId="4DC6A3FD" w14:textId="77777777" w:rsidR="00A22687" w:rsidRPr="00A22687" w:rsidRDefault="00A22687" w:rsidP="00A22687">
            <w:pPr>
              <w:spacing w:after="0"/>
              <w:jc w:val="center"/>
              <w:rPr>
                <w:rFonts w:ascii="Arial" w:eastAsia="Times New Roman" w:hAnsi="Arial" w:cs="Arial"/>
                <w:b/>
                <w:sz w:val="16"/>
                <w:szCs w:val="16"/>
                <w:lang w:eastAsia="el-GR"/>
              </w:rPr>
            </w:pPr>
            <w:r w:rsidRPr="00A22687">
              <w:rPr>
                <w:rFonts w:ascii="Arial" w:eastAsia="Times New Roman" w:hAnsi="Arial" w:cs="Arial"/>
                <w:b/>
                <w:sz w:val="16"/>
                <w:szCs w:val="16"/>
                <w:lang w:eastAsia="el-GR"/>
              </w:rPr>
              <w:t>2023</w:t>
            </w:r>
          </w:p>
        </w:tc>
        <w:tc>
          <w:tcPr>
            <w:tcW w:w="1080" w:type="dxa"/>
            <w:tcBorders>
              <w:top w:val="single" w:sz="4" w:space="0" w:color="7F7F7F"/>
              <w:bottom w:val="single" w:sz="4" w:space="0" w:color="7F7F7F"/>
            </w:tcBorders>
            <w:shd w:val="clear" w:color="auto" w:fill="F2F2F2"/>
            <w:vAlign w:val="center"/>
          </w:tcPr>
          <w:p w14:paraId="588DFA26" w14:textId="77777777" w:rsidR="00A22687" w:rsidRPr="00A22687" w:rsidRDefault="00A22687" w:rsidP="00A22687">
            <w:pPr>
              <w:spacing w:after="0"/>
              <w:jc w:val="center"/>
              <w:rPr>
                <w:rFonts w:ascii="Arial" w:eastAsia="Times New Roman" w:hAnsi="Arial" w:cs="Arial"/>
                <w:b/>
                <w:sz w:val="16"/>
                <w:szCs w:val="16"/>
                <w:lang w:eastAsia="el-GR"/>
              </w:rPr>
            </w:pPr>
            <w:r w:rsidRPr="00A22687">
              <w:rPr>
                <w:rFonts w:ascii="Arial" w:eastAsia="Times New Roman" w:hAnsi="Arial" w:cs="Arial"/>
                <w:b/>
                <w:sz w:val="16"/>
                <w:szCs w:val="16"/>
                <w:lang w:eastAsia="el-GR"/>
              </w:rPr>
              <w:t>2024**</w:t>
            </w:r>
          </w:p>
        </w:tc>
        <w:tc>
          <w:tcPr>
            <w:tcW w:w="1026" w:type="dxa"/>
            <w:tcBorders>
              <w:top w:val="single" w:sz="4" w:space="0" w:color="7F7F7F"/>
              <w:bottom w:val="single" w:sz="4" w:space="0" w:color="7F7F7F"/>
            </w:tcBorders>
            <w:shd w:val="clear" w:color="auto" w:fill="F2F2F2"/>
            <w:vAlign w:val="center"/>
          </w:tcPr>
          <w:p w14:paraId="59C26A75" w14:textId="77777777" w:rsidR="00A22687" w:rsidRPr="00A22687" w:rsidRDefault="00A22687" w:rsidP="00A22687">
            <w:pPr>
              <w:spacing w:after="0"/>
              <w:jc w:val="center"/>
              <w:rPr>
                <w:rFonts w:ascii="Arial" w:eastAsia="Times New Roman" w:hAnsi="Arial" w:cs="Arial"/>
                <w:b/>
                <w:sz w:val="16"/>
                <w:szCs w:val="16"/>
                <w:lang w:eastAsia="el-GR"/>
              </w:rPr>
            </w:pPr>
            <w:r w:rsidRPr="00A22687">
              <w:rPr>
                <w:rFonts w:ascii="Arial" w:eastAsia="Times New Roman" w:hAnsi="Arial" w:cs="Arial"/>
                <w:b/>
                <w:sz w:val="16"/>
                <w:szCs w:val="16"/>
                <w:lang w:eastAsia="el-GR"/>
              </w:rPr>
              <w:t>2025**</w:t>
            </w:r>
          </w:p>
        </w:tc>
      </w:tr>
      <w:tr w:rsidR="00A22687" w:rsidRPr="00A22687" w14:paraId="357997C6" w14:textId="77777777" w:rsidTr="006A71D3">
        <w:trPr>
          <w:trHeight w:val="283"/>
          <w:jc w:val="center"/>
        </w:trPr>
        <w:tc>
          <w:tcPr>
            <w:tcW w:w="5434" w:type="dxa"/>
            <w:tcBorders>
              <w:top w:val="single" w:sz="4" w:space="0" w:color="7F7F7F"/>
            </w:tcBorders>
            <w:vAlign w:val="center"/>
          </w:tcPr>
          <w:p w14:paraId="0EB69FBB"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ΑΕΠ</w:t>
            </w:r>
          </w:p>
        </w:tc>
        <w:tc>
          <w:tcPr>
            <w:tcW w:w="1018" w:type="dxa"/>
            <w:vAlign w:val="center"/>
          </w:tcPr>
          <w:p w14:paraId="0F1A8A80"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2,3</w:t>
            </w:r>
          </w:p>
        </w:tc>
        <w:tc>
          <w:tcPr>
            <w:tcW w:w="1080" w:type="dxa"/>
            <w:vAlign w:val="center"/>
          </w:tcPr>
          <w:p w14:paraId="08400182"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2,2</w:t>
            </w:r>
          </w:p>
        </w:tc>
        <w:tc>
          <w:tcPr>
            <w:tcW w:w="1026" w:type="dxa"/>
            <w:vAlign w:val="center"/>
          </w:tcPr>
          <w:p w14:paraId="1A8683C3"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2,3</w:t>
            </w:r>
          </w:p>
        </w:tc>
      </w:tr>
      <w:tr w:rsidR="00A22687" w:rsidRPr="00A22687" w14:paraId="22655C74" w14:textId="77777777" w:rsidTr="006A71D3">
        <w:trPr>
          <w:trHeight w:val="283"/>
          <w:jc w:val="center"/>
        </w:trPr>
        <w:tc>
          <w:tcPr>
            <w:tcW w:w="5434" w:type="dxa"/>
            <w:vAlign w:val="center"/>
          </w:tcPr>
          <w:p w14:paraId="14C048CB"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Ιδιωτική κατανάλωση</w:t>
            </w:r>
          </w:p>
        </w:tc>
        <w:tc>
          <w:tcPr>
            <w:tcW w:w="1018" w:type="dxa"/>
            <w:vAlign w:val="center"/>
          </w:tcPr>
          <w:p w14:paraId="2FB560A0"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1,8</w:t>
            </w:r>
          </w:p>
        </w:tc>
        <w:tc>
          <w:tcPr>
            <w:tcW w:w="1080" w:type="dxa"/>
            <w:vAlign w:val="center"/>
          </w:tcPr>
          <w:p w14:paraId="5C489B89"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1,7</w:t>
            </w:r>
          </w:p>
        </w:tc>
        <w:tc>
          <w:tcPr>
            <w:tcW w:w="1026" w:type="dxa"/>
            <w:vAlign w:val="center"/>
          </w:tcPr>
          <w:p w14:paraId="6883C68F"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1,6</w:t>
            </w:r>
          </w:p>
        </w:tc>
      </w:tr>
      <w:tr w:rsidR="00A22687" w:rsidRPr="00A22687" w14:paraId="4FF9F4BC" w14:textId="77777777" w:rsidTr="006A71D3">
        <w:trPr>
          <w:trHeight w:val="283"/>
          <w:jc w:val="center"/>
        </w:trPr>
        <w:tc>
          <w:tcPr>
            <w:tcW w:w="5434" w:type="dxa"/>
            <w:vAlign w:val="center"/>
          </w:tcPr>
          <w:p w14:paraId="25989553"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Δημόσια κατανάλωση</w:t>
            </w:r>
          </w:p>
        </w:tc>
        <w:tc>
          <w:tcPr>
            <w:tcW w:w="1018" w:type="dxa"/>
            <w:vAlign w:val="center"/>
          </w:tcPr>
          <w:p w14:paraId="69A55A0E"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2,6</w:t>
            </w:r>
          </w:p>
        </w:tc>
        <w:tc>
          <w:tcPr>
            <w:tcW w:w="1080" w:type="dxa"/>
            <w:vAlign w:val="center"/>
          </w:tcPr>
          <w:p w14:paraId="077CC12D"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0,4</w:t>
            </w:r>
          </w:p>
        </w:tc>
        <w:tc>
          <w:tcPr>
            <w:tcW w:w="1026" w:type="dxa"/>
            <w:vAlign w:val="center"/>
          </w:tcPr>
          <w:p w14:paraId="580B9903"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0,0</w:t>
            </w:r>
          </w:p>
        </w:tc>
      </w:tr>
      <w:tr w:rsidR="00A22687" w:rsidRPr="00A22687" w14:paraId="63A75FBA" w14:textId="77777777" w:rsidTr="006A71D3">
        <w:trPr>
          <w:trHeight w:val="283"/>
          <w:jc w:val="center"/>
        </w:trPr>
        <w:tc>
          <w:tcPr>
            <w:tcW w:w="5434" w:type="dxa"/>
            <w:vAlign w:val="center"/>
          </w:tcPr>
          <w:p w14:paraId="432EB8AC"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Ακαθάριστος σχηματισμός παγίου κεφαλαίου</w:t>
            </w:r>
          </w:p>
        </w:tc>
        <w:tc>
          <w:tcPr>
            <w:tcW w:w="1018" w:type="dxa"/>
            <w:vAlign w:val="center"/>
          </w:tcPr>
          <w:p w14:paraId="726F794B"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6,6</w:t>
            </w:r>
          </w:p>
        </w:tc>
        <w:tc>
          <w:tcPr>
            <w:tcW w:w="1080" w:type="dxa"/>
            <w:vAlign w:val="center"/>
          </w:tcPr>
          <w:p w14:paraId="398D3825"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6,7</w:t>
            </w:r>
          </w:p>
        </w:tc>
        <w:tc>
          <w:tcPr>
            <w:tcW w:w="1026" w:type="dxa"/>
            <w:vAlign w:val="center"/>
          </w:tcPr>
          <w:p w14:paraId="79AFADB1"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8,4</w:t>
            </w:r>
          </w:p>
        </w:tc>
      </w:tr>
      <w:tr w:rsidR="00A22687" w:rsidRPr="00A22687" w14:paraId="1A9492E4" w14:textId="77777777" w:rsidTr="006A71D3">
        <w:trPr>
          <w:trHeight w:val="283"/>
          <w:jc w:val="center"/>
        </w:trPr>
        <w:tc>
          <w:tcPr>
            <w:tcW w:w="5434" w:type="dxa"/>
            <w:vAlign w:val="center"/>
          </w:tcPr>
          <w:p w14:paraId="2710494D"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Εξαγωγές αγαθών και υπηρεσιών</w:t>
            </w:r>
          </w:p>
        </w:tc>
        <w:tc>
          <w:tcPr>
            <w:tcW w:w="1018" w:type="dxa"/>
            <w:vAlign w:val="center"/>
          </w:tcPr>
          <w:p w14:paraId="36D8C393"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1,9</w:t>
            </w:r>
          </w:p>
        </w:tc>
        <w:tc>
          <w:tcPr>
            <w:tcW w:w="1080" w:type="dxa"/>
            <w:vAlign w:val="center"/>
          </w:tcPr>
          <w:p w14:paraId="34D3A583"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5,4</w:t>
            </w:r>
          </w:p>
        </w:tc>
        <w:tc>
          <w:tcPr>
            <w:tcW w:w="1026" w:type="dxa"/>
            <w:vAlign w:val="center"/>
          </w:tcPr>
          <w:p w14:paraId="36815487"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4,0</w:t>
            </w:r>
          </w:p>
        </w:tc>
      </w:tr>
      <w:tr w:rsidR="00A22687" w:rsidRPr="00A22687" w14:paraId="44DA8DB7" w14:textId="77777777" w:rsidTr="006A71D3">
        <w:trPr>
          <w:trHeight w:val="283"/>
          <w:jc w:val="center"/>
        </w:trPr>
        <w:tc>
          <w:tcPr>
            <w:tcW w:w="5434" w:type="dxa"/>
            <w:vAlign w:val="center"/>
          </w:tcPr>
          <w:p w14:paraId="50D3F21E"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Εισαγωγές αγαθών και υπηρεσιών</w:t>
            </w:r>
          </w:p>
        </w:tc>
        <w:tc>
          <w:tcPr>
            <w:tcW w:w="1018" w:type="dxa"/>
            <w:vAlign w:val="center"/>
          </w:tcPr>
          <w:p w14:paraId="6DFC5910"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0,9</w:t>
            </w:r>
          </w:p>
        </w:tc>
        <w:tc>
          <w:tcPr>
            <w:tcW w:w="1080" w:type="dxa"/>
            <w:vAlign w:val="center"/>
          </w:tcPr>
          <w:p w14:paraId="04F1B7CC"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4,0</w:t>
            </w:r>
          </w:p>
        </w:tc>
        <w:tc>
          <w:tcPr>
            <w:tcW w:w="1026" w:type="dxa"/>
            <w:vAlign w:val="center"/>
          </w:tcPr>
          <w:p w14:paraId="4824BFB0"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3,6</w:t>
            </w:r>
          </w:p>
        </w:tc>
      </w:tr>
      <w:tr w:rsidR="00A22687" w:rsidRPr="00A22687" w14:paraId="64D8B530" w14:textId="77777777" w:rsidTr="006A71D3">
        <w:trPr>
          <w:trHeight w:val="283"/>
          <w:jc w:val="center"/>
        </w:trPr>
        <w:tc>
          <w:tcPr>
            <w:tcW w:w="5434" w:type="dxa"/>
            <w:vAlign w:val="center"/>
          </w:tcPr>
          <w:p w14:paraId="0F7B89F6" w14:textId="77777777" w:rsidR="00A22687" w:rsidRPr="00A22687" w:rsidRDefault="00A22687" w:rsidP="00A22687">
            <w:pPr>
              <w:spacing w:after="0"/>
              <w:jc w:val="both"/>
              <w:rPr>
                <w:rFonts w:ascii="Arial" w:eastAsia="Times New Roman" w:hAnsi="Arial" w:cs="Arial"/>
                <w:color w:val="000000"/>
                <w:sz w:val="16"/>
                <w:szCs w:val="16"/>
                <w:lang w:eastAsia="el-GR"/>
              </w:rPr>
            </w:pPr>
            <w:proofErr w:type="spellStart"/>
            <w:r w:rsidRPr="00A22687">
              <w:rPr>
                <w:rFonts w:ascii="Arial" w:eastAsia="Times New Roman" w:hAnsi="Arial" w:cs="Arial"/>
                <w:color w:val="000000"/>
                <w:sz w:val="16"/>
                <w:szCs w:val="16"/>
                <w:lang w:eastAsia="el-GR"/>
              </w:rPr>
              <w:t>Αποπληθωριστής</w:t>
            </w:r>
            <w:proofErr w:type="spellEnd"/>
            <w:r w:rsidRPr="00A22687">
              <w:rPr>
                <w:rFonts w:ascii="Arial" w:eastAsia="Times New Roman" w:hAnsi="Arial" w:cs="Arial"/>
                <w:color w:val="000000"/>
                <w:sz w:val="16"/>
                <w:szCs w:val="16"/>
                <w:lang w:eastAsia="el-GR"/>
              </w:rPr>
              <w:t xml:space="preserve"> ΑΕΠ</w:t>
            </w:r>
          </w:p>
        </w:tc>
        <w:tc>
          <w:tcPr>
            <w:tcW w:w="1018" w:type="dxa"/>
            <w:vAlign w:val="center"/>
          </w:tcPr>
          <w:p w14:paraId="11686C1A"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5,9</w:t>
            </w:r>
          </w:p>
        </w:tc>
        <w:tc>
          <w:tcPr>
            <w:tcW w:w="1080" w:type="dxa"/>
            <w:vAlign w:val="center"/>
          </w:tcPr>
          <w:p w14:paraId="6E07CABA"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3,0</w:t>
            </w:r>
          </w:p>
        </w:tc>
        <w:tc>
          <w:tcPr>
            <w:tcW w:w="1026" w:type="dxa"/>
            <w:vAlign w:val="center"/>
          </w:tcPr>
          <w:p w14:paraId="3BF944FF"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2,2</w:t>
            </w:r>
          </w:p>
        </w:tc>
      </w:tr>
      <w:tr w:rsidR="00A22687" w:rsidRPr="00A22687" w14:paraId="3DC22109" w14:textId="77777777" w:rsidTr="006A71D3">
        <w:trPr>
          <w:trHeight w:val="283"/>
          <w:jc w:val="center"/>
        </w:trPr>
        <w:tc>
          <w:tcPr>
            <w:tcW w:w="5434" w:type="dxa"/>
            <w:vAlign w:val="center"/>
          </w:tcPr>
          <w:p w14:paraId="68ABE85F"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Εναρμονισμένος Δείκτης Τιμών Καταναλωτή</w:t>
            </w:r>
          </w:p>
        </w:tc>
        <w:tc>
          <w:tcPr>
            <w:tcW w:w="1018" w:type="dxa"/>
            <w:vAlign w:val="center"/>
          </w:tcPr>
          <w:p w14:paraId="25FE80F8"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4,2</w:t>
            </w:r>
          </w:p>
        </w:tc>
        <w:tc>
          <w:tcPr>
            <w:tcW w:w="1080" w:type="dxa"/>
            <w:vAlign w:val="center"/>
          </w:tcPr>
          <w:p w14:paraId="2FA6789F"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2,8</w:t>
            </w:r>
          </w:p>
        </w:tc>
        <w:tc>
          <w:tcPr>
            <w:tcW w:w="1026" w:type="dxa"/>
            <w:vAlign w:val="center"/>
          </w:tcPr>
          <w:p w14:paraId="206E2D07"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2,1</w:t>
            </w:r>
          </w:p>
        </w:tc>
      </w:tr>
      <w:tr w:rsidR="00A22687" w:rsidRPr="00A22687" w14:paraId="1D93A17F" w14:textId="77777777" w:rsidTr="006A71D3">
        <w:trPr>
          <w:trHeight w:val="283"/>
          <w:jc w:val="center"/>
        </w:trPr>
        <w:tc>
          <w:tcPr>
            <w:tcW w:w="5434" w:type="dxa"/>
            <w:vAlign w:val="center"/>
          </w:tcPr>
          <w:p w14:paraId="5B7A38A6"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Δείκτης Τιμών Καταναλωτή</w:t>
            </w:r>
          </w:p>
        </w:tc>
        <w:tc>
          <w:tcPr>
            <w:tcW w:w="1018" w:type="dxa"/>
            <w:vAlign w:val="center"/>
          </w:tcPr>
          <w:p w14:paraId="7ADC2519"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3,5</w:t>
            </w:r>
          </w:p>
        </w:tc>
        <w:tc>
          <w:tcPr>
            <w:tcW w:w="1080" w:type="dxa"/>
            <w:vAlign w:val="center"/>
          </w:tcPr>
          <w:p w14:paraId="6A882664"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2,7</w:t>
            </w:r>
          </w:p>
        </w:tc>
        <w:tc>
          <w:tcPr>
            <w:tcW w:w="1026" w:type="dxa"/>
            <w:vAlign w:val="center"/>
          </w:tcPr>
          <w:p w14:paraId="0435C357"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2,1</w:t>
            </w:r>
          </w:p>
        </w:tc>
      </w:tr>
      <w:tr w:rsidR="00A22687" w:rsidRPr="00A22687" w14:paraId="3A8257B4" w14:textId="77777777" w:rsidTr="006A71D3">
        <w:trPr>
          <w:trHeight w:val="283"/>
          <w:jc w:val="center"/>
        </w:trPr>
        <w:tc>
          <w:tcPr>
            <w:tcW w:w="5434" w:type="dxa"/>
            <w:vAlign w:val="center"/>
          </w:tcPr>
          <w:p w14:paraId="43A74427"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Απασχόληση*</w:t>
            </w:r>
          </w:p>
        </w:tc>
        <w:tc>
          <w:tcPr>
            <w:tcW w:w="1018" w:type="dxa"/>
            <w:vAlign w:val="center"/>
          </w:tcPr>
          <w:p w14:paraId="02EE5CCB"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1,2</w:t>
            </w:r>
          </w:p>
        </w:tc>
        <w:tc>
          <w:tcPr>
            <w:tcW w:w="1080" w:type="dxa"/>
            <w:vAlign w:val="center"/>
          </w:tcPr>
          <w:p w14:paraId="0D6A9C4F"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1,1</w:t>
            </w:r>
          </w:p>
        </w:tc>
        <w:tc>
          <w:tcPr>
            <w:tcW w:w="1026" w:type="dxa"/>
            <w:vAlign w:val="center"/>
          </w:tcPr>
          <w:p w14:paraId="4DFB3DE5"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0,7</w:t>
            </w:r>
          </w:p>
        </w:tc>
      </w:tr>
      <w:tr w:rsidR="00A22687" w:rsidRPr="00A22687" w14:paraId="3EBF4EB3" w14:textId="77777777" w:rsidTr="006A71D3">
        <w:trPr>
          <w:trHeight w:val="283"/>
          <w:jc w:val="center"/>
        </w:trPr>
        <w:tc>
          <w:tcPr>
            <w:tcW w:w="5434" w:type="dxa"/>
            <w:vAlign w:val="center"/>
          </w:tcPr>
          <w:p w14:paraId="356B623E"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Ποσοστό ανεργίας*</w:t>
            </w:r>
          </w:p>
        </w:tc>
        <w:tc>
          <w:tcPr>
            <w:tcW w:w="1018" w:type="dxa"/>
            <w:tcBorders>
              <w:bottom w:val="nil"/>
            </w:tcBorders>
            <w:vAlign w:val="center"/>
          </w:tcPr>
          <w:p w14:paraId="73A4B3CB"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9,4</w:t>
            </w:r>
          </w:p>
        </w:tc>
        <w:tc>
          <w:tcPr>
            <w:tcW w:w="1080" w:type="dxa"/>
            <w:tcBorders>
              <w:bottom w:val="nil"/>
            </w:tcBorders>
            <w:vAlign w:val="center"/>
          </w:tcPr>
          <w:p w14:paraId="109279B2"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8,7</w:t>
            </w:r>
          </w:p>
        </w:tc>
        <w:tc>
          <w:tcPr>
            <w:tcW w:w="1026" w:type="dxa"/>
            <w:tcBorders>
              <w:bottom w:val="nil"/>
            </w:tcBorders>
            <w:vAlign w:val="center"/>
          </w:tcPr>
          <w:p w14:paraId="5E535A62"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8,2</w:t>
            </w:r>
          </w:p>
        </w:tc>
      </w:tr>
      <w:tr w:rsidR="00A22687" w:rsidRPr="00A22687" w14:paraId="2A842393" w14:textId="77777777" w:rsidTr="006A71D3">
        <w:trPr>
          <w:trHeight w:val="283"/>
          <w:jc w:val="center"/>
        </w:trPr>
        <w:tc>
          <w:tcPr>
            <w:tcW w:w="5434" w:type="dxa"/>
            <w:tcBorders>
              <w:bottom w:val="single" w:sz="4" w:space="0" w:color="7F7F7F"/>
            </w:tcBorders>
            <w:vAlign w:val="center"/>
          </w:tcPr>
          <w:p w14:paraId="4C3AEE7C" w14:textId="77777777" w:rsidR="00A22687" w:rsidRPr="00A22687" w:rsidRDefault="00A22687" w:rsidP="00A22687">
            <w:pPr>
              <w:spacing w:after="0"/>
              <w:jc w:val="both"/>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Ποσοστό ανεργίας (Έρευνα Εργατικού Δυναμικού)</w:t>
            </w:r>
          </w:p>
        </w:tc>
        <w:tc>
          <w:tcPr>
            <w:tcW w:w="1018" w:type="dxa"/>
            <w:tcBorders>
              <w:top w:val="nil"/>
              <w:bottom w:val="single" w:sz="4" w:space="0" w:color="7F7F7F"/>
            </w:tcBorders>
            <w:vAlign w:val="center"/>
          </w:tcPr>
          <w:p w14:paraId="0BDBF380"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11,1</w:t>
            </w:r>
          </w:p>
        </w:tc>
        <w:tc>
          <w:tcPr>
            <w:tcW w:w="1080" w:type="dxa"/>
            <w:tcBorders>
              <w:top w:val="nil"/>
              <w:bottom w:val="single" w:sz="4" w:space="0" w:color="7F7F7F"/>
            </w:tcBorders>
            <w:vAlign w:val="center"/>
          </w:tcPr>
          <w:p w14:paraId="101930EC"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10,3</w:t>
            </w:r>
          </w:p>
        </w:tc>
        <w:tc>
          <w:tcPr>
            <w:tcW w:w="1026" w:type="dxa"/>
            <w:tcBorders>
              <w:top w:val="nil"/>
              <w:bottom w:val="single" w:sz="4" w:space="0" w:color="7F7F7F"/>
            </w:tcBorders>
            <w:vAlign w:val="center"/>
          </w:tcPr>
          <w:p w14:paraId="317682C9" w14:textId="77777777" w:rsidR="00A22687" w:rsidRPr="00A22687" w:rsidRDefault="00A22687" w:rsidP="00A22687">
            <w:pPr>
              <w:spacing w:after="0"/>
              <w:jc w:val="right"/>
              <w:rPr>
                <w:rFonts w:ascii="Arial" w:eastAsia="Times New Roman" w:hAnsi="Arial" w:cs="Arial"/>
                <w:color w:val="000000"/>
                <w:sz w:val="16"/>
                <w:szCs w:val="16"/>
                <w:lang w:eastAsia="el-GR"/>
              </w:rPr>
            </w:pPr>
            <w:r w:rsidRPr="00A22687">
              <w:rPr>
                <w:rFonts w:ascii="Arial" w:eastAsia="Times New Roman" w:hAnsi="Arial" w:cs="Arial"/>
                <w:color w:val="000000"/>
                <w:sz w:val="16"/>
                <w:szCs w:val="16"/>
                <w:lang w:eastAsia="el-GR"/>
              </w:rPr>
              <w:t>9,7</w:t>
            </w:r>
          </w:p>
        </w:tc>
      </w:tr>
      <w:tr w:rsidR="00A22687" w:rsidRPr="00A22687" w14:paraId="2F3485EA" w14:textId="77777777" w:rsidTr="006A71D3">
        <w:trPr>
          <w:jc w:val="center"/>
        </w:trPr>
        <w:tc>
          <w:tcPr>
            <w:tcW w:w="8558" w:type="dxa"/>
            <w:gridSpan w:val="4"/>
            <w:tcBorders>
              <w:top w:val="single" w:sz="4" w:space="0" w:color="7F7F7F"/>
              <w:left w:val="nil"/>
              <w:bottom w:val="nil"/>
              <w:right w:val="nil"/>
            </w:tcBorders>
            <w:vAlign w:val="center"/>
          </w:tcPr>
          <w:p w14:paraId="2A558DFA" w14:textId="77777777" w:rsidR="00A22687" w:rsidRPr="00A22687" w:rsidRDefault="00A22687" w:rsidP="00A22687">
            <w:pPr>
              <w:tabs>
                <w:tab w:val="left" w:pos="170"/>
              </w:tabs>
              <w:spacing w:before="60" w:after="0"/>
              <w:jc w:val="both"/>
              <w:rPr>
                <w:rFonts w:ascii="Arial" w:eastAsia="Times New Roman" w:hAnsi="Arial" w:cs="Arial"/>
                <w:color w:val="000000"/>
                <w:sz w:val="16"/>
                <w:szCs w:val="16"/>
                <w:lang w:eastAsia="el-GR"/>
              </w:rPr>
            </w:pPr>
            <w:r w:rsidRPr="00A22687">
              <w:rPr>
                <w:rFonts w:ascii="Arial" w:eastAsia="Times New Roman" w:hAnsi="Arial" w:cs="Arial"/>
                <w:sz w:val="16"/>
                <w:szCs w:val="18"/>
                <w:lang w:eastAsia="el-GR"/>
              </w:rPr>
              <w:t>*</w:t>
            </w:r>
            <w:r w:rsidRPr="00A22687">
              <w:rPr>
                <w:rFonts w:ascii="Arial" w:eastAsia="Times New Roman" w:hAnsi="Arial" w:cs="Arial"/>
                <w:sz w:val="16"/>
                <w:szCs w:val="18"/>
                <w:lang w:eastAsia="el-GR"/>
              </w:rPr>
              <w:tab/>
              <w:t xml:space="preserve">Σε </w:t>
            </w:r>
            <w:proofErr w:type="spellStart"/>
            <w:r w:rsidRPr="00A22687">
              <w:rPr>
                <w:rFonts w:ascii="Arial" w:eastAsia="Times New Roman" w:hAnsi="Arial" w:cs="Arial"/>
                <w:sz w:val="16"/>
                <w:szCs w:val="18"/>
                <w:lang w:eastAsia="el-GR"/>
              </w:rPr>
              <w:t>εθνικολογιστική</w:t>
            </w:r>
            <w:proofErr w:type="spellEnd"/>
            <w:r w:rsidRPr="00A22687">
              <w:rPr>
                <w:rFonts w:ascii="Arial" w:eastAsia="Times New Roman" w:hAnsi="Arial" w:cs="Arial"/>
                <w:sz w:val="16"/>
                <w:szCs w:val="18"/>
                <w:lang w:eastAsia="el-GR"/>
              </w:rPr>
              <w:t xml:space="preserve"> βάση</w:t>
            </w:r>
          </w:p>
        </w:tc>
      </w:tr>
      <w:tr w:rsidR="00A22687" w:rsidRPr="00A22687" w14:paraId="280CB909" w14:textId="77777777" w:rsidTr="006A71D3">
        <w:trPr>
          <w:jc w:val="center"/>
        </w:trPr>
        <w:tc>
          <w:tcPr>
            <w:tcW w:w="8558" w:type="dxa"/>
            <w:gridSpan w:val="4"/>
            <w:tcBorders>
              <w:top w:val="nil"/>
              <w:left w:val="nil"/>
              <w:bottom w:val="nil"/>
              <w:right w:val="nil"/>
            </w:tcBorders>
            <w:vAlign w:val="center"/>
          </w:tcPr>
          <w:p w14:paraId="0D023089" w14:textId="77777777" w:rsidR="00A22687" w:rsidRPr="00A22687" w:rsidRDefault="00A22687" w:rsidP="00A22687">
            <w:pPr>
              <w:tabs>
                <w:tab w:val="left" w:pos="170"/>
              </w:tabs>
              <w:spacing w:after="0"/>
              <w:jc w:val="both"/>
              <w:rPr>
                <w:rFonts w:ascii="Arial" w:eastAsia="Times New Roman" w:hAnsi="Arial" w:cs="Arial"/>
                <w:color w:val="000000"/>
                <w:sz w:val="16"/>
                <w:szCs w:val="16"/>
                <w:lang w:eastAsia="el-GR"/>
              </w:rPr>
            </w:pPr>
            <w:r w:rsidRPr="00A22687">
              <w:rPr>
                <w:rFonts w:ascii="Arial" w:eastAsia="Times New Roman" w:hAnsi="Arial" w:cs="Arial"/>
                <w:sz w:val="16"/>
                <w:szCs w:val="18"/>
                <w:lang w:eastAsia="el-GR"/>
              </w:rPr>
              <w:t>**</w:t>
            </w:r>
            <w:r w:rsidRPr="00A22687">
              <w:rPr>
                <w:rFonts w:ascii="Arial" w:eastAsia="Times New Roman" w:hAnsi="Arial" w:cs="Arial"/>
                <w:sz w:val="16"/>
                <w:szCs w:val="18"/>
                <w:lang w:eastAsia="el-GR"/>
              </w:rPr>
              <w:tab/>
              <w:t>Εκτιμήσεις/προβλέψεις</w:t>
            </w:r>
          </w:p>
        </w:tc>
      </w:tr>
      <w:tr w:rsidR="00A22687" w:rsidRPr="00A22687" w14:paraId="63D1A038" w14:textId="77777777" w:rsidTr="006A71D3">
        <w:trPr>
          <w:trHeight w:val="87"/>
          <w:jc w:val="center"/>
        </w:trPr>
        <w:tc>
          <w:tcPr>
            <w:tcW w:w="8558" w:type="dxa"/>
            <w:gridSpan w:val="4"/>
            <w:tcBorders>
              <w:top w:val="nil"/>
              <w:left w:val="nil"/>
              <w:bottom w:val="nil"/>
              <w:right w:val="nil"/>
            </w:tcBorders>
            <w:vAlign w:val="center"/>
          </w:tcPr>
          <w:p w14:paraId="0B2349C4" w14:textId="77777777" w:rsidR="00A22687" w:rsidRPr="00A22687" w:rsidRDefault="00A22687" w:rsidP="00A22687">
            <w:pPr>
              <w:tabs>
                <w:tab w:val="left" w:pos="0"/>
                <w:tab w:val="left" w:pos="447"/>
              </w:tabs>
              <w:spacing w:after="0"/>
              <w:jc w:val="both"/>
              <w:rPr>
                <w:rFonts w:ascii="Arial" w:eastAsia="Times New Roman" w:hAnsi="Arial" w:cs="Arial"/>
                <w:sz w:val="16"/>
                <w:szCs w:val="18"/>
                <w:lang w:eastAsia="el-GR"/>
              </w:rPr>
            </w:pPr>
            <w:r w:rsidRPr="00A22687">
              <w:rPr>
                <w:rFonts w:ascii="Arial" w:eastAsia="Times New Roman" w:hAnsi="Arial" w:cs="Arial"/>
                <w:sz w:val="16"/>
                <w:szCs w:val="18"/>
                <w:lang w:eastAsia="el-GR"/>
              </w:rPr>
              <w:t>Πηγή:</w:t>
            </w:r>
            <w:r w:rsidRPr="00A22687">
              <w:rPr>
                <w:rFonts w:ascii="Arial" w:eastAsia="Times New Roman" w:hAnsi="Arial" w:cs="Arial"/>
                <w:sz w:val="16"/>
                <w:szCs w:val="18"/>
                <w:lang w:eastAsia="el-GR"/>
              </w:rPr>
              <w:tab/>
              <w:t>Ετήσιοι Εθνικοί Λογαριασμοί (ΕΛΣΤΑΤ), εκτιμήσεις/προβλέψεις Υπουργείου Εθνικής Οικονομίας και Οικονομικών</w:t>
            </w:r>
          </w:p>
        </w:tc>
      </w:tr>
    </w:tbl>
    <w:p w14:paraId="142493AA" w14:textId="23F70FE8" w:rsidR="00A22687" w:rsidRDefault="00A22687" w:rsidP="00A22687">
      <w:pPr>
        <w:tabs>
          <w:tab w:val="left" w:pos="1840"/>
        </w:tabs>
        <w:jc w:val="both"/>
      </w:pPr>
    </w:p>
    <w:p w14:paraId="4780491A" w14:textId="50FF8F67" w:rsidR="00DA3D21" w:rsidRPr="00DA3D21" w:rsidRDefault="00DA3D21" w:rsidP="001A6954">
      <w:pPr>
        <w:jc w:val="both"/>
      </w:pPr>
      <w:r w:rsidRPr="00DA3D21">
        <w:lastRenderedPageBreak/>
        <w:t>Οι κίνδυνοι που περιβάλλουν τις μακροοικονομικές προβλέψεις, τόσο για το 2024 όσο και για το 2025, περιλαμβάνουν το ενδεχόμενο κλιμάκωσης των γεωπολιτικών κρίσεων στην Ουκρανία και στη Μέση Ανατολή καθώς και πιθανές νέες εστίες γεωπολιτικών εντάσεων, με αντίκτυπο στο διεθνές εμπόριο και στην πορεία αποκλιμάκωσης του πληθωρισμού, ενώ σημαντικές επιπτώσεις ενδέχεται να έχει και η εκδήλωση νέων ακραίων κλιματικών φαινομένων. Το ενδεχόμενο πιο επίμονου πληθωρισμού και η διατήρηση περιοριστικής νομισματικής πολιτικής για μεγαλύτερο χρονικό διάστημα θα επιδρούσε, επίσης, αρνητικά στην ανάπτυξη, ενώ μία σημαντικά περιοριστική δημοσιονομική πολιτική σε μεγάλες οικονομίες της ΕΕ, θα επιδρούσε αρνητικά στις ξένες επενδύσεις και στις εξαγωγές αγαθών και υπηρεσιών.</w:t>
      </w:r>
    </w:p>
    <w:p w14:paraId="7D0C3F05" w14:textId="43F5CB2D" w:rsidR="001A6954" w:rsidRPr="00E71EED" w:rsidRDefault="00A22687" w:rsidP="001A6954">
      <w:pPr>
        <w:jc w:val="both"/>
      </w:pPr>
      <w:r>
        <w:t>Ανοδικά στον ρυθμό ανάπτυξης θα μπορούσαν να επιδράσουν η ευνοϊκότερη του αναμενομένου εξέλιξη των τουριστικών εσόδων και των εσόδων από μεταφορές, η ενδεχόμενη ταχύτερη αποκλιμάκωση του πληθωρισμού, η ενίσχυση των επενδύσεων, ως αποτέλεσμα της ανάκτησης της επενδυτικής βαθμίδας, η ταχύτερη αξιοποίηση των πόρων του ΤΑΑ και των άλλων ευρωπαϊκών πόρων καθώς και η περαιτέρω ενίσχυση της ανταγωνιστικότητας των επιχειρήσεων, μέσω των μεταρρυθμίσεων που έχουν δρομολογηθεί.</w:t>
      </w:r>
    </w:p>
    <w:p w14:paraId="6AB2C7D2" w14:textId="77777777" w:rsidR="00685094" w:rsidRPr="00E71EED" w:rsidRDefault="00685094" w:rsidP="00685094">
      <w:pPr>
        <w:spacing w:after="160" w:line="259" w:lineRule="auto"/>
        <w:rPr>
          <w:b/>
          <w:color w:val="2F5496" w:themeColor="accent1" w:themeShade="BF"/>
        </w:rPr>
      </w:pPr>
    </w:p>
    <w:p w14:paraId="5082265B" w14:textId="217D9B12" w:rsidR="00685094" w:rsidRPr="003E0F85" w:rsidRDefault="00685094" w:rsidP="00685094">
      <w:pPr>
        <w:spacing w:after="160" w:line="259" w:lineRule="auto"/>
        <w:rPr>
          <w:rFonts w:ascii="Arial" w:hAnsi="Arial" w:cs="Arial"/>
          <w:sz w:val="20"/>
          <w:szCs w:val="20"/>
        </w:rPr>
      </w:pPr>
      <w:r w:rsidRPr="005F3860">
        <w:rPr>
          <w:b/>
          <w:color w:val="2F5496" w:themeColor="accent1" w:themeShade="BF"/>
        </w:rPr>
        <w:t>ΠΡΟΫΠΟΛΟΓΙΣΜΟΣ ΕΠΙΔΟΣΕΩΝ – ΕΠΙΣΚΟΠΗΣΕΙΣ ΔΑΠΑΝΩΝ ΚΑΙ ΕΣΟΔΩΝ</w:t>
      </w:r>
    </w:p>
    <w:p w14:paraId="6222B336" w14:textId="77777777" w:rsidR="00EC20FE" w:rsidRPr="00873FD2" w:rsidRDefault="00EC20FE" w:rsidP="00EC20FE">
      <w:pPr>
        <w:jc w:val="both"/>
      </w:pPr>
      <w:r w:rsidRPr="00F157D4">
        <w:t xml:space="preserve">Το Υπουργείο Εθνικής Οικονομίας και Οικονομικών, προκειμένου να ενισχύσει την κοινωνικοοικονομική αποτελεσματικότητα των δαπανών, τη διαφάνεια αλλά και τη δημόσια λογοδοσία, υιοθετεί σειρά μεταρρυθμίσεων ως προς τα δημοσιονομικά εργαλεία και τις σχετικές διαδικασίες δημοσιονομικής διαχείρισης. Σε ένα περιβάλλον που εξακολουθεί να </w:t>
      </w:r>
      <w:proofErr w:type="spellStart"/>
      <w:r w:rsidRPr="00F157D4">
        <w:t>διέπεται</w:t>
      </w:r>
      <w:proofErr w:type="spellEnd"/>
      <w:r w:rsidRPr="00F157D4">
        <w:t xml:space="preserve"> από τις οικονομικές επιπτώσεις της πανδημίας, της ενεργειακής κρίσης και της προσαρμογής στην κλιματική αλλαγή, σε συνδυασμό με γεωπολιτικές εντάσεις, αλλά και σε ένα πλαίσιο με νέους ευρωπαϊκούς δημοσιονομικούς κανόνες, είναι απαραίτητη η εξασφάλιση της μέγιστης αποδοτικότητας και αποτελεσματικότητας στη διαχείριση των πεπερασμένων δημόσιων πόρων. Με τον προϋπολογισμό επιδόσεων παρέχεται η δυνατότητα αξιολόγησης των δημόσιων πολιτικών και διευκολύνεται η λήψη αποφάσεων για ορθότερη κατανομή/ανακατανομή των δημόσιων πόρων. Ταυτόχρονα, η λειτουργική ταξινόμηση του προϋπολογισμού υποστηρίζει τις διεθνείς συγκρίσεις για τη δαπάνη της χώρας σε κρίσιμους τομείς δραστηριότητας (παιδεία, υγεία κ.λπ.). Η ένταξη και </w:t>
      </w:r>
      <w:r>
        <w:t xml:space="preserve">η </w:t>
      </w:r>
      <w:r w:rsidRPr="00F157D4">
        <w:t>ωρίμανση της χρήσης αυτών των εργαλείων σε συνδυασμό με τις επισκοπήσεις δαπανών και εσόδων στοχεύουν στον περαιτέρω περιορισμό της χρηματοδότησης αναποτελεσματικών κρατικών δραστηριοτήτων, ώστε οι πόροι που θα εξοικονομηθούν να χρηματοδοτήσουν δράσεις με ενισχυμένο κοινωνικό, αναπτυξιακό και θετικό προς το περιβάλλον πρόσημο. Για τον σκοπό μ</w:t>
      </w:r>
      <w:r>
        <w:t>ί</w:t>
      </w:r>
      <w:r w:rsidRPr="00F157D4">
        <w:t xml:space="preserve">ας ολοκληρωμένης αξιολόγησης των χρηματοδοτούμενων πολιτικών εισάγεται και η ταξινόμηση των Προγραμμάτων των φορέων της </w:t>
      </w:r>
      <w:r>
        <w:t>Κ</w:t>
      </w:r>
      <w:r w:rsidRPr="00F157D4">
        <w:t xml:space="preserve">εντρικής </w:t>
      </w:r>
      <w:r>
        <w:t>Δ</w:t>
      </w:r>
      <w:r w:rsidRPr="00F157D4">
        <w:t>ιοίκησης και ως προς το περιβαλλοντικό τους αποτύπωμα.</w:t>
      </w:r>
    </w:p>
    <w:p w14:paraId="51665396" w14:textId="1DCDF78F" w:rsidR="00EC20FE" w:rsidRDefault="00EC20FE" w:rsidP="00EC20FE">
      <w:r w:rsidRPr="002776DA">
        <w:rPr>
          <w:szCs w:val="20"/>
        </w:rPr>
        <w:t>Παρακάτω</w:t>
      </w:r>
      <w:r>
        <w:rPr>
          <w:szCs w:val="20"/>
        </w:rPr>
        <w:t xml:space="preserve"> </w:t>
      </w:r>
      <w:r w:rsidRPr="002776DA">
        <w:rPr>
          <w:szCs w:val="20"/>
        </w:rPr>
        <w:t>παρουσιάζεται</w:t>
      </w:r>
      <w:r>
        <w:t xml:space="preserve"> η λειτουργική ταξινόμηση του προϋπολογισμού έτους 2025 σε πρώτο και δεύτερο επίπεδο ανάλυσης.</w:t>
      </w:r>
    </w:p>
    <w:tbl>
      <w:tblPr>
        <w:tblW w:w="907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4A0" w:firstRow="1" w:lastRow="0" w:firstColumn="1" w:lastColumn="0" w:noHBand="0" w:noVBand="1"/>
      </w:tblPr>
      <w:tblGrid>
        <w:gridCol w:w="6048"/>
        <w:gridCol w:w="3024"/>
      </w:tblGrid>
      <w:tr w:rsidR="00EC20FE" w:rsidRPr="00685094" w14:paraId="7CA1D318" w14:textId="77777777" w:rsidTr="00EC20FE">
        <w:trPr>
          <w:cantSplit/>
          <w:trHeight w:val="340"/>
          <w:tblHeader/>
          <w:jc w:val="center"/>
        </w:trPr>
        <w:tc>
          <w:tcPr>
            <w:tcW w:w="9072" w:type="dxa"/>
            <w:gridSpan w:val="2"/>
            <w:tcBorders>
              <w:top w:val="single" w:sz="4" w:space="0" w:color="808080" w:themeColor="background1" w:themeShade="80"/>
              <w:bottom w:val="single" w:sz="4" w:space="0" w:color="808080" w:themeColor="background1" w:themeShade="80"/>
            </w:tcBorders>
            <w:shd w:val="clear" w:color="auto" w:fill="D5DCE4"/>
            <w:noWrap/>
            <w:vAlign w:val="center"/>
            <w:hideMark/>
          </w:tcPr>
          <w:p w14:paraId="59ED389D" w14:textId="1464F19A" w:rsidR="00EC20FE" w:rsidRPr="00685094" w:rsidRDefault="00EC20FE" w:rsidP="006A71D3">
            <w:pPr>
              <w:spacing w:after="0"/>
              <w:jc w:val="center"/>
              <w:rPr>
                <w:rFonts w:ascii="Arial" w:hAnsi="Arial" w:cs="Arial"/>
                <w:b/>
                <w:bCs/>
                <w:color w:val="000000"/>
                <w:sz w:val="16"/>
                <w:szCs w:val="16"/>
              </w:rPr>
            </w:pPr>
            <w:bookmarkStart w:id="2" w:name="_Toc182856379"/>
            <w:bookmarkStart w:id="3" w:name="_Toc182927969"/>
            <w:r w:rsidRPr="00685094">
              <w:rPr>
                <w:rFonts w:ascii="Arial" w:hAnsi="Arial" w:cs="Arial"/>
                <w:b/>
                <w:sz w:val="16"/>
                <w:szCs w:val="16"/>
              </w:rPr>
              <w:lastRenderedPageBreak/>
              <w:t xml:space="preserve"> Λειτουργική ταξινόμηση προϋπολογισμού Γενικής Κυβέρνησης (σε χιλιάδες ευρώ)</w:t>
            </w:r>
            <w:bookmarkEnd w:id="2"/>
            <w:bookmarkEnd w:id="3"/>
          </w:p>
        </w:tc>
      </w:tr>
      <w:tr w:rsidR="00EC20FE" w:rsidRPr="00685094" w14:paraId="00BA7EF3" w14:textId="77777777" w:rsidTr="00EC20FE">
        <w:trPr>
          <w:cantSplit/>
          <w:trHeight w:val="283"/>
          <w:tblHeader/>
          <w:jc w:val="center"/>
        </w:trPr>
        <w:tc>
          <w:tcPr>
            <w:tcW w:w="6048" w:type="dxa"/>
            <w:tcBorders>
              <w:top w:val="single" w:sz="4" w:space="0" w:color="808080" w:themeColor="background1" w:themeShade="80"/>
              <w:bottom w:val="single" w:sz="4" w:space="0" w:color="808080" w:themeColor="background1" w:themeShade="80"/>
            </w:tcBorders>
            <w:shd w:val="clear" w:color="auto" w:fill="D5DCE4"/>
            <w:vAlign w:val="center"/>
            <w:hideMark/>
          </w:tcPr>
          <w:p w14:paraId="672C4DC8" w14:textId="77777777" w:rsidR="00EC20FE" w:rsidRPr="00685094" w:rsidRDefault="00EC20FE" w:rsidP="006A71D3">
            <w:pPr>
              <w:spacing w:after="0"/>
              <w:jc w:val="center"/>
              <w:rPr>
                <w:rFonts w:ascii="Arial" w:hAnsi="Arial" w:cs="Arial"/>
                <w:b/>
                <w:bCs/>
                <w:color w:val="000000"/>
                <w:sz w:val="16"/>
                <w:szCs w:val="16"/>
              </w:rPr>
            </w:pPr>
            <w:r w:rsidRPr="00685094">
              <w:rPr>
                <w:rFonts w:ascii="Arial" w:hAnsi="Arial" w:cs="Arial"/>
                <w:b/>
                <w:bCs/>
                <w:color w:val="000000"/>
                <w:sz w:val="16"/>
                <w:szCs w:val="16"/>
              </w:rPr>
              <w:t xml:space="preserve">Λειτουργία βάσει </w:t>
            </w:r>
            <w:proofErr w:type="spellStart"/>
            <w:r w:rsidRPr="00685094">
              <w:rPr>
                <w:rFonts w:ascii="Arial" w:hAnsi="Arial" w:cs="Arial"/>
                <w:b/>
                <w:bCs/>
                <w:color w:val="000000"/>
                <w:sz w:val="16"/>
                <w:szCs w:val="16"/>
              </w:rPr>
              <w:t>cofog</w:t>
            </w:r>
            <w:proofErr w:type="spellEnd"/>
          </w:p>
        </w:tc>
        <w:tc>
          <w:tcPr>
            <w:tcW w:w="3024" w:type="dxa"/>
            <w:tcBorders>
              <w:top w:val="single" w:sz="4" w:space="0" w:color="808080" w:themeColor="background1" w:themeShade="80"/>
              <w:bottom w:val="single" w:sz="4" w:space="0" w:color="808080" w:themeColor="background1" w:themeShade="80"/>
            </w:tcBorders>
            <w:shd w:val="clear" w:color="auto" w:fill="D5DCE4"/>
            <w:noWrap/>
            <w:vAlign w:val="center"/>
            <w:hideMark/>
          </w:tcPr>
          <w:p w14:paraId="29B0DA7C" w14:textId="77777777" w:rsidR="00EC20FE" w:rsidRPr="00685094" w:rsidRDefault="00EC20FE" w:rsidP="006A71D3">
            <w:pPr>
              <w:spacing w:after="0"/>
              <w:jc w:val="center"/>
              <w:rPr>
                <w:rFonts w:ascii="Arial" w:hAnsi="Arial" w:cs="Arial"/>
                <w:b/>
                <w:bCs/>
                <w:color w:val="000000"/>
                <w:sz w:val="16"/>
                <w:szCs w:val="16"/>
              </w:rPr>
            </w:pPr>
            <w:r w:rsidRPr="00685094">
              <w:rPr>
                <w:rFonts w:ascii="Arial" w:hAnsi="Arial" w:cs="Arial"/>
                <w:b/>
                <w:bCs/>
                <w:color w:val="000000"/>
                <w:sz w:val="16"/>
                <w:szCs w:val="16"/>
              </w:rPr>
              <w:t xml:space="preserve">Προϋπολογισμός ΓΚ 2025 </w:t>
            </w:r>
          </w:p>
        </w:tc>
      </w:tr>
      <w:tr w:rsidR="00EC20FE" w:rsidRPr="00685094" w14:paraId="1092D7AF" w14:textId="77777777" w:rsidTr="00EC20FE">
        <w:trPr>
          <w:cantSplit/>
          <w:trHeight w:val="227"/>
          <w:jc w:val="center"/>
        </w:trPr>
        <w:tc>
          <w:tcPr>
            <w:tcW w:w="6048" w:type="dxa"/>
            <w:tcBorders>
              <w:top w:val="single" w:sz="4" w:space="0" w:color="808080" w:themeColor="background1" w:themeShade="80"/>
            </w:tcBorders>
            <w:shd w:val="clear" w:color="auto" w:fill="F2F2F2"/>
            <w:vAlign w:val="center"/>
            <w:hideMark/>
          </w:tcPr>
          <w:p w14:paraId="0DA4D0BA"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01. Γενικές δημόσιες υπηρεσίες</w:t>
            </w:r>
          </w:p>
        </w:tc>
        <w:tc>
          <w:tcPr>
            <w:tcW w:w="3024" w:type="dxa"/>
            <w:tcBorders>
              <w:top w:val="single" w:sz="4" w:space="0" w:color="808080" w:themeColor="background1" w:themeShade="80"/>
            </w:tcBorders>
            <w:shd w:val="clear" w:color="auto" w:fill="F2F2F2"/>
            <w:noWrap/>
            <w:vAlign w:val="center"/>
            <w:hideMark/>
          </w:tcPr>
          <w:p w14:paraId="06E815A4"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24.623.877 €</w:t>
            </w:r>
          </w:p>
        </w:tc>
      </w:tr>
      <w:tr w:rsidR="00EC20FE" w:rsidRPr="00685094" w14:paraId="493E3FAE" w14:textId="77777777" w:rsidTr="00EC20FE">
        <w:trPr>
          <w:cantSplit/>
          <w:trHeight w:val="227"/>
          <w:jc w:val="center"/>
        </w:trPr>
        <w:tc>
          <w:tcPr>
            <w:tcW w:w="6048" w:type="dxa"/>
            <w:shd w:val="clear" w:color="auto" w:fill="auto"/>
            <w:vAlign w:val="center"/>
            <w:hideMark/>
          </w:tcPr>
          <w:p w14:paraId="6C691F03"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01.01 Εκτελεστικά και νομοθετικά όργανα, οικονομικά και δημοσιονομικά θέματα, εξωτερικά θέματα</w:t>
            </w:r>
          </w:p>
        </w:tc>
        <w:tc>
          <w:tcPr>
            <w:tcW w:w="3024" w:type="dxa"/>
            <w:shd w:val="clear" w:color="auto" w:fill="auto"/>
            <w:noWrap/>
            <w:vAlign w:val="center"/>
            <w:hideMark/>
          </w:tcPr>
          <w:p w14:paraId="17D7B4C2"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7.189.936 €</w:t>
            </w:r>
          </w:p>
        </w:tc>
      </w:tr>
      <w:tr w:rsidR="00EC20FE" w:rsidRPr="00685094" w14:paraId="15B9883F" w14:textId="77777777" w:rsidTr="00EC20FE">
        <w:trPr>
          <w:cantSplit/>
          <w:trHeight w:val="227"/>
          <w:jc w:val="center"/>
        </w:trPr>
        <w:tc>
          <w:tcPr>
            <w:tcW w:w="6048" w:type="dxa"/>
            <w:shd w:val="clear" w:color="auto" w:fill="auto"/>
            <w:vAlign w:val="center"/>
            <w:hideMark/>
          </w:tcPr>
          <w:p w14:paraId="741DE1CE"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01.03 Γενικές υπηρεσίες</w:t>
            </w:r>
          </w:p>
        </w:tc>
        <w:tc>
          <w:tcPr>
            <w:tcW w:w="3024" w:type="dxa"/>
            <w:shd w:val="clear" w:color="auto" w:fill="auto"/>
            <w:noWrap/>
            <w:vAlign w:val="center"/>
            <w:hideMark/>
          </w:tcPr>
          <w:p w14:paraId="396C95BF"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9.996.594 €</w:t>
            </w:r>
          </w:p>
        </w:tc>
      </w:tr>
      <w:tr w:rsidR="00EC20FE" w:rsidRPr="00685094" w14:paraId="018D5E13" w14:textId="77777777" w:rsidTr="00EC20FE">
        <w:trPr>
          <w:cantSplit/>
          <w:trHeight w:val="227"/>
          <w:jc w:val="center"/>
        </w:trPr>
        <w:tc>
          <w:tcPr>
            <w:tcW w:w="6048" w:type="dxa"/>
            <w:shd w:val="clear" w:color="auto" w:fill="auto"/>
            <w:vAlign w:val="center"/>
            <w:hideMark/>
          </w:tcPr>
          <w:p w14:paraId="09AC93C9"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01.06 Λοιπές γενικές δημόσιες υπηρεσίες</w:t>
            </w:r>
          </w:p>
        </w:tc>
        <w:tc>
          <w:tcPr>
            <w:tcW w:w="3024" w:type="dxa"/>
            <w:shd w:val="clear" w:color="auto" w:fill="auto"/>
            <w:noWrap/>
            <w:vAlign w:val="center"/>
            <w:hideMark/>
          </w:tcPr>
          <w:p w14:paraId="3CAE30A7"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271.347 €</w:t>
            </w:r>
          </w:p>
        </w:tc>
      </w:tr>
      <w:tr w:rsidR="00EC20FE" w:rsidRPr="00685094" w14:paraId="0CF01E58" w14:textId="77777777" w:rsidTr="00EC20FE">
        <w:trPr>
          <w:cantSplit/>
          <w:trHeight w:val="227"/>
          <w:jc w:val="center"/>
        </w:trPr>
        <w:tc>
          <w:tcPr>
            <w:tcW w:w="6048" w:type="dxa"/>
            <w:shd w:val="clear" w:color="auto" w:fill="auto"/>
            <w:vAlign w:val="center"/>
            <w:hideMark/>
          </w:tcPr>
          <w:p w14:paraId="275EA57E"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01.07 Συναλλαγές δημόσιου χρέους</w:t>
            </w:r>
          </w:p>
        </w:tc>
        <w:tc>
          <w:tcPr>
            <w:tcW w:w="3024" w:type="dxa"/>
            <w:shd w:val="clear" w:color="auto" w:fill="auto"/>
            <w:noWrap/>
            <w:vAlign w:val="center"/>
            <w:hideMark/>
          </w:tcPr>
          <w:p w14:paraId="74FF9B27"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7.166.000 €</w:t>
            </w:r>
          </w:p>
        </w:tc>
      </w:tr>
      <w:tr w:rsidR="00EC20FE" w:rsidRPr="00685094" w14:paraId="74EB16DB" w14:textId="77777777" w:rsidTr="00EC20FE">
        <w:trPr>
          <w:cantSplit/>
          <w:trHeight w:val="227"/>
          <w:jc w:val="center"/>
        </w:trPr>
        <w:tc>
          <w:tcPr>
            <w:tcW w:w="6048" w:type="dxa"/>
            <w:shd w:val="clear" w:color="auto" w:fill="F2F2F2"/>
            <w:vAlign w:val="center"/>
            <w:hideMark/>
          </w:tcPr>
          <w:p w14:paraId="72C8D8E0"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02. Άμυνα</w:t>
            </w:r>
          </w:p>
        </w:tc>
        <w:tc>
          <w:tcPr>
            <w:tcW w:w="3024" w:type="dxa"/>
            <w:shd w:val="clear" w:color="auto" w:fill="F2F2F2"/>
            <w:noWrap/>
            <w:vAlign w:val="center"/>
            <w:hideMark/>
          </w:tcPr>
          <w:p w14:paraId="1E351172"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4.950.590 €</w:t>
            </w:r>
          </w:p>
        </w:tc>
      </w:tr>
      <w:tr w:rsidR="00EC20FE" w:rsidRPr="00685094" w14:paraId="34F9C216" w14:textId="77777777" w:rsidTr="00EC20FE">
        <w:trPr>
          <w:cantSplit/>
          <w:trHeight w:val="227"/>
          <w:jc w:val="center"/>
        </w:trPr>
        <w:tc>
          <w:tcPr>
            <w:tcW w:w="6048" w:type="dxa"/>
            <w:shd w:val="clear" w:color="auto" w:fill="auto"/>
            <w:vAlign w:val="center"/>
            <w:hideMark/>
          </w:tcPr>
          <w:p w14:paraId="79D8C498"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02.01 Στρατιωτική άμυνα</w:t>
            </w:r>
          </w:p>
        </w:tc>
        <w:tc>
          <w:tcPr>
            <w:tcW w:w="3024" w:type="dxa"/>
            <w:shd w:val="clear" w:color="auto" w:fill="auto"/>
            <w:noWrap/>
            <w:vAlign w:val="center"/>
            <w:hideMark/>
          </w:tcPr>
          <w:p w14:paraId="0BFAF0EF"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4.881.875 €</w:t>
            </w:r>
          </w:p>
        </w:tc>
      </w:tr>
      <w:tr w:rsidR="00EC20FE" w:rsidRPr="00685094" w14:paraId="0A3A8E7E" w14:textId="77777777" w:rsidTr="00EC20FE">
        <w:trPr>
          <w:cantSplit/>
          <w:trHeight w:val="227"/>
          <w:jc w:val="center"/>
        </w:trPr>
        <w:tc>
          <w:tcPr>
            <w:tcW w:w="6048" w:type="dxa"/>
            <w:shd w:val="clear" w:color="auto" w:fill="auto"/>
            <w:vAlign w:val="center"/>
            <w:hideMark/>
          </w:tcPr>
          <w:p w14:paraId="6C97A7D9"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02.03 Ξένη στρατιωτική ενίσχυση</w:t>
            </w:r>
          </w:p>
        </w:tc>
        <w:tc>
          <w:tcPr>
            <w:tcW w:w="3024" w:type="dxa"/>
            <w:shd w:val="clear" w:color="auto" w:fill="auto"/>
            <w:noWrap/>
            <w:vAlign w:val="center"/>
            <w:hideMark/>
          </w:tcPr>
          <w:p w14:paraId="110F1237"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50.980 €</w:t>
            </w:r>
          </w:p>
        </w:tc>
      </w:tr>
      <w:tr w:rsidR="00EC20FE" w:rsidRPr="00685094" w14:paraId="3CEBA063" w14:textId="77777777" w:rsidTr="00EC20FE">
        <w:trPr>
          <w:cantSplit/>
          <w:trHeight w:val="227"/>
          <w:jc w:val="center"/>
        </w:trPr>
        <w:tc>
          <w:tcPr>
            <w:tcW w:w="6048" w:type="dxa"/>
            <w:shd w:val="clear" w:color="auto" w:fill="auto"/>
            <w:vAlign w:val="center"/>
            <w:hideMark/>
          </w:tcPr>
          <w:p w14:paraId="03792855"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02.05 Άμυνα (λοιπά)</w:t>
            </w:r>
          </w:p>
        </w:tc>
        <w:tc>
          <w:tcPr>
            <w:tcW w:w="3024" w:type="dxa"/>
            <w:shd w:val="clear" w:color="auto" w:fill="auto"/>
            <w:noWrap/>
            <w:vAlign w:val="center"/>
            <w:hideMark/>
          </w:tcPr>
          <w:p w14:paraId="5A0CECF7"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17.735 €</w:t>
            </w:r>
          </w:p>
        </w:tc>
      </w:tr>
      <w:tr w:rsidR="00EC20FE" w:rsidRPr="00685094" w14:paraId="2E37CDE8" w14:textId="77777777" w:rsidTr="00EC20FE">
        <w:trPr>
          <w:cantSplit/>
          <w:trHeight w:val="227"/>
          <w:jc w:val="center"/>
        </w:trPr>
        <w:tc>
          <w:tcPr>
            <w:tcW w:w="6048" w:type="dxa"/>
            <w:shd w:val="clear" w:color="auto" w:fill="F2F2F2"/>
            <w:vAlign w:val="center"/>
            <w:hideMark/>
          </w:tcPr>
          <w:p w14:paraId="3674DBF1"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03. Δημόσια τάξη και ασφάλεια</w:t>
            </w:r>
          </w:p>
        </w:tc>
        <w:tc>
          <w:tcPr>
            <w:tcW w:w="3024" w:type="dxa"/>
            <w:shd w:val="clear" w:color="auto" w:fill="F2F2F2"/>
            <w:noWrap/>
            <w:vAlign w:val="center"/>
            <w:hideMark/>
          </w:tcPr>
          <w:p w14:paraId="3C268E8F"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4.526.032 €</w:t>
            </w:r>
          </w:p>
        </w:tc>
      </w:tr>
      <w:tr w:rsidR="00EC20FE" w:rsidRPr="00685094" w14:paraId="6CD5F58E" w14:textId="77777777" w:rsidTr="00EC20FE">
        <w:trPr>
          <w:cantSplit/>
          <w:trHeight w:val="227"/>
          <w:jc w:val="center"/>
        </w:trPr>
        <w:tc>
          <w:tcPr>
            <w:tcW w:w="6048" w:type="dxa"/>
            <w:shd w:val="clear" w:color="auto" w:fill="auto"/>
            <w:vAlign w:val="center"/>
            <w:hideMark/>
          </w:tcPr>
          <w:p w14:paraId="2DE2FB79"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03.01 Αστυνομικές υπηρεσίες</w:t>
            </w:r>
          </w:p>
        </w:tc>
        <w:tc>
          <w:tcPr>
            <w:tcW w:w="3024" w:type="dxa"/>
            <w:shd w:val="clear" w:color="auto" w:fill="auto"/>
            <w:noWrap/>
            <w:vAlign w:val="center"/>
            <w:hideMark/>
          </w:tcPr>
          <w:p w14:paraId="77D621A7"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2.443.149 €</w:t>
            </w:r>
          </w:p>
        </w:tc>
      </w:tr>
      <w:tr w:rsidR="00EC20FE" w:rsidRPr="00685094" w14:paraId="58419019" w14:textId="77777777" w:rsidTr="00EC20FE">
        <w:trPr>
          <w:cantSplit/>
          <w:trHeight w:val="227"/>
          <w:jc w:val="center"/>
        </w:trPr>
        <w:tc>
          <w:tcPr>
            <w:tcW w:w="6048" w:type="dxa"/>
            <w:shd w:val="clear" w:color="auto" w:fill="auto"/>
            <w:vAlign w:val="center"/>
            <w:hideMark/>
          </w:tcPr>
          <w:p w14:paraId="673A4C62"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03.02 Υπηρεσίες πυροπροστασίας</w:t>
            </w:r>
          </w:p>
        </w:tc>
        <w:tc>
          <w:tcPr>
            <w:tcW w:w="3024" w:type="dxa"/>
            <w:shd w:val="clear" w:color="auto" w:fill="auto"/>
            <w:noWrap/>
            <w:vAlign w:val="center"/>
            <w:hideMark/>
          </w:tcPr>
          <w:p w14:paraId="429138EC"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919.646 €</w:t>
            </w:r>
          </w:p>
        </w:tc>
      </w:tr>
      <w:tr w:rsidR="00EC20FE" w:rsidRPr="00685094" w14:paraId="18DF12E5" w14:textId="77777777" w:rsidTr="00EC20FE">
        <w:trPr>
          <w:cantSplit/>
          <w:trHeight w:val="227"/>
          <w:jc w:val="center"/>
        </w:trPr>
        <w:tc>
          <w:tcPr>
            <w:tcW w:w="6048" w:type="dxa"/>
            <w:shd w:val="clear" w:color="auto" w:fill="auto"/>
            <w:vAlign w:val="center"/>
            <w:hideMark/>
          </w:tcPr>
          <w:p w14:paraId="6641EB2B"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03.03 Δικαστήρια</w:t>
            </w:r>
          </w:p>
        </w:tc>
        <w:tc>
          <w:tcPr>
            <w:tcW w:w="3024" w:type="dxa"/>
            <w:shd w:val="clear" w:color="auto" w:fill="auto"/>
            <w:noWrap/>
            <w:vAlign w:val="center"/>
            <w:hideMark/>
          </w:tcPr>
          <w:p w14:paraId="09E7B388"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644.261 €</w:t>
            </w:r>
          </w:p>
        </w:tc>
      </w:tr>
      <w:tr w:rsidR="00EC20FE" w:rsidRPr="00685094" w14:paraId="27D1BEAF" w14:textId="77777777" w:rsidTr="00EC20FE">
        <w:trPr>
          <w:cantSplit/>
          <w:trHeight w:val="227"/>
          <w:jc w:val="center"/>
        </w:trPr>
        <w:tc>
          <w:tcPr>
            <w:tcW w:w="6048" w:type="dxa"/>
            <w:shd w:val="clear" w:color="auto" w:fill="auto"/>
            <w:vAlign w:val="center"/>
            <w:hideMark/>
          </w:tcPr>
          <w:p w14:paraId="40E48E4B"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03.04 Φυλακές</w:t>
            </w:r>
          </w:p>
        </w:tc>
        <w:tc>
          <w:tcPr>
            <w:tcW w:w="3024" w:type="dxa"/>
            <w:shd w:val="clear" w:color="auto" w:fill="auto"/>
            <w:noWrap/>
            <w:vAlign w:val="center"/>
            <w:hideMark/>
          </w:tcPr>
          <w:p w14:paraId="1B33A871"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178.811 €</w:t>
            </w:r>
          </w:p>
        </w:tc>
      </w:tr>
      <w:tr w:rsidR="00EC20FE" w:rsidRPr="00685094" w14:paraId="42F44EC8" w14:textId="77777777" w:rsidTr="00EC20FE">
        <w:trPr>
          <w:cantSplit/>
          <w:trHeight w:val="227"/>
          <w:jc w:val="center"/>
        </w:trPr>
        <w:tc>
          <w:tcPr>
            <w:tcW w:w="6048" w:type="dxa"/>
            <w:shd w:val="clear" w:color="auto" w:fill="auto"/>
            <w:vAlign w:val="center"/>
            <w:hideMark/>
          </w:tcPr>
          <w:p w14:paraId="348D0BED"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03.05 Ε&amp;Α στον τομέα της δημόσιας τάξης και ασφάλειας</w:t>
            </w:r>
          </w:p>
        </w:tc>
        <w:tc>
          <w:tcPr>
            <w:tcW w:w="3024" w:type="dxa"/>
            <w:shd w:val="clear" w:color="auto" w:fill="auto"/>
            <w:noWrap/>
            <w:vAlign w:val="center"/>
            <w:hideMark/>
          </w:tcPr>
          <w:p w14:paraId="220F6076"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8.928 €</w:t>
            </w:r>
          </w:p>
        </w:tc>
      </w:tr>
      <w:tr w:rsidR="00EC20FE" w:rsidRPr="00685094" w14:paraId="6ACB48FA" w14:textId="77777777" w:rsidTr="00EC20FE">
        <w:trPr>
          <w:cantSplit/>
          <w:trHeight w:val="227"/>
          <w:jc w:val="center"/>
        </w:trPr>
        <w:tc>
          <w:tcPr>
            <w:tcW w:w="6048" w:type="dxa"/>
            <w:shd w:val="clear" w:color="auto" w:fill="auto"/>
            <w:vAlign w:val="center"/>
            <w:hideMark/>
          </w:tcPr>
          <w:p w14:paraId="317F262C"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03.06 Δημόσια τάξη και ασφάλεια (λοιπά)</w:t>
            </w:r>
          </w:p>
        </w:tc>
        <w:tc>
          <w:tcPr>
            <w:tcW w:w="3024" w:type="dxa"/>
            <w:shd w:val="clear" w:color="auto" w:fill="auto"/>
            <w:noWrap/>
            <w:vAlign w:val="center"/>
            <w:hideMark/>
          </w:tcPr>
          <w:p w14:paraId="75E845D1"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331.237 €</w:t>
            </w:r>
          </w:p>
        </w:tc>
      </w:tr>
      <w:tr w:rsidR="00EC20FE" w:rsidRPr="00685094" w14:paraId="6F515021" w14:textId="77777777" w:rsidTr="00EC20FE">
        <w:trPr>
          <w:cantSplit/>
          <w:trHeight w:val="227"/>
          <w:jc w:val="center"/>
        </w:trPr>
        <w:tc>
          <w:tcPr>
            <w:tcW w:w="6048" w:type="dxa"/>
            <w:shd w:val="clear" w:color="auto" w:fill="F2F2F2"/>
            <w:vAlign w:val="center"/>
            <w:hideMark/>
          </w:tcPr>
          <w:p w14:paraId="13BB87F3"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04. Οικονομικά θέματα</w:t>
            </w:r>
          </w:p>
        </w:tc>
        <w:tc>
          <w:tcPr>
            <w:tcW w:w="3024" w:type="dxa"/>
            <w:shd w:val="clear" w:color="auto" w:fill="F2F2F2"/>
            <w:noWrap/>
            <w:vAlign w:val="center"/>
            <w:hideMark/>
          </w:tcPr>
          <w:p w14:paraId="1C5B22C3"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11.580.661 €</w:t>
            </w:r>
          </w:p>
        </w:tc>
      </w:tr>
      <w:tr w:rsidR="00EC20FE" w:rsidRPr="00685094" w14:paraId="7285CD9D" w14:textId="77777777" w:rsidTr="00EC20FE">
        <w:trPr>
          <w:cantSplit/>
          <w:trHeight w:val="227"/>
          <w:jc w:val="center"/>
        </w:trPr>
        <w:tc>
          <w:tcPr>
            <w:tcW w:w="6048" w:type="dxa"/>
            <w:shd w:val="clear" w:color="auto" w:fill="auto"/>
            <w:vAlign w:val="center"/>
            <w:hideMark/>
          </w:tcPr>
          <w:p w14:paraId="1D7BF229"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04.01 Γενικά οικονομικά, εμπορικά και εργασιακά θέματα</w:t>
            </w:r>
          </w:p>
        </w:tc>
        <w:tc>
          <w:tcPr>
            <w:tcW w:w="3024" w:type="dxa"/>
            <w:shd w:val="clear" w:color="auto" w:fill="auto"/>
            <w:noWrap/>
            <w:vAlign w:val="center"/>
            <w:hideMark/>
          </w:tcPr>
          <w:p w14:paraId="3705BF39"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2.680.105 €</w:t>
            </w:r>
          </w:p>
        </w:tc>
      </w:tr>
      <w:tr w:rsidR="00EC20FE" w:rsidRPr="00685094" w14:paraId="2A3BC1A2" w14:textId="77777777" w:rsidTr="00EC20FE">
        <w:trPr>
          <w:cantSplit/>
          <w:trHeight w:val="227"/>
          <w:jc w:val="center"/>
        </w:trPr>
        <w:tc>
          <w:tcPr>
            <w:tcW w:w="6048" w:type="dxa"/>
            <w:shd w:val="clear" w:color="auto" w:fill="auto"/>
            <w:vAlign w:val="center"/>
            <w:hideMark/>
          </w:tcPr>
          <w:p w14:paraId="122DED0F"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04.02 Γεωργία, δασονομία, αλιεία και κυνήγι</w:t>
            </w:r>
          </w:p>
        </w:tc>
        <w:tc>
          <w:tcPr>
            <w:tcW w:w="3024" w:type="dxa"/>
            <w:shd w:val="clear" w:color="auto" w:fill="auto"/>
            <w:noWrap/>
            <w:vAlign w:val="center"/>
            <w:hideMark/>
          </w:tcPr>
          <w:p w14:paraId="06EC1705"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1.500.844 €</w:t>
            </w:r>
          </w:p>
        </w:tc>
      </w:tr>
      <w:tr w:rsidR="00EC20FE" w:rsidRPr="00685094" w14:paraId="40F2E8CC" w14:textId="77777777" w:rsidTr="00EC20FE">
        <w:trPr>
          <w:cantSplit/>
          <w:trHeight w:val="227"/>
          <w:jc w:val="center"/>
        </w:trPr>
        <w:tc>
          <w:tcPr>
            <w:tcW w:w="6048" w:type="dxa"/>
            <w:shd w:val="clear" w:color="auto" w:fill="auto"/>
            <w:vAlign w:val="center"/>
            <w:hideMark/>
          </w:tcPr>
          <w:p w14:paraId="51801AC6"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04.03 Καύσιμα και ενέργεια</w:t>
            </w:r>
          </w:p>
        </w:tc>
        <w:tc>
          <w:tcPr>
            <w:tcW w:w="3024" w:type="dxa"/>
            <w:shd w:val="clear" w:color="auto" w:fill="auto"/>
            <w:noWrap/>
            <w:vAlign w:val="center"/>
            <w:hideMark/>
          </w:tcPr>
          <w:p w14:paraId="3A8FFD3D"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2.882.364 €</w:t>
            </w:r>
          </w:p>
        </w:tc>
      </w:tr>
      <w:tr w:rsidR="00EC20FE" w:rsidRPr="00685094" w14:paraId="138B4378" w14:textId="77777777" w:rsidTr="00EC20FE">
        <w:trPr>
          <w:cantSplit/>
          <w:trHeight w:val="227"/>
          <w:jc w:val="center"/>
        </w:trPr>
        <w:tc>
          <w:tcPr>
            <w:tcW w:w="6048" w:type="dxa"/>
            <w:shd w:val="clear" w:color="auto" w:fill="auto"/>
            <w:vAlign w:val="center"/>
            <w:hideMark/>
          </w:tcPr>
          <w:p w14:paraId="41D9B991"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04.04 Μεταλλεία, βιομηχανία και κατασκευές</w:t>
            </w:r>
          </w:p>
        </w:tc>
        <w:tc>
          <w:tcPr>
            <w:tcW w:w="3024" w:type="dxa"/>
            <w:shd w:val="clear" w:color="auto" w:fill="auto"/>
            <w:noWrap/>
            <w:vAlign w:val="center"/>
            <w:hideMark/>
          </w:tcPr>
          <w:p w14:paraId="58B0D940"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81.423 €</w:t>
            </w:r>
          </w:p>
        </w:tc>
      </w:tr>
      <w:tr w:rsidR="00EC20FE" w:rsidRPr="00685094" w14:paraId="6C2D9AF3" w14:textId="77777777" w:rsidTr="00EC20FE">
        <w:trPr>
          <w:cantSplit/>
          <w:trHeight w:val="227"/>
          <w:jc w:val="center"/>
        </w:trPr>
        <w:tc>
          <w:tcPr>
            <w:tcW w:w="6048" w:type="dxa"/>
            <w:shd w:val="clear" w:color="auto" w:fill="auto"/>
            <w:vAlign w:val="center"/>
            <w:hideMark/>
          </w:tcPr>
          <w:p w14:paraId="60A8168D"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04.05 Μεταφορές</w:t>
            </w:r>
          </w:p>
        </w:tc>
        <w:tc>
          <w:tcPr>
            <w:tcW w:w="3024" w:type="dxa"/>
            <w:shd w:val="clear" w:color="auto" w:fill="auto"/>
            <w:noWrap/>
            <w:vAlign w:val="center"/>
            <w:hideMark/>
          </w:tcPr>
          <w:p w14:paraId="2B7615C3"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2.707.681 €</w:t>
            </w:r>
          </w:p>
        </w:tc>
      </w:tr>
      <w:tr w:rsidR="00EC20FE" w:rsidRPr="00685094" w14:paraId="277C4B16" w14:textId="77777777" w:rsidTr="00EC20FE">
        <w:trPr>
          <w:cantSplit/>
          <w:trHeight w:val="227"/>
          <w:jc w:val="center"/>
        </w:trPr>
        <w:tc>
          <w:tcPr>
            <w:tcW w:w="6048" w:type="dxa"/>
            <w:shd w:val="clear" w:color="auto" w:fill="auto"/>
            <w:vAlign w:val="center"/>
            <w:hideMark/>
          </w:tcPr>
          <w:p w14:paraId="2C9E5690"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04.06 Επικοινωνίες</w:t>
            </w:r>
          </w:p>
        </w:tc>
        <w:tc>
          <w:tcPr>
            <w:tcW w:w="3024" w:type="dxa"/>
            <w:shd w:val="clear" w:color="auto" w:fill="auto"/>
            <w:noWrap/>
            <w:vAlign w:val="center"/>
            <w:hideMark/>
          </w:tcPr>
          <w:p w14:paraId="516B9692"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606.486 €</w:t>
            </w:r>
          </w:p>
        </w:tc>
      </w:tr>
      <w:tr w:rsidR="00EC20FE" w:rsidRPr="00685094" w14:paraId="36ED4145" w14:textId="77777777" w:rsidTr="00EC20FE">
        <w:trPr>
          <w:cantSplit/>
          <w:trHeight w:val="227"/>
          <w:jc w:val="center"/>
        </w:trPr>
        <w:tc>
          <w:tcPr>
            <w:tcW w:w="6048" w:type="dxa"/>
            <w:shd w:val="clear" w:color="auto" w:fill="auto"/>
            <w:vAlign w:val="center"/>
            <w:hideMark/>
          </w:tcPr>
          <w:p w14:paraId="665961FB"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04.07 Λοιποί οικονομικοί κλάδοι</w:t>
            </w:r>
          </w:p>
        </w:tc>
        <w:tc>
          <w:tcPr>
            <w:tcW w:w="3024" w:type="dxa"/>
            <w:shd w:val="clear" w:color="auto" w:fill="auto"/>
            <w:noWrap/>
            <w:vAlign w:val="center"/>
            <w:hideMark/>
          </w:tcPr>
          <w:p w14:paraId="0E10D5F8"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196.935 €</w:t>
            </w:r>
          </w:p>
        </w:tc>
      </w:tr>
      <w:tr w:rsidR="00EC20FE" w:rsidRPr="00685094" w14:paraId="22C2CBC1" w14:textId="77777777" w:rsidTr="00EC20FE">
        <w:trPr>
          <w:cantSplit/>
          <w:trHeight w:val="227"/>
          <w:jc w:val="center"/>
        </w:trPr>
        <w:tc>
          <w:tcPr>
            <w:tcW w:w="6048" w:type="dxa"/>
            <w:shd w:val="clear" w:color="auto" w:fill="auto"/>
            <w:vAlign w:val="center"/>
            <w:hideMark/>
          </w:tcPr>
          <w:p w14:paraId="46EDB40E"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04.08 Ε&amp;Α στον τομέα των οικονομικών θεμάτων</w:t>
            </w:r>
          </w:p>
        </w:tc>
        <w:tc>
          <w:tcPr>
            <w:tcW w:w="3024" w:type="dxa"/>
            <w:shd w:val="clear" w:color="auto" w:fill="auto"/>
            <w:noWrap/>
            <w:vAlign w:val="center"/>
            <w:hideMark/>
          </w:tcPr>
          <w:p w14:paraId="28215B93"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683.811 €</w:t>
            </w:r>
          </w:p>
        </w:tc>
      </w:tr>
      <w:tr w:rsidR="00EC20FE" w:rsidRPr="00685094" w14:paraId="7499CA10" w14:textId="77777777" w:rsidTr="00EC20FE">
        <w:trPr>
          <w:cantSplit/>
          <w:trHeight w:val="227"/>
          <w:jc w:val="center"/>
        </w:trPr>
        <w:tc>
          <w:tcPr>
            <w:tcW w:w="6048" w:type="dxa"/>
            <w:shd w:val="clear" w:color="auto" w:fill="auto"/>
            <w:vAlign w:val="center"/>
            <w:hideMark/>
          </w:tcPr>
          <w:p w14:paraId="260F6B2E"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04.09 Οικονομικά θέματα (λοιπά)</w:t>
            </w:r>
          </w:p>
        </w:tc>
        <w:tc>
          <w:tcPr>
            <w:tcW w:w="3024" w:type="dxa"/>
            <w:shd w:val="clear" w:color="auto" w:fill="auto"/>
            <w:noWrap/>
            <w:vAlign w:val="center"/>
            <w:hideMark/>
          </w:tcPr>
          <w:p w14:paraId="388F82CD"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241.013 €</w:t>
            </w:r>
          </w:p>
        </w:tc>
      </w:tr>
      <w:tr w:rsidR="00EC20FE" w:rsidRPr="00685094" w14:paraId="07CB5315" w14:textId="77777777" w:rsidTr="00EC20FE">
        <w:trPr>
          <w:cantSplit/>
          <w:trHeight w:val="227"/>
          <w:jc w:val="center"/>
        </w:trPr>
        <w:tc>
          <w:tcPr>
            <w:tcW w:w="6048" w:type="dxa"/>
            <w:shd w:val="clear" w:color="auto" w:fill="F2F2F2"/>
            <w:vAlign w:val="center"/>
            <w:hideMark/>
          </w:tcPr>
          <w:p w14:paraId="4AE9AE9D"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05. Περιβαλλοντική προστασία</w:t>
            </w:r>
          </w:p>
        </w:tc>
        <w:tc>
          <w:tcPr>
            <w:tcW w:w="3024" w:type="dxa"/>
            <w:shd w:val="clear" w:color="auto" w:fill="F2F2F2"/>
            <w:noWrap/>
            <w:vAlign w:val="center"/>
            <w:hideMark/>
          </w:tcPr>
          <w:p w14:paraId="01DC9EF8"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1.539.235 €</w:t>
            </w:r>
          </w:p>
        </w:tc>
      </w:tr>
      <w:tr w:rsidR="00EC20FE" w:rsidRPr="00685094" w14:paraId="016C93C0" w14:textId="77777777" w:rsidTr="00EC20FE">
        <w:trPr>
          <w:cantSplit/>
          <w:trHeight w:val="227"/>
          <w:jc w:val="center"/>
        </w:trPr>
        <w:tc>
          <w:tcPr>
            <w:tcW w:w="6048" w:type="dxa"/>
            <w:shd w:val="clear" w:color="auto" w:fill="auto"/>
            <w:vAlign w:val="center"/>
            <w:hideMark/>
          </w:tcPr>
          <w:p w14:paraId="1E3F0EF2"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05.01 Διαχείριση των αποβλήτων</w:t>
            </w:r>
          </w:p>
        </w:tc>
        <w:tc>
          <w:tcPr>
            <w:tcW w:w="3024" w:type="dxa"/>
            <w:shd w:val="clear" w:color="auto" w:fill="auto"/>
            <w:noWrap/>
            <w:vAlign w:val="center"/>
            <w:hideMark/>
          </w:tcPr>
          <w:p w14:paraId="742D1ADD"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283.843 €</w:t>
            </w:r>
          </w:p>
        </w:tc>
      </w:tr>
      <w:tr w:rsidR="00EC20FE" w:rsidRPr="00685094" w14:paraId="1616012A" w14:textId="77777777" w:rsidTr="00EC20FE">
        <w:trPr>
          <w:cantSplit/>
          <w:trHeight w:val="227"/>
          <w:jc w:val="center"/>
        </w:trPr>
        <w:tc>
          <w:tcPr>
            <w:tcW w:w="6048" w:type="dxa"/>
            <w:shd w:val="clear" w:color="auto" w:fill="auto"/>
            <w:vAlign w:val="center"/>
            <w:hideMark/>
          </w:tcPr>
          <w:p w14:paraId="3D6CE792"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05.02 Διαχείριση υγρών αποβλήτων</w:t>
            </w:r>
          </w:p>
        </w:tc>
        <w:tc>
          <w:tcPr>
            <w:tcW w:w="3024" w:type="dxa"/>
            <w:shd w:val="clear" w:color="auto" w:fill="auto"/>
            <w:noWrap/>
            <w:vAlign w:val="center"/>
            <w:hideMark/>
          </w:tcPr>
          <w:p w14:paraId="15FC9613"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866 €</w:t>
            </w:r>
          </w:p>
        </w:tc>
      </w:tr>
      <w:tr w:rsidR="00EC20FE" w:rsidRPr="00685094" w14:paraId="00FFAE8F" w14:textId="77777777" w:rsidTr="00EC20FE">
        <w:trPr>
          <w:cantSplit/>
          <w:trHeight w:val="227"/>
          <w:jc w:val="center"/>
        </w:trPr>
        <w:tc>
          <w:tcPr>
            <w:tcW w:w="6048" w:type="dxa"/>
            <w:shd w:val="clear" w:color="auto" w:fill="auto"/>
            <w:vAlign w:val="center"/>
            <w:hideMark/>
          </w:tcPr>
          <w:p w14:paraId="65376CD1"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05.03 Αντιμετώπιση της ρύπανσης</w:t>
            </w:r>
          </w:p>
        </w:tc>
        <w:tc>
          <w:tcPr>
            <w:tcW w:w="3024" w:type="dxa"/>
            <w:shd w:val="clear" w:color="auto" w:fill="auto"/>
            <w:noWrap/>
            <w:vAlign w:val="center"/>
            <w:hideMark/>
          </w:tcPr>
          <w:p w14:paraId="1A566F7C"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606.313 €</w:t>
            </w:r>
          </w:p>
        </w:tc>
      </w:tr>
      <w:tr w:rsidR="00EC20FE" w:rsidRPr="00685094" w14:paraId="49D59455" w14:textId="77777777" w:rsidTr="00EC20FE">
        <w:trPr>
          <w:cantSplit/>
          <w:trHeight w:val="227"/>
          <w:jc w:val="center"/>
        </w:trPr>
        <w:tc>
          <w:tcPr>
            <w:tcW w:w="6048" w:type="dxa"/>
            <w:shd w:val="clear" w:color="auto" w:fill="auto"/>
            <w:vAlign w:val="center"/>
            <w:hideMark/>
          </w:tcPr>
          <w:p w14:paraId="6BD85480"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05.04 Προστασία της βιοποικιλότητας και του τοπίου</w:t>
            </w:r>
          </w:p>
        </w:tc>
        <w:tc>
          <w:tcPr>
            <w:tcW w:w="3024" w:type="dxa"/>
            <w:shd w:val="clear" w:color="auto" w:fill="auto"/>
            <w:noWrap/>
            <w:vAlign w:val="center"/>
            <w:hideMark/>
          </w:tcPr>
          <w:p w14:paraId="652EA750"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605.101 €</w:t>
            </w:r>
          </w:p>
        </w:tc>
      </w:tr>
      <w:tr w:rsidR="00EC20FE" w:rsidRPr="00685094" w14:paraId="258F4EFF" w14:textId="77777777" w:rsidTr="00EC20FE">
        <w:trPr>
          <w:cantSplit/>
          <w:trHeight w:val="227"/>
          <w:jc w:val="center"/>
        </w:trPr>
        <w:tc>
          <w:tcPr>
            <w:tcW w:w="6048" w:type="dxa"/>
            <w:shd w:val="clear" w:color="auto" w:fill="auto"/>
            <w:vAlign w:val="center"/>
            <w:hideMark/>
          </w:tcPr>
          <w:p w14:paraId="21A86CC7"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05.06 Περιβαλλοντική προστασία (λοιπά)</w:t>
            </w:r>
          </w:p>
        </w:tc>
        <w:tc>
          <w:tcPr>
            <w:tcW w:w="3024" w:type="dxa"/>
            <w:shd w:val="clear" w:color="auto" w:fill="auto"/>
            <w:noWrap/>
            <w:vAlign w:val="center"/>
            <w:hideMark/>
          </w:tcPr>
          <w:p w14:paraId="5561D759"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43.112 €</w:t>
            </w:r>
          </w:p>
        </w:tc>
      </w:tr>
      <w:tr w:rsidR="00EC20FE" w:rsidRPr="00685094" w14:paraId="322C0DCD" w14:textId="77777777" w:rsidTr="00EC20FE">
        <w:trPr>
          <w:cantSplit/>
          <w:trHeight w:val="227"/>
          <w:jc w:val="center"/>
        </w:trPr>
        <w:tc>
          <w:tcPr>
            <w:tcW w:w="6048" w:type="dxa"/>
            <w:shd w:val="clear" w:color="auto" w:fill="F2F2F2"/>
            <w:vAlign w:val="center"/>
            <w:hideMark/>
          </w:tcPr>
          <w:p w14:paraId="05D64211"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06. Οικιστική και κοινοτική μέριμνα</w:t>
            </w:r>
          </w:p>
        </w:tc>
        <w:tc>
          <w:tcPr>
            <w:tcW w:w="3024" w:type="dxa"/>
            <w:shd w:val="clear" w:color="auto" w:fill="F2F2F2"/>
            <w:noWrap/>
            <w:vAlign w:val="center"/>
            <w:hideMark/>
          </w:tcPr>
          <w:p w14:paraId="07B126D9"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764.288 €</w:t>
            </w:r>
          </w:p>
        </w:tc>
      </w:tr>
      <w:tr w:rsidR="00EC20FE" w:rsidRPr="00685094" w14:paraId="66E3676B" w14:textId="77777777" w:rsidTr="00EC20FE">
        <w:trPr>
          <w:cantSplit/>
          <w:trHeight w:val="227"/>
          <w:jc w:val="center"/>
        </w:trPr>
        <w:tc>
          <w:tcPr>
            <w:tcW w:w="6048" w:type="dxa"/>
            <w:shd w:val="clear" w:color="auto" w:fill="auto"/>
            <w:vAlign w:val="center"/>
            <w:hideMark/>
          </w:tcPr>
          <w:p w14:paraId="5F1A4970"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06.03 Ύδρευση</w:t>
            </w:r>
          </w:p>
        </w:tc>
        <w:tc>
          <w:tcPr>
            <w:tcW w:w="3024" w:type="dxa"/>
            <w:shd w:val="clear" w:color="auto" w:fill="auto"/>
            <w:noWrap/>
            <w:vAlign w:val="center"/>
            <w:hideMark/>
          </w:tcPr>
          <w:p w14:paraId="0E8030F9"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153.372 €</w:t>
            </w:r>
          </w:p>
        </w:tc>
      </w:tr>
      <w:tr w:rsidR="00EC20FE" w:rsidRPr="00685094" w14:paraId="2665E568" w14:textId="77777777" w:rsidTr="00EC20FE">
        <w:trPr>
          <w:cantSplit/>
          <w:trHeight w:val="227"/>
          <w:jc w:val="center"/>
        </w:trPr>
        <w:tc>
          <w:tcPr>
            <w:tcW w:w="6048" w:type="dxa"/>
            <w:shd w:val="clear" w:color="auto" w:fill="auto"/>
            <w:vAlign w:val="center"/>
            <w:hideMark/>
          </w:tcPr>
          <w:p w14:paraId="3D035F18"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06.06 Στεγαστική και κοινοτική μέριμνα (λοιπά)</w:t>
            </w:r>
          </w:p>
        </w:tc>
        <w:tc>
          <w:tcPr>
            <w:tcW w:w="3024" w:type="dxa"/>
            <w:shd w:val="clear" w:color="auto" w:fill="auto"/>
            <w:noWrap/>
            <w:vAlign w:val="center"/>
            <w:hideMark/>
          </w:tcPr>
          <w:p w14:paraId="4563F2C9"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610.916 €</w:t>
            </w:r>
          </w:p>
        </w:tc>
      </w:tr>
      <w:tr w:rsidR="00EC20FE" w:rsidRPr="00685094" w14:paraId="6ADD30CA" w14:textId="77777777" w:rsidTr="00EC20FE">
        <w:trPr>
          <w:cantSplit/>
          <w:trHeight w:val="227"/>
          <w:jc w:val="center"/>
        </w:trPr>
        <w:tc>
          <w:tcPr>
            <w:tcW w:w="6048" w:type="dxa"/>
            <w:shd w:val="clear" w:color="auto" w:fill="F2F2F2"/>
            <w:vAlign w:val="center"/>
            <w:hideMark/>
          </w:tcPr>
          <w:p w14:paraId="2E1E9F33"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07. Υγεία</w:t>
            </w:r>
          </w:p>
        </w:tc>
        <w:tc>
          <w:tcPr>
            <w:tcW w:w="3024" w:type="dxa"/>
            <w:shd w:val="clear" w:color="auto" w:fill="F2F2F2"/>
            <w:noWrap/>
            <w:vAlign w:val="center"/>
            <w:hideMark/>
          </w:tcPr>
          <w:p w14:paraId="67CE27E3"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13.464.079 €</w:t>
            </w:r>
          </w:p>
        </w:tc>
      </w:tr>
      <w:tr w:rsidR="00EC20FE" w:rsidRPr="00685094" w14:paraId="392954DA" w14:textId="77777777" w:rsidTr="00EC20FE">
        <w:trPr>
          <w:cantSplit/>
          <w:trHeight w:val="227"/>
          <w:jc w:val="center"/>
        </w:trPr>
        <w:tc>
          <w:tcPr>
            <w:tcW w:w="6048" w:type="dxa"/>
            <w:shd w:val="clear" w:color="auto" w:fill="auto"/>
            <w:vAlign w:val="center"/>
            <w:hideMark/>
          </w:tcPr>
          <w:p w14:paraId="42A5A2DA"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07.01 Ιατρικά προϊόντα, συσκευές και εξοπλισμός</w:t>
            </w:r>
          </w:p>
        </w:tc>
        <w:tc>
          <w:tcPr>
            <w:tcW w:w="3024" w:type="dxa"/>
            <w:shd w:val="clear" w:color="auto" w:fill="auto"/>
            <w:noWrap/>
            <w:vAlign w:val="center"/>
            <w:hideMark/>
          </w:tcPr>
          <w:p w14:paraId="67656D91"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2.715 €</w:t>
            </w:r>
          </w:p>
        </w:tc>
      </w:tr>
      <w:tr w:rsidR="00EC20FE" w:rsidRPr="00685094" w14:paraId="16D6B9A2" w14:textId="77777777" w:rsidTr="00EC20FE">
        <w:trPr>
          <w:cantSplit/>
          <w:trHeight w:val="227"/>
          <w:jc w:val="center"/>
        </w:trPr>
        <w:tc>
          <w:tcPr>
            <w:tcW w:w="6048" w:type="dxa"/>
            <w:shd w:val="clear" w:color="auto" w:fill="auto"/>
            <w:vAlign w:val="center"/>
            <w:hideMark/>
          </w:tcPr>
          <w:p w14:paraId="01A90EBC"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 xml:space="preserve">07.02 </w:t>
            </w:r>
            <w:proofErr w:type="spellStart"/>
            <w:r w:rsidRPr="00685094">
              <w:rPr>
                <w:rFonts w:ascii="Arial" w:hAnsi="Arial" w:cs="Arial"/>
                <w:color w:val="000000"/>
                <w:sz w:val="16"/>
                <w:szCs w:val="16"/>
              </w:rPr>
              <w:t>Εξωνοσοκομειακές</w:t>
            </w:r>
            <w:proofErr w:type="spellEnd"/>
            <w:r w:rsidRPr="00685094">
              <w:rPr>
                <w:rFonts w:ascii="Arial" w:hAnsi="Arial" w:cs="Arial"/>
                <w:color w:val="000000"/>
                <w:sz w:val="16"/>
                <w:szCs w:val="16"/>
              </w:rPr>
              <w:t xml:space="preserve"> υπηρεσίες</w:t>
            </w:r>
          </w:p>
        </w:tc>
        <w:tc>
          <w:tcPr>
            <w:tcW w:w="3024" w:type="dxa"/>
            <w:shd w:val="clear" w:color="auto" w:fill="auto"/>
            <w:noWrap/>
            <w:vAlign w:val="center"/>
            <w:hideMark/>
          </w:tcPr>
          <w:p w14:paraId="4DA6E61D"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1.994.376 €</w:t>
            </w:r>
          </w:p>
        </w:tc>
      </w:tr>
      <w:tr w:rsidR="00EC20FE" w:rsidRPr="00685094" w14:paraId="5D0B147F" w14:textId="77777777" w:rsidTr="00EC20FE">
        <w:trPr>
          <w:cantSplit/>
          <w:trHeight w:val="227"/>
          <w:jc w:val="center"/>
        </w:trPr>
        <w:tc>
          <w:tcPr>
            <w:tcW w:w="6048" w:type="dxa"/>
            <w:shd w:val="clear" w:color="auto" w:fill="auto"/>
            <w:vAlign w:val="center"/>
            <w:hideMark/>
          </w:tcPr>
          <w:p w14:paraId="469C4BA6"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07.03 Υπηρεσίες νοσοκομείων</w:t>
            </w:r>
          </w:p>
        </w:tc>
        <w:tc>
          <w:tcPr>
            <w:tcW w:w="3024" w:type="dxa"/>
            <w:shd w:val="clear" w:color="auto" w:fill="auto"/>
            <w:noWrap/>
            <w:vAlign w:val="center"/>
            <w:hideMark/>
          </w:tcPr>
          <w:p w14:paraId="750F0A4D"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10.817.595 €</w:t>
            </w:r>
          </w:p>
        </w:tc>
      </w:tr>
      <w:tr w:rsidR="00EC20FE" w:rsidRPr="00685094" w14:paraId="4312AA4C" w14:textId="77777777" w:rsidTr="00EC20FE">
        <w:trPr>
          <w:cantSplit/>
          <w:trHeight w:val="227"/>
          <w:jc w:val="center"/>
        </w:trPr>
        <w:tc>
          <w:tcPr>
            <w:tcW w:w="6048" w:type="dxa"/>
            <w:shd w:val="clear" w:color="auto" w:fill="auto"/>
            <w:vAlign w:val="center"/>
            <w:hideMark/>
          </w:tcPr>
          <w:p w14:paraId="0D1E34F7"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07.04 Υπηρεσίες δημόσιας υγείας</w:t>
            </w:r>
          </w:p>
        </w:tc>
        <w:tc>
          <w:tcPr>
            <w:tcW w:w="3024" w:type="dxa"/>
            <w:shd w:val="clear" w:color="auto" w:fill="auto"/>
            <w:noWrap/>
            <w:vAlign w:val="center"/>
            <w:hideMark/>
          </w:tcPr>
          <w:p w14:paraId="5AE29FA0"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530.959 €</w:t>
            </w:r>
          </w:p>
        </w:tc>
      </w:tr>
      <w:tr w:rsidR="00EC20FE" w:rsidRPr="00685094" w14:paraId="7FF8FABC" w14:textId="77777777" w:rsidTr="00EC20FE">
        <w:trPr>
          <w:cantSplit/>
          <w:trHeight w:val="227"/>
          <w:jc w:val="center"/>
        </w:trPr>
        <w:tc>
          <w:tcPr>
            <w:tcW w:w="6048" w:type="dxa"/>
            <w:shd w:val="clear" w:color="auto" w:fill="auto"/>
            <w:vAlign w:val="center"/>
            <w:hideMark/>
          </w:tcPr>
          <w:p w14:paraId="3E1BF209"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07.06 Υγεία (λοιπά)</w:t>
            </w:r>
          </w:p>
        </w:tc>
        <w:tc>
          <w:tcPr>
            <w:tcW w:w="3024" w:type="dxa"/>
            <w:shd w:val="clear" w:color="auto" w:fill="auto"/>
            <w:noWrap/>
            <w:vAlign w:val="center"/>
            <w:hideMark/>
          </w:tcPr>
          <w:p w14:paraId="51212799"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118.433 €</w:t>
            </w:r>
          </w:p>
        </w:tc>
      </w:tr>
      <w:tr w:rsidR="00EC20FE" w:rsidRPr="00685094" w14:paraId="208BFE17" w14:textId="77777777" w:rsidTr="00EC20FE">
        <w:trPr>
          <w:cantSplit/>
          <w:trHeight w:val="227"/>
          <w:jc w:val="center"/>
        </w:trPr>
        <w:tc>
          <w:tcPr>
            <w:tcW w:w="6048" w:type="dxa"/>
            <w:shd w:val="clear" w:color="auto" w:fill="F2F2F2"/>
            <w:vAlign w:val="center"/>
            <w:hideMark/>
          </w:tcPr>
          <w:p w14:paraId="0DB7FC8E"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08. Αναψυχή, πολιτισμός και θρησκεία</w:t>
            </w:r>
          </w:p>
        </w:tc>
        <w:tc>
          <w:tcPr>
            <w:tcW w:w="3024" w:type="dxa"/>
            <w:shd w:val="clear" w:color="auto" w:fill="F2F2F2"/>
            <w:noWrap/>
            <w:vAlign w:val="center"/>
            <w:hideMark/>
          </w:tcPr>
          <w:p w14:paraId="6660899B"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1.551.575 €</w:t>
            </w:r>
          </w:p>
        </w:tc>
      </w:tr>
      <w:tr w:rsidR="00EC20FE" w:rsidRPr="00685094" w14:paraId="56D69D4E" w14:textId="77777777" w:rsidTr="00EC20FE">
        <w:trPr>
          <w:cantSplit/>
          <w:trHeight w:val="227"/>
          <w:jc w:val="center"/>
        </w:trPr>
        <w:tc>
          <w:tcPr>
            <w:tcW w:w="6048" w:type="dxa"/>
            <w:shd w:val="clear" w:color="auto" w:fill="auto"/>
            <w:vAlign w:val="center"/>
            <w:hideMark/>
          </w:tcPr>
          <w:p w14:paraId="359F78B8"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 xml:space="preserve">08.01 Υπηρεσίες αναψυχής και αθλητικές υπηρεσίες </w:t>
            </w:r>
          </w:p>
        </w:tc>
        <w:tc>
          <w:tcPr>
            <w:tcW w:w="3024" w:type="dxa"/>
            <w:shd w:val="clear" w:color="auto" w:fill="auto"/>
            <w:noWrap/>
            <w:vAlign w:val="center"/>
            <w:hideMark/>
          </w:tcPr>
          <w:p w14:paraId="41E705CF"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160.042 €</w:t>
            </w:r>
          </w:p>
        </w:tc>
      </w:tr>
      <w:tr w:rsidR="00EC20FE" w:rsidRPr="00685094" w14:paraId="199E291C" w14:textId="77777777" w:rsidTr="00EC20FE">
        <w:trPr>
          <w:cantSplit/>
          <w:trHeight w:val="227"/>
          <w:jc w:val="center"/>
        </w:trPr>
        <w:tc>
          <w:tcPr>
            <w:tcW w:w="6048" w:type="dxa"/>
            <w:shd w:val="clear" w:color="auto" w:fill="auto"/>
            <w:vAlign w:val="center"/>
            <w:hideMark/>
          </w:tcPr>
          <w:p w14:paraId="025DA1A4"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08.02 Πολιτιστικές υπηρεσίες</w:t>
            </w:r>
          </w:p>
        </w:tc>
        <w:tc>
          <w:tcPr>
            <w:tcW w:w="3024" w:type="dxa"/>
            <w:shd w:val="clear" w:color="auto" w:fill="auto"/>
            <w:noWrap/>
            <w:vAlign w:val="center"/>
            <w:hideMark/>
          </w:tcPr>
          <w:p w14:paraId="5D0EBE0F"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710.825 €</w:t>
            </w:r>
          </w:p>
        </w:tc>
      </w:tr>
      <w:tr w:rsidR="00EC20FE" w:rsidRPr="00685094" w14:paraId="0F31AF0B" w14:textId="77777777" w:rsidTr="00EC20FE">
        <w:trPr>
          <w:cantSplit/>
          <w:trHeight w:val="227"/>
          <w:jc w:val="center"/>
        </w:trPr>
        <w:tc>
          <w:tcPr>
            <w:tcW w:w="6048" w:type="dxa"/>
            <w:shd w:val="clear" w:color="auto" w:fill="auto"/>
            <w:vAlign w:val="center"/>
            <w:hideMark/>
          </w:tcPr>
          <w:p w14:paraId="639BD19D"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08.03 Ραδιοτηλεόραση και τύπος</w:t>
            </w:r>
          </w:p>
        </w:tc>
        <w:tc>
          <w:tcPr>
            <w:tcW w:w="3024" w:type="dxa"/>
            <w:shd w:val="clear" w:color="auto" w:fill="auto"/>
            <w:noWrap/>
            <w:vAlign w:val="center"/>
            <w:hideMark/>
          </w:tcPr>
          <w:p w14:paraId="6BC567F2"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358.526 €</w:t>
            </w:r>
          </w:p>
        </w:tc>
      </w:tr>
      <w:tr w:rsidR="00EC20FE" w:rsidRPr="00685094" w14:paraId="09EF9AC5" w14:textId="77777777" w:rsidTr="00EC20FE">
        <w:trPr>
          <w:cantSplit/>
          <w:trHeight w:val="227"/>
          <w:jc w:val="center"/>
        </w:trPr>
        <w:tc>
          <w:tcPr>
            <w:tcW w:w="6048" w:type="dxa"/>
            <w:shd w:val="clear" w:color="auto" w:fill="auto"/>
            <w:vAlign w:val="center"/>
            <w:hideMark/>
          </w:tcPr>
          <w:p w14:paraId="001503DB"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08.04 Θρησκευτικές και λοιπές κοινοτικές υπηρεσίες</w:t>
            </w:r>
          </w:p>
        </w:tc>
        <w:tc>
          <w:tcPr>
            <w:tcW w:w="3024" w:type="dxa"/>
            <w:shd w:val="clear" w:color="auto" w:fill="auto"/>
            <w:noWrap/>
            <w:vAlign w:val="center"/>
            <w:hideMark/>
          </w:tcPr>
          <w:p w14:paraId="41418748"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258.642 €</w:t>
            </w:r>
          </w:p>
        </w:tc>
      </w:tr>
      <w:tr w:rsidR="00EC20FE" w:rsidRPr="00685094" w14:paraId="64528FEF" w14:textId="77777777" w:rsidTr="00EC20FE">
        <w:trPr>
          <w:cantSplit/>
          <w:trHeight w:val="227"/>
          <w:jc w:val="center"/>
        </w:trPr>
        <w:tc>
          <w:tcPr>
            <w:tcW w:w="6048" w:type="dxa"/>
            <w:shd w:val="clear" w:color="auto" w:fill="auto"/>
            <w:vAlign w:val="center"/>
            <w:hideMark/>
          </w:tcPr>
          <w:p w14:paraId="48112EDD"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08.06 Αναψυχή, πολιτισμός και θρησκεία (λοιπά)</w:t>
            </w:r>
          </w:p>
        </w:tc>
        <w:tc>
          <w:tcPr>
            <w:tcW w:w="3024" w:type="dxa"/>
            <w:shd w:val="clear" w:color="auto" w:fill="auto"/>
            <w:noWrap/>
            <w:vAlign w:val="center"/>
            <w:hideMark/>
          </w:tcPr>
          <w:p w14:paraId="563FB012"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63.540 €</w:t>
            </w:r>
          </w:p>
        </w:tc>
      </w:tr>
      <w:tr w:rsidR="00EC20FE" w:rsidRPr="00685094" w14:paraId="29B6366B" w14:textId="77777777" w:rsidTr="00EC20FE">
        <w:trPr>
          <w:cantSplit/>
          <w:trHeight w:val="227"/>
          <w:jc w:val="center"/>
        </w:trPr>
        <w:tc>
          <w:tcPr>
            <w:tcW w:w="6048" w:type="dxa"/>
            <w:shd w:val="clear" w:color="auto" w:fill="F2F2F2"/>
            <w:vAlign w:val="center"/>
            <w:hideMark/>
          </w:tcPr>
          <w:p w14:paraId="4E68A528"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09. Εκπαίδευση</w:t>
            </w:r>
          </w:p>
        </w:tc>
        <w:tc>
          <w:tcPr>
            <w:tcW w:w="3024" w:type="dxa"/>
            <w:shd w:val="clear" w:color="auto" w:fill="F2F2F2"/>
            <w:noWrap/>
            <w:vAlign w:val="center"/>
            <w:hideMark/>
          </w:tcPr>
          <w:p w14:paraId="1F94C780"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7.245.947 €</w:t>
            </w:r>
          </w:p>
        </w:tc>
      </w:tr>
      <w:tr w:rsidR="00EC20FE" w:rsidRPr="00685094" w14:paraId="637CE608" w14:textId="77777777" w:rsidTr="00EC20FE">
        <w:trPr>
          <w:cantSplit/>
          <w:trHeight w:val="227"/>
          <w:jc w:val="center"/>
        </w:trPr>
        <w:tc>
          <w:tcPr>
            <w:tcW w:w="6048" w:type="dxa"/>
            <w:shd w:val="clear" w:color="auto" w:fill="auto"/>
            <w:vAlign w:val="center"/>
            <w:hideMark/>
          </w:tcPr>
          <w:p w14:paraId="4E527432"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09.01 Προσχολική και πρωτοβάθμια εκπαίδευση</w:t>
            </w:r>
          </w:p>
        </w:tc>
        <w:tc>
          <w:tcPr>
            <w:tcW w:w="3024" w:type="dxa"/>
            <w:shd w:val="clear" w:color="auto" w:fill="auto"/>
            <w:noWrap/>
            <w:vAlign w:val="center"/>
            <w:hideMark/>
          </w:tcPr>
          <w:p w14:paraId="4C408D63"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1.928.030 €</w:t>
            </w:r>
          </w:p>
        </w:tc>
      </w:tr>
      <w:tr w:rsidR="00EC20FE" w:rsidRPr="00685094" w14:paraId="6D41201E" w14:textId="77777777" w:rsidTr="00EC20FE">
        <w:trPr>
          <w:cantSplit/>
          <w:trHeight w:val="227"/>
          <w:jc w:val="center"/>
        </w:trPr>
        <w:tc>
          <w:tcPr>
            <w:tcW w:w="6048" w:type="dxa"/>
            <w:shd w:val="clear" w:color="auto" w:fill="auto"/>
            <w:vAlign w:val="center"/>
            <w:hideMark/>
          </w:tcPr>
          <w:p w14:paraId="49919D4B"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09.02 Δευτεροβάθμια εκπαίδευση</w:t>
            </w:r>
          </w:p>
        </w:tc>
        <w:tc>
          <w:tcPr>
            <w:tcW w:w="3024" w:type="dxa"/>
            <w:shd w:val="clear" w:color="auto" w:fill="auto"/>
            <w:noWrap/>
            <w:vAlign w:val="center"/>
            <w:hideMark/>
          </w:tcPr>
          <w:p w14:paraId="724C1EA9"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2.184.997 €</w:t>
            </w:r>
          </w:p>
        </w:tc>
      </w:tr>
      <w:tr w:rsidR="00EC20FE" w:rsidRPr="00685094" w14:paraId="1F7CA87D" w14:textId="77777777" w:rsidTr="00EC20FE">
        <w:trPr>
          <w:cantSplit/>
          <w:trHeight w:val="227"/>
          <w:jc w:val="center"/>
        </w:trPr>
        <w:tc>
          <w:tcPr>
            <w:tcW w:w="6048" w:type="dxa"/>
            <w:shd w:val="clear" w:color="auto" w:fill="auto"/>
            <w:vAlign w:val="center"/>
            <w:hideMark/>
          </w:tcPr>
          <w:p w14:paraId="767A204C"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 xml:space="preserve">09.03 </w:t>
            </w:r>
            <w:proofErr w:type="spellStart"/>
            <w:r w:rsidRPr="00685094">
              <w:rPr>
                <w:rFonts w:ascii="Arial" w:hAnsi="Arial" w:cs="Arial"/>
                <w:color w:val="000000"/>
                <w:sz w:val="16"/>
                <w:szCs w:val="16"/>
              </w:rPr>
              <w:t>Μεταδευτεροβάθμια</w:t>
            </w:r>
            <w:proofErr w:type="spellEnd"/>
            <w:r w:rsidRPr="00685094">
              <w:rPr>
                <w:rFonts w:ascii="Arial" w:hAnsi="Arial" w:cs="Arial"/>
                <w:color w:val="000000"/>
                <w:sz w:val="16"/>
                <w:szCs w:val="16"/>
              </w:rPr>
              <w:t>, μη τριτοβάθμια εκπαίδευση</w:t>
            </w:r>
          </w:p>
        </w:tc>
        <w:tc>
          <w:tcPr>
            <w:tcW w:w="3024" w:type="dxa"/>
            <w:shd w:val="clear" w:color="auto" w:fill="auto"/>
            <w:noWrap/>
            <w:vAlign w:val="center"/>
            <w:hideMark/>
          </w:tcPr>
          <w:p w14:paraId="4635F81F"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281.587 €</w:t>
            </w:r>
          </w:p>
        </w:tc>
      </w:tr>
      <w:tr w:rsidR="00EC20FE" w:rsidRPr="00685094" w14:paraId="093F2E27" w14:textId="77777777" w:rsidTr="00EC20FE">
        <w:trPr>
          <w:cantSplit/>
          <w:trHeight w:val="227"/>
          <w:jc w:val="center"/>
        </w:trPr>
        <w:tc>
          <w:tcPr>
            <w:tcW w:w="6048" w:type="dxa"/>
            <w:shd w:val="clear" w:color="auto" w:fill="auto"/>
            <w:vAlign w:val="center"/>
            <w:hideMark/>
          </w:tcPr>
          <w:p w14:paraId="0C58741E"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09.04 Τριτοβάθμια εκπαίδευση</w:t>
            </w:r>
          </w:p>
        </w:tc>
        <w:tc>
          <w:tcPr>
            <w:tcW w:w="3024" w:type="dxa"/>
            <w:shd w:val="clear" w:color="auto" w:fill="auto"/>
            <w:noWrap/>
            <w:vAlign w:val="center"/>
            <w:hideMark/>
          </w:tcPr>
          <w:p w14:paraId="386B58EC"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2.207.027 €</w:t>
            </w:r>
          </w:p>
        </w:tc>
      </w:tr>
      <w:tr w:rsidR="00EC20FE" w:rsidRPr="00685094" w14:paraId="3D130D9F" w14:textId="77777777" w:rsidTr="00EC20FE">
        <w:trPr>
          <w:cantSplit/>
          <w:trHeight w:val="227"/>
          <w:jc w:val="center"/>
        </w:trPr>
        <w:tc>
          <w:tcPr>
            <w:tcW w:w="6048" w:type="dxa"/>
            <w:shd w:val="clear" w:color="auto" w:fill="auto"/>
            <w:vAlign w:val="center"/>
            <w:hideMark/>
          </w:tcPr>
          <w:p w14:paraId="57DA4E88"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lastRenderedPageBreak/>
              <w:t>09.05 Εκπαίδευση μη προσδιοριζόμενη από το επίπεδο</w:t>
            </w:r>
          </w:p>
        </w:tc>
        <w:tc>
          <w:tcPr>
            <w:tcW w:w="3024" w:type="dxa"/>
            <w:shd w:val="clear" w:color="auto" w:fill="auto"/>
            <w:noWrap/>
            <w:vAlign w:val="center"/>
            <w:hideMark/>
          </w:tcPr>
          <w:p w14:paraId="6D03925E"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265.218 €</w:t>
            </w:r>
          </w:p>
        </w:tc>
      </w:tr>
      <w:tr w:rsidR="00EC20FE" w:rsidRPr="00685094" w14:paraId="10C1448F" w14:textId="77777777" w:rsidTr="00EC20FE">
        <w:trPr>
          <w:cantSplit/>
          <w:trHeight w:val="227"/>
          <w:jc w:val="center"/>
        </w:trPr>
        <w:tc>
          <w:tcPr>
            <w:tcW w:w="6048" w:type="dxa"/>
            <w:shd w:val="clear" w:color="auto" w:fill="auto"/>
            <w:vAlign w:val="center"/>
            <w:hideMark/>
          </w:tcPr>
          <w:p w14:paraId="1EFE4EC7"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09.08 Εκπαίδευση (λοιπά)</w:t>
            </w:r>
          </w:p>
        </w:tc>
        <w:tc>
          <w:tcPr>
            <w:tcW w:w="3024" w:type="dxa"/>
            <w:shd w:val="clear" w:color="auto" w:fill="auto"/>
            <w:noWrap/>
            <w:vAlign w:val="center"/>
            <w:hideMark/>
          </w:tcPr>
          <w:p w14:paraId="1D20DCBF"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379.088 €</w:t>
            </w:r>
          </w:p>
        </w:tc>
      </w:tr>
      <w:tr w:rsidR="00EC20FE" w:rsidRPr="00685094" w14:paraId="49DEED54" w14:textId="77777777" w:rsidTr="00EC20FE">
        <w:trPr>
          <w:cantSplit/>
          <w:trHeight w:val="227"/>
          <w:jc w:val="center"/>
        </w:trPr>
        <w:tc>
          <w:tcPr>
            <w:tcW w:w="6048" w:type="dxa"/>
            <w:shd w:val="clear" w:color="auto" w:fill="F2F2F2"/>
            <w:vAlign w:val="center"/>
            <w:hideMark/>
          </w:tcPr>
          <w:p w14:paraId="616FEC20" w14:textId="77777777" w:rsidR="00EC20FE" w:rsidRPr="00685094" w:rsidRDefault="00EC20FE" w:rsidP="006A71D3">
            <w:pPr>
              <w:spacing w:after="0"/>
              <w:rPr>
                <w:rFonts w:ascii="Arial" w:hAnsi="Arial" w:cs="Arial"/>
                <w:b/>
                <w:color w:val="000000"/>
                <w:sz w:val="16"/>
                <w:szCs w:val="16"/>
              </w:rPr>
            </w:pPr>
            <w:r w:rsidRPr="00685094">
              <w:rPr>
                <w:rFonts w:ascii="Arial" w:hAnsi="Arial" w:cs="Arial"/>
                <w:b/>
                <w:color w:val="000000"/>
                <w:sz w:val="16"/>
                <w:szCs w:val="16"/>
              </w:rPr>
              <w:t>10. Κοινωνική προστασία</w:t>
            </w:r>
          </w:p>
        </w:tc>
        <w:tc>
          <w:tcPr>
            <w:tcW w:w="3024" w:type="dxa"/>
            <w:shd w:val="clear" w:color="auto" w:fill="F2F2F2"/>
            <w:noWrap/>
            <w:vAlign w:val="center"/>
            <w:hideMark/>
          </w:tcPr>
          <w:p w14:paraId="1DC28116" w14:textId="77777777" w:rsidR="00EC20FE" w:rsidRPr="00685094" w:rsidRDefault="00EC20FE" w:rsidP="006A71D3">
            <w:pPr>
              <w:spacing w:after="0"/>
              <w:jc w:val="right"/>
              <w:rPr>
                <w:rFonts w:ascii="Arial" w:hAnsi="Arial" w:cs="Arial"/>
                <w:b/>
                <w:color w:val="000000"/>
                <w:sz w:val="16"/>
                <w:szCs w:val="16"/>
              </w:rPr>
            </w:pPr>
            <w:r w:rsidRPr="00685094">
              <w:rPr>
                <w:rFonts w:ascii="Arial" w:hAnsi="Arial" w:cs="Arial"/>
                <w:b/>
                <w:color w:val="000000"/>
                <w:sz w:val="16"/>
                <w:szCs w:val="16"/>
              </w:rPr>
              <w:t>45.059.194 €</w:t>
            </w:r>
          </w:p>
        </w:tc>
      </w:tr>
      <w:tr w:rsidR="00EC20FE" w:rsidRPr="00685094" w14:paraId="20BFC792" w14:textId="77777777" w:rsidTr="00EC20FE">
        <w:trPr>
          <w:cantSplit/>
          <w:trHeight w:val="227"/>
          <w:jc w:val="center"/>
        </w:trPr>
        <w:tc>
          <w:tcPr>
            <w:tcW w:w="6048" w:type="dxa"/>
            <w:shd w:val="clear" w:color="auto" w:fill="auto"/>
            <w:vAlign w:val="center"/>
            <w:hideMark/>
          </w:tcPr>
          <w:p w14:paraId="08437C2C"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10.01 Ασθένεια και αναπηρία</w:t>
            </w:r>
          </w:p>
        </w:tc>
        <w:tc>
          <w:tcPr>
            <w:tcW w:w="3024" w:type="dxa"/>
            <w:shd w:val="clear" w:color="auto" w:fill="auto"/>
            <w:noWrap/>
            <w:vAlign w:val="center"/>
            <w:hideMark/>
          </w:tcPr>
          <w:p w14:paraId="1FFF507E"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3.304.149 €</w:t>
            </w:r>
          </w:p>
        </w:tc>
      </w:tr>
      <w:tr w:rsidR="00EC20FE" w:rsidRPr="00685094" w14:paraId="4D4CF2CB" w14:textId="77777777" w:rsidTr="00EC20FE">
        <w:trPr>
          <w:cantSplit/>
          <w:trHeight w:val="227"/>
          <w:jc w:val="center"/>
        </w:trPr>
        <w:tc>
          <w:tcPr>
            <w:tcW w:w="6048" w:type="dxa"/>
            <w:shd w:val="clear" w:color="auto" w:fill="auto"/>
            <w:vAlign w:val="center"/>
            <w:hideMark/>
          </w:tcPr>
          <w:p w14:paraId="7857DEB0"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10.02 Γηρατειά</w:t>
            </w:r>
          </w:p>
        </w:tc>
        <w:tc>
          <w:tcPr>
            <w:tcW w:w="3024" w:type="dxa"/>
            <w:shd w:val="clear" w:color="auto" w:fill="auto"/>
            <w:noWrap/>
            <w:vAlign w:val="center"/>
            <w:hideMark/>
          </w:tcPr>
          <w:p w14:paraId="5E06FE0C"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27.199.340 €</w:t>
            </w:r>
          </w:p>
        </w:tc>
      </w:tr>
      <w:tr w:rsidR="00EC20FE" w:rsidRPr="00685094" w14:paraId="257A4271" w14:textId="77777777" w:rsidTr="00EC20FE">
        <w:trPr>
          <w:cantSplit/>
          <w:trHeight w:val="227"/>
          <w:jc w:val="center"/>
        </w:trPr>
        <w:tc>
          <w:tcPr>
            <w:tcW w:w="6048" w:type="dxa"/>
            <w:shd w:val="clear" w:color="auto" w:fill="auto"/>
            <w:vAlign w:val="center"/>
            <w:hideMark/>
          </w:tcPr>
          <w:p w14:paraId="1C0B26D2"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10.03 Κληρονόμοι</w:t>
            </w:r>
          </w:p>
        </w:tc>
        <w:tc>
          <w:tcPr>
            <w:tcW w:w="3024" w:type="dxa"/>
            <w:shd w:val="clear" w:color="auto" w:fill="auto"/>
            <w:noWrap/>
            <w:vAlign w:val="center"/>
            <w:hideMark/>
          </w:tcPr>
          <w:p w14:paraId="72DD0E4B"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5.717.057 €</w:t>
            </w:r>
          </w:p>
        </w:tc>
      </w:tr>
      <w:tr w:rsidR="00EC20FE" w:rsidRPr="00685094" w14:paraId="61E096D1" w14:textId="77777777" w:rsidTr="00EC20FE">
        <w:trPr>
          <w:cantSplit/>
          <w:trHeight w:val="227"/>
          <w:jc w:val="center"/>
        </w:trPr>
        <w:tc>
          <w:tcPr>
            <w:tcW w:w="6048" w:type="dxa"/>
            <w:shd w:val="clear" w:color="auto" w:fill="auto"/>
            <w:vAlign w:val="center"/>
            <w:hideMark/>
          </w:tcPr>
          <w:p w14:paraId="5E53B1CE"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10.04 Οικογένεια και παιδιά</w:t>
            </w:r>
          </w:p>
        </w:tc>
        <w:tc>
          <w:tcPr>
            <w:tcW w:w="3024" w:type="dxa"/>
            <w:shd w:val="clear" w:color="auto" w:fill="auto"/>
            <w:noWrap/>
            <w:vAlign w:val="center"/>
            <w:hideMark/>
          </w:tcPr>
          <w:p w14:paraId="4BD913FC"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1.547.729 €</w:t>
            </w:r>
          </w:p>
        </w:tc>
      </w:tr>
      <w:tr w:rsidR="00EC20FE" w:rsidRPr="00685094" w14:paraId="13EB3B6B" w14:textId="77777777" w:rsidTr="00EC20FE">
        <w:trPr>
          <w:cantSplit/>
          <w:trHeight w:val="227"/>
          <w:jc w:val="center"/>
        </w:trPr>
        <w:tc>
          <w:tcPr>
            <w:tcW w:w="6048" w:type="dxa"/>
            <w:shd w:val="clear" w:color="auto" w:fill="auto"/>
            <w:vAlign w:val="center"/>
            <w:hideMark/>
          </w:tcPr>
          <w:p w14:paraId="0006BBD4"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10.05 Ανεργία</w:t>
            </w:r>
          </w:p>
        </w:tc>
        <w:tc>
          <w:tcPr>
            <w:tcW w:w="3024" w:type="dxa"/>
            <w:shd w:val="clear" w:color="auto" w:fill="auto"/>
            <w:noWrap/>
            <w:vAlign w:val="center"/>
            <w:hideMark/>
          </w:tcPr>
          <w:p w14:paraId="1D6056B6"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2.498.249 €</w:t>
            </w:r>
          </w:p>
        </w:tc>
      </w:tr>
      <w:tr w:rsidR="00EC20FE" w:rsidRPr="00685094" w14:paraId="7DBF5402" w14:textId="77777777" w:rsidTr="00EC20FE">
        <w:trPr>
          <w:cantSplit/>
          <w:trHeight w:val="227"/>
          <w:jc w:val="center"/>
        </w:trPr>
        <w:tc>
          <w:tcPr>
            <w:tcW w:w="6048" w:type="dxa"/>
            <w:shd w:val="clear" w:color="auto" w:fill="auto"/>
            <w:vAlign w:val="center"/>
            <w:hideMark/>
          </w:tcPr>
          <w:p w14:paraId="42533AEF"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10.06 Στέγαση</w:t>
            </w:r>
          </w:p>
        </w:tc>
        <w:tc>
          <w:tcPr>
            <w:tcW w:w="3024" w:type="dxa"/>
            <w:shd w:val="clear" w:color="auto" w:fill="auto"/>
            <w:noWrap/>
            <w:vAlign w:val="center"/>
            <w:hideMark/>
          </w:tcPr>
          <w:p w14:paraId="0E08AC1C"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475.204 €</w:t>
            </w:r>
          </w:p>
        </w:tc>
      </w:tr>
      <w:tr w:rsidR="00EC20FE" w:rsidRPr="00685094" w14:paraId="3AC4CEF1" w14:textId="77777777" w:rsidTr="00EC20FE">
        <w:trPr>
          <w:cantSplit/>
          <w:trHeight w:val="227"/>
          <w:jc w:val="center"/>
        </w:trPr>
        <w:tc>
          <w:tcPr>
            <w:tcW w:w="6048" w:type="dxa"/>
            <w:shd w:val="clear" w:color="auto" w:fill="auto"/>
            <w:vAlign w:val="center"/>
            <w:hideMark/>
          </w:tcPr>
          <w:p w14:paraId="3006C684"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10.07 Κοινωνικός αποκλεισμός (λοιπά)</w:t>
            </w:r>
          </w:p>
        </w:tc>
        <w:tc>
          <w:tcPr>
            <w:tcW w:w="3024" w:type="dxa"/>
            <w:shd w:val="clear" w:color="auto" w:fill="auto"/>
            <w:noWrap/>
            <w:vAlign w:val="center"/>
            <w:hideMark/>
          </w:tcPr>
          <w:p w14:paraId="0EFA7E1D"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1.706.861 €</w:t>
            </w:r>
          </w:p>
        </w:tc>
      </w:tr>
      <w:tr w:rsidR="00EC20FE" w:rsidRPr="00685094" w14:paraId="7557D558" w14:textId="77777777" w:rsidTr="00EC20FE">
        <w:trPr>
          <w:cantSplit/>
          <w:trHeight w:val="227"/>
          <w:jc w:val="center"/>
        </w:trPr>
        <w:tc>
          <w:tcPr>
            <w:tcW w:w="6048" w:type="dxa"/>
            <w:shd w:val="clear" w:color="auto" w:fill="auto"/>
            <w:vAlign w:val="center"/>
            <w:hideMark/>
          </w:tcPr>
          <w:p w14:paraId="2B43B411" w14:textId="77777777" w:rsidR="00EC20FE" w:rsidRPr="00685094" w:rsidRDefault="00EC20FE" w:rsidP="006A71D3">
            <w:pPr>
              <w:spacing w:after="0"/>
              <w:rPr>
                <w:rFonts w:ascii="Arial" w:hAnsi="Arial" w:cs="Arial"/>
                <w:color w:val="000000"/>
                <w:sz w:val="16"/>
                <w:szCs w:val="16"/>
              </w:rPr>
            </w:pPr>
            <w:r w:rsidRPr="00685094">
              <w:rPr>
                <w:rFonts w:ascii="Arial" w:hAnsi="Arial" w:cs="Arial"/>
                <w:color w:val="000000"/>
                <w:sz w:val="16"/>
                <w:szCs w:val="16"/>
              </w:rPr>
              <w:t>10.09 Κοινωνική προστασία (λοιπά)</w:t>
            </w:r>
          </w:p>
        </w:tc>
        <w:tc>
          <w:tcPr>
            <w:tcW w:w="3024" w:type="dxa"/>
            <w:shd w:val="clear" w:color="auto" w:fill="auto"/>
            <w:noWrap/>
            <w:vAlign w:val="center"/>
            <w:hideMark/>
          </w:tcPr>
          <w:p w14:paraId="5F5FB2B6" w14:textId="77777777" w:rsidR="00EC20FE" w:rsidRPr="00685094" w:rsidRDefault="00EC20FE" w:rsidP="006A71D3">
            <w:pPr>
              <w:spacing w:after="0"/>
              <w:jc w:val="right"/>
              <w:rPr>
                <w:rFonts w:ascii="Arial" w:hAnsi="Arial" w:cs="Arial"/>
                <w:color w:val="000000"/>
                <w:sz w:val="16"/>
                <w:szCs w:val="16"/>
              </w:rPr>
            </w:pPr>
            <w:r w:rsidRPr="00685094">
              <w:rPr>
                <w:rFonts w:ascii="Arial" w:hAnsi="Arial" w:cs="Arial"/>
                <w:color w:val="000000"/>
                <w:sz w:val="16"/>
                <w:szCs w:val="16"/>
              </w:rPr>
              <w:t>2.610.606 €</w:t>
            </w:r>
          </w:p>
        </w:tc>
      </w:tr>
      <w:tr w:rsidR="00EC20FE" w:rsidRPr="00685094" w14:paraId="1CEFF3F3" w14:textId="77777777" w:rsidTr="00EC20FE">
        <w:trPr>
          <w:cantSplit/>
          <w:jc w:val="center"/>
        </w:trPr>
        <w:tc>
          <w:tcPr>
            <w:tcW w:w="6048" w:type="dxa"/>
            <w:tcBorders>
              <w:bottom w:val="single" w:sz="4" w:space="0" w:color="808080" w:themeColor="background1" w:themeShade="80"/>
            </w:tcBorders>
            <w:shd w:val="clear" w:color="auto" w:fill="D5DCE4"/>
            <w:noWrap/>
            <w:vAlign w:val="bottom"/>
            <w:hideMark/>
          </w:tcPr>
          <w:p w14:paraId="45A07A05" w14:textId="77777777" w:rsidR="00EC20FE" w:rsidRPr="00685094" w:rsidRDefault="00EC20FE" w:rsidP="006A71D3">
            <w:pPr>
              <w:spacing w:after="0"/>
              <w:rPr>
                <w:rFonts w:ascii="Arial" w:hAnsi="Arial" w:cs="Arial"/>
                <w:b/>
                <w:bCs/>
                <w:color w:val="000000"/>
                <w:sz w:val="16"/>
                <w:szCs w:val="16"/>
              </w:rPr>
            </w:pPr>
            <w:r w:rsidRPr="00685094">
              <w:rPr>
                <w:rFonts w:ascii="Arial" w:hAnsi="Arial" w:cs="Arial"/>
                <w:b/>
                <w:bCs/>
                <w:color w:val="000000"/>
                <w:sz w:val="16"/>
                <w:szCs w:val="16"/>
              </w:rPr>
              <w:t>ΓΕΝΙΚΟ ΣΥΝΟΛΟ</w:t>
            </w:r>
          </w:p>
        </w:tc>
        <w:tc>
          <w:tcPr>
            <w:tcW w:w="3024" w:type="dxa"/>
            <w:tcBorders>
              <w:bottom w:val="single" w:sz="4" w:space="0" w:color="808080" w:themeColor="background1" w:themeShade="80"/>
            </w:tcBorders>
            <w:shd w:val="clear" w:color="auto" w:fill="D5DCE4"/>
            <w:noWrap/>
            <w:vAlign w:val="center"/>
            <w:hideMark/>
          </w:tcPr>
          <w:p w14:paraId="3875DEC5" w14:textId="77777777" w:rsidR="00EC20FE" w:rsidRPr="00685094" w:rsidRDefault="00EC20FE" w:rsidP="006A71D3">
            <w:pPr>
              <w:spacing w:after="0"/>
              <w:jc w:val="right"/>
              <w:rPr>
                <w:rFonts w:ascii="Arial" w:hAnsi="Arial" w:cs="Arial"/>
                <w:b/>
                <w:bCs/>
                <w:color w:val="000000"/>
                <w:sz w:val="16"/>
                <w:szCs w:val="16"/>
              </w:rPr>
            </w:pPr>
            <w:r w:rsidRPr="00685094">
              <w:rPr>
                <w:rFonts w:ascii="Arial" w:hAnsi="Arial" w:cs="Arial"/>
                <w:b/>
                <w:bCs/>
                <w:color w:val="000000"/>
                <w:sz w:val="16"/>
                <w:szCs w:val="16"/>
              </w:rPr>
              <w:t>115.305.477 €</w:t>
            </w:r>
          </w:p>
        </w:tc>
      </w:tr>
      <w:tr w:rsidR="00EC20FE" w:rsidRPr="00685094" w14:paraId="74C83301" w14:textId="77777777" w:rsidTr="00EC20FE">
        <w:trPr>
          <w:cantSplit/>
          <w:jc w:val="center"/>
        </w:trPr>
        <w:tc>
          <w:tcPr>
            <w:tcW w:w="9072" w:type="dxa"/>
            <w:gridSpan w:val="2"/>
            <w:tcBorders>
              <w:top w:val="single" w:sz="4" w:space="0" w:color="808080" w:themeColor="background1" w:themeShade="80"/>
              <w:left w:val="nil"/>
              <w:bottom w:val="nil"/>
              <w:right w:val="nil"/>
            </w:tcBorders>
            <w:shd w:val="clear" w:color="auto" w:fill="auto"/>
            <w:noWrap/>
            <w:vAlign w:val="center"/>
            <w:hideMark/>
          </w:tcPr>
          <w:p w14:paraId="3C6E7696" w14:textId="77777777" w:rsidR="00EC20FE" w:rsidRPr="00685094" w:rsidRDefault="00EC20FE" w:rsidP="006A71D3">
            <w:pPr>
              <w:tabs>
                <w:tab w:val="left" w:pos="880"/>
              </w:tabs>
              <w:spacing w:before="60" w:after="0"/>
              <w:rPr>
                <w:rFonts w:ascii="Arial" w:hAnsi="Arial" w:cs="Arial"/>
                <w:color w:val="000000"/>
                <w:sz w:val="16"/>
                <w:szCs w:val="16"/>
              </w:rPr>
            </w:pPr>
            <w:r w:rsidRPr="00685094">
              <w:rPr>
                <w:rFonts w:ascii="Arial" w:hAnsi="Arial" w:cs="Arial"/>
                <w:color w:val="000000"/>
                <w:sz w:val="16"/>
                <w:szCs w:val="16"/>
              </w:rPr>
              <w:t>Σημειώσεις:</w:t>
            </w:r>
            <w:r w:rsidRPr="00685094">
              <w:rPr>
                <w:rFonts w:ascii="Arial" w:hAnsi="Arial" w:cs="Arial"/>
                <w:color w:val="000000"/>
                <w:sz w:val="16"/>
                <w:szCs w:val="16"/>
              </w:rPr>
              <w:tab/>
              <w:t>(α) Στον πίνακα δεν περιλαμβάνονται χρηματοοικονομικές συναλλαγές.</w:t>
            </w:r>
          </w:p>
        </w:tc>
      </w:tr>
      <w:tr w:rsidR="00EC20FE" w:rsidRPr="00685094" w14:paraId="6B118BB3" w14:textId="77777777" w:rsidTr="00EC20FE">
        <w:trPr>
          <w:cantSplit/>
          <w:jc w:val="center"/>
        </w:trPr>
        <w:tc>
          <w:tcPr>
            <w:tcW w:w="9072" w:type="dxa"/>
            <w:gridSpan w:val="2"/>
            <w:tcBorders>
              <w:top w:val="nil"/>
              <w:left w:val="nil"/>
              <w:bottom w:val="nil"/>
              <w:right w:val="nil"/>
            </w:tcBorders>
            <w:shd w:val="clear" w:color="auto" w:fill="auto"/>
            <w:noWrap/>
            <w:vAlign w:val="center"/>
            <w:hideMark/>
          </w:tcPr>
          <w:p w14:paraId="3F599763" w14:textId="77777777" w:rsidR="00EC20FE" w:rsidRPr="00685094" w:rsidRDefault="00EC20FE" w:rsidP="006A71D3">
            <w:pPr>
              <w:tabs>
                <w:tab w:val="left" w:pos="880"/>
              </w:tabs>
              <w:spacing w:after="0"/>
              <w:rPr>
                <w:rFonts w:ascii="Arial" w:hAnsi="Arial" w:cs="Arial"/>
                <w:color w:val="000000"/>
                <w:sz w:val="16"/>
                <w:szCs w:val="16"/>
              </w:rPr>
            </w:pPr>
            <w:r w:rsidRPr="00685094">
              <w:rPr>
                <w:rFonts w:ascii="Arial" w:hAnsi="Arial" w:cs="Arial"/>
                <w:color w:val="000000"/>
                <w:sz w:val="16"/>
                <w:szCs w:val="16"/>
              </w:rPr>
              <w:tab/>
              <w:t>(β) Οι αμυντικές δαπάνες υπολογίζονται στη βάση των φυσικών παραλαβών.</w:t>
            </w:r>
          </w:p>
        </w:tc>
      </w:tr>
    </w:tbl>
    <w:p w14:paraId="70D6EBAA" w14:textId="416A0A1F" w:rsidR="00EC20FE" w:rsidRPr="00685094" w:rsidRDefault="00EC20FE" w:rsidP="00DB7273">
      <w:pPr>
        <w:spacing w:before="240"/>
        <w:jc w:val="both"/>
      </w:pPr>
      <w:r>
        <w:t xml:space="preserve">Στις δράσεις υψηλής προτεραιότητας για το 2025 περιλαμβάνονται τόσο επισκοπήσεις που εστιάζουν στη βελτίωση της διαχειριστικής ικανότητας της δημόσιας διοίκησης, όπως ενδεικτικά δράσεις εξοικονόμησης ενέργειας και αποτελεσματικότερης διαχείρισης του στόλου των κρατικών οχημάτων και δράσεις περιορισμού της δαπάνης μέσω αξιοποίησης των δυνατοτήτων της ψηφιακής διακυβέρνησης, αλλά και </w:t>
      </w:r>
      <w:proofErr w:type="spellStart"/>
      <w:r>
        <w:t>στοχευμένες</w:t>
      </w:r>
      <w:proofErr w:type="spellEnd"/>
      <w:r>
        <w:t xml:space="preserve"> σε καίριους τομείς δράσεις, όπως η επισκόπηση της υγειονομικής δαπάνης.</w:t>
      </w:r>
      <w:r w:rsidR="00685094" w:rsidRPr="00685094">
        <w:t xml:space="preserve"> </w:t>
      </w:r>
      <w:r w:rsidR="00685094" w:rsidRPr="000B7C68">
        <w:t>Το Υπουργείο Εθνικής Οικονομίας και Οικονομικών διασυνδέει το περιβαλλοντικό αποτύπωμα του προϋπολογισμού με τις επισκοπήσεις δαπανών και το ενσωματώνει στον προϋπολογισμό επιδόσεων.</w:t>
      </w:r>
      <w:r w:rsidR="00685094" w:rsidRPr="00685094">
        <w:t xml:space="preserve"> </w:t>
      </w:r>
    </w:p>
    <w:p w14:paraId="0309901C" w14:textId="77777777" w:rsidR="0018674D" w:rsidRDefault="0018674D" w:rsidP="008438E9">
      <w:pPr>
        <w:jc w:val="both"/>
        <w:rPr>
          <w:rFonts w:cstheme="minorHAnsi"/>
          <w:b/>
          <w:color w:val="2F5496" w:themeColor="accent1" w:themeShade="BF"/>
          <w:lang w:val="en-US"/>
        </w:rPr>
      </w:pPr>
    </w:p>
    <w:p w14:paraId="33C0AFFA" w14:textId="407C7E64" w:rsidR="008438E9" w:rsidRPr="00685094" w:rsidRDefault="008438E9" w:rsidP="008438E9">
      <w:pPr>
        <w:jc w:val="both"/>
        <w:rPr>
          <w:rFonts w:cstheme="minorHAnsi"/>
          <w:b/>
          <w:color w:val="2F5496" w:themeColor="accent1" w:themeShade="BF"/>
        </w:rPr>
      </w:pPr>
      <w:r w:rsidRPr="00A94C84">
        <w:rPr>
          <w:rFonts w:cstheme="minorHAnsi"/>
          <w:b/>
          <w:color w:val="2F5496" w:themeColor="accent1" w:themeShade="BF"/>
        </w:rPr>
        <w:t>ΠΡΟΫΠΟΛΟΓΙΣΜΟΣ ΓΕΝΙΚΗΣ ΚΥΒΕΡΝΗΣΗΣ</w:t>
      </w:r>
    </w:p>
    <w:p w14:paraId="1678FECB" w14:textId="0DEAF225" w:rsidR="00685094" w:rsidRPr="00685094" w:rsidRDefault="00685094" w:rsidP="00B22E86">
      <w:pPr>
        <w:spacing w:after="120" w:line="300" w:lineRule="auto"/>
        <w:jc w:val="both"/>
        <w:rPr>
          <w:rFonts w:eastAsia="Times New Roman" w:cstheme="minorHAnsi"/>
          <w:lang w:eastAsia="el-GR"/>
        </w:rPr>
      </w:pPr>
      <w:r w:rsidRPr="00685094">
        <w:rPr>
          <w:rFonts w:eastAsia="Times New Roman" w:cstheme="minorHAnsi"/>
          <w:lang w:eastAsia="el-GR"/>
        </w:rPr>
        <w:t xml:space="preserve">Το πρωτογενές αποτέλεσμα της Γενικής Κυβέρνησης το 2023, σύμφωνα με τη μεθοδολογία του Ευρωπαϊκού Συστήματος Λογαριασμών (European </w:t>
      </w:r>
      <w:proofErr w:type="spellStart"/>
      <w:r w:rsidRPr="00685094">
        <w:rPr>
          <w:rFonts w:eastAsia="Times New Roman" w:cstheme="minorHAnsi"/>
          <w:lang w:eastAsia="el-GR"/>
        </w:rPr>
        <w:t>System</w:t>
      </w:r>
      <w:proofErr w:type="spellEnd"/>
      <w:r w:rsidRPr="00685094">
        <w:rPr>
          <w:rFonts w:eastAsia="Times New Roman" w:cstheme="minorHAnsi"/>
          <w:lang w:eastAsia="el-GR"/>
        </w:rPr>
        <w:t xml:space="preserve"> of </w:t>
      </w:r>
      <w:proofErr w:type="spellStart"/>
      <w:r w:rsidRPr="00685094">
        <w:rPr>
          <w:rFonts w:eastAsia="Times New Roman" w:cstheme="minorHAnsi"/>
          <w:lang w:eastAsia="el-GR"/>
        </w:rPr>
        <w:t>Accounts</w:t>
      </w:r>
      <w:proofErr w:type="spellEnd"/>
      <w:r w:rsidRPr="00685094">
        <w:rPr>
          <w:rFonts w:eastAsia="Times New Roman" w:cstheme="minorHAnsi"/>
          <w:lang w:eastAsia="el-GR"/>
        </w:rPr>
        <w:t xml:space="preserve"> - ESA), διαμορφώθηκε σε πλεόνασμα ύψους 4.658 εκατ. ευρώ ή 2,1% του ΑΕΠ, σημαντικά υψηλότερο σε σχέση με την περίοδο 2020 - 2022, η οποία επηρεάστηκε έντονα από την εμφάνιση της πανδημίας Covid-19 καθώς και από την ενεργειακή κρίση εξαιτίας του πολέμου Ρωσίας - Ουκρανίας.</w:t>
      </w:r>
      <w:r w:rsidR="00B22E86" w:rsidRPr="00B22E86">
        <w:rPr>
          <w:rFonts w:eastAsia="Times New Roman" w:cstheme="minorHAnsi"/>
          <w:lang w:eastAsia="el-GR"/>
        </w:rPr>
        <w:t xml:space="preserve"> </w:t>
      </w:r>
      <w:r w:rsidRPr="00685094">
        <w:rPr>
          <w:rFonts w:eastAsia="Times New Roman" w:cstheme="minorHAnsi"/>
          <w:lang w:eastAsia="el-GR"/>
        </w:rPr>
        <w:t>Σύμφωνα με τα τελευταία στοιχεία της εκτέλεσης του προϋπολογισμού, το πρωτογενές αποτέλεσμα της Γενικής Κυβέρνησης εκτιμάται ότι θα διαμορφωθεί σε πλεόνασμα ύψους 6.029 εκατ. ευρώ ή 2,5% του ΑΕΠ.</w:t>
      </w:r>
    </w:p>
    <w:p w14:paraId="3B1DFEFF" w14:textId="77777777" w:rsidR="00B22E86" w:rsidRPr="00B22E86" w:rsidRDefault="00B22E86" w:rsidP="00B22E86">
      <w:pPr>
        <w:jc w:val="both"/>
        <w:rPr>
          <w:rFonts w:eastAsia="Calibri" w:cstheme="minorHAnsi"/>
        </w:rPr>
      </w:pPr>
      <w:r w:rsidRPr="00B22E86">
        <w:rPr>
          <w:rFonts w:cstheme="minorHAnsi"/>
        </w:rPr>
        <w:t>Επισημαίνεται ότι το 2024 είναι το πρώτο έτος που έχει εφαρμογή το</w:t>
      </w:r>
      <w:r w:rsidRPr="00B22E86">
        <w:rPr>
          <w:rFonts w:eastAsia="Calibri" w:cstheme="minorHAnsi"/>
        </w:rPr>
        <w:t xml:space="preserve"> νέο ευρωπαϊκό πλαίσιο οικονομικής διακυβέρνησης και τα μακροοικονομικά και δημοσιονομικά μεγέθη που αποτυπώνονται στο σχέδιο προϋπολογισμού 2025, βρίσκονται σε εναρμόνιση με τις εκτιμήσεις του </w:t>
      </w:r>
      <w:r w:rsidRPr="00B22E86">
        <w:rPr>
          <w:rFonts w:cstheme="minorHAnsi"/>
        </w:rPr>
        <w:t xml:space="preserve">Μεσοπρόθεσμου Δημοσιονομικού - Διαρθρωτικού Σχεδίου 2025 - 2028. </w:t>
      </w:r>
      <w:r w:rsidRPr="00B22E86">
        <w:rPr>
          <w:rFonts w:cstheme="minorHAnsi"/>
          <w:color w:val="000000"/>
        </w:rPr>
        <w:t>Για το τρέχον έτος οι εθνικά χρηματοδοτούμενες καθαρές πρωτογενείς δαπάνες της Γενικής Κυβέρνησης προβλέπεται να αυξηθούν κατά 2,6% σε σχέση με το προηγούμενο έτος (99,8 δισ. ευρώ το 2024 έναντι 97,2 δισ. ευρώ το 2023), τηρουμένης της σχετικής σύστασης του Συμβουλίου της ΕΕ για συνετή δημοσιονομική πολιτική.</w:t>
      </w:r>
    </w:p>
    <w:p w14:paraId="08CC567B" w14:textId="77777777" w:rsidR="00B22E86" w:rsidRPr="00B22E86" w:rsidRDefault="00B22E86" w:rsidP="00B22E86">
      <w:pPr>
        <w:jc w:val="both"/>
        <w:rPr>
          <w:rFonts w:cstheme="minorHAnsi"/>
        </w:rPr>
      </w:pPr>
      <w:r w:rsidRPr="00B22E86">
        <w:rPr>
          <w:rFonts w:cstheme="minorHAnsi"/>
        </w:rPr>
        <w:lastRenderedPageBreak/>
        <w:t>Σε σχέση με τις προβλέψεις του προϋπολογισμού 2024 παρατηρείται αύξηση τόσο των καθαρών εσόδων του κρατικού προϋπολογισμού (κατά 2,8 δισ. ευρώ) όσο και των δαπανών (κατά 1,9 δισ. ευρώ). Το συνολικό ισοζύγιο της Γενικής Κυβέρνησης εκτιμάται ότι θα διαμορφωθεί σε έλλειμμα 0,7% του ΑΕΠ, βελτιωμένο έναντι του ποσοστού 1,1%, που ήταν η πρόβλεψη στην εισηγητική έκθεση του προϋπολογισμού 2024.</w:t>
      </w:r>
    </w:p>
    <w:p w14:paraId="2A575ED5" w14:textId="18F77D2D" w:rsidR="00B22E86" w:rsidRPr="00366B91" w:rsidRDefault="00B22E86" w:rsidP="00B22E86">
      <w:pPr>
        <w:jc w:val="both"/>
      </w:pPr>
      <w:r w:rsidRPr="00733216">
        <w:t>Σύμφωνα με τις προβλέψεις για το έτος 2025, το πρωτογενές αποτέλεσμα της Γενικής Κυβέρνησης σε δημοσιονομική βάση προβλέπεται να διαμορφωθεί σε πλεόνασμα ύψους 5.967 εκατ. ευρώ ή 2,4% του ΑΕΠ</w:t>
      </w:r>
      <w:r>
        <w:t xml:space="preserve"> έναντι πλεονάσματος 2,5% του ΑΕΠ που είχε προβλεφθεί στο Μεσοπρόθεσμο Δημοσιονομικό - Διαρθρωτικό Σχέδιο 2025 - 2028, συνδεόμενο κυρίως με την πρόσφατη αναθεώρηση προς τα άνω του επιπέδου του ΑΕΠ από την ΕΛΣΤΑΤ.</w:t>
      </w:r>
      <w:r w:rsidRPr="00733216">
        <w:t xml:space="preserve"> </w:t>
      </w:r>
    </w:p>
    <w:tbl>
      <w:tblPr>
        <w:tblW w:w="9398"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44"/>
        <w:gridCol w:w="4821"/>
        <w:gridCol w:w="1555"/>
        <w:gridCol w:w="1288"/>
        <w:gridCol w:w="1290"/>
      </w:tblGrid>
      <w:tr w:rsidR="00B22E86" w:rsidRPr="00B22E86" w14:paraId="31C68B80" w14:textId="77777777" w:rsidTr="00B22E86">
        <w:trPr>
          <w:cantSplit/>
          <w:jc w:val="center"/>
        </w:trPr>
        <w:tc>
          <w:tcPr>
            <w:tcW w:w="9398" w:type="dxa"/>
            <w:gridSpan w:val="5"/>
            <w:tcBorders>
              <w:top w:val="single" w:sz="4" w:space="0" w:color="808080"/>
              <w:bottom w:val="single" w:sz="4" w:space="0" w:color="808080"/>
            </w:tcBorders>
            <w:shd w:val="clear" w:color="000000" w:fill="D5DCE4"/>
            <w:vAlign w:val="center"/>
            <w:hideMark/>
          </w:tcPr>
          <w:p w14:paraId="167C188D" w14:textId="0A7EACBB" w:rsidR="00B22E86" w:rsidRPr="00B22E86" w:rsidRDefault="00B22E86" w:rsidP="00B22E86">
            <w:pPr>
              <w:spacing w:after="0" w:line="240" w:lineRule="auto"/>
              <w:jc w:val="center"/>
              <w:rPr>
                <w:rFonts w:ascii="Arial" w:eastAsia="Times New Roman" w:hAnsi="Arial" w:cs="Arial"/>
                <w:b/>
                <w:bCs/>
                <w:color w:val="000000"/>
                <w:sz w:val="18"/>
                <w:szCs w:val="18"/>
                <w:lang w:eastAsia="el-GR"/>
              </w:rPr>
            </w:pPr>
            <w:bookmarkStart w:id="4" w:name="_Toc182928029"/>
            <w:r w:rsidRPr="00B22E86">
              <w:rPr>
                <w:rFonts w:ascii="Arial" w:eastAsia="Times New Roman" w:hAnsi="Arial" w:cs="Arial"/>
                <w:b/>
                <w:bCs/>
                <w:color w:val="000000"/>
                <w:sz w:val="18"/>
                <w:szCs w:val="18"/>
                <w:lang w:eastAsia="el-GR"/>
              </w:rPr>
              <w:t>Αποτελέσματα Γενικής Κυβέρνησης περιόδου 2023 - 2025</w:t>
            </w:r>
            <w:r w:rsidRPr="00B22E86">
              <w:rPr>
                <w:rFonts w:ascii="Arial" w:eastAsia="Times New Roman" w:hAnsi="Arial" w:cs="Arial"/>
                <w:b/>
                <w:bCs/>
                <w:color w:val="000000"/>
                <w:sz w:val="18"/>
                <w:szCs w:val="18"/>
                <w:lang w:eastAsia="el-GR"/>
              </w:rPr>
              <w:br/>
              <w:t>(σε εκατ. ευρώ)</w:t>
            </w:r>
            <w:bookmarkEnd w:id="4"/>
          </w:p>
        </w:tc>
      </w:tr>
      <w:tr w:rsidR="00B22E86" w:rsidRPr="00B22E86" w14:paraId="4FC57C37" w14:textId="77777777" w:rsidTr="00B22E86">
        <w:trPr>
          <w:cantSplit/>
          <w:jc w:val="center"/>
        </w:trPr>
        <w:tc>
          <w:tcPr>
            <w:tcW w:w="5265" w:type="dxa"/>
            <w:gridSpan w:val="2"/>
            <w:vMerge w:val="restart"/>
            <w:tcBorders>
              <w:top w:val="single" w:sz="4" w:space="0" w:color="808080"/>
              <w:bottom w:val="nil"/>
            </w:tcBorders>
            <w:shd w:val="clear" w:color="auto" w:fill="F2F2F2"/>
            <w:vAlign w:val="center"/>
            <w:hideMark/>
          </w:tcPr>
          <w:p w14:paraId="28E282C5" w14:textId="77777777" w:rsidR="00B22E86" w:rsidRPr="00B22E86" w:rsidRDefault="00B22E86" w:rsidP="00B22E86">
            <w:pPr>
              <w:spacing w:after="0" w:line="240" w:lineRule="auto"/>
              <w:jc w:val="center"/>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 xml:space="preserve">Γενική Κυβέρνηση κατά ESA ανά </w:t>
            </w:r>
            <w:proofErr w:type="spellStart"/>
            <w:r w:rsidRPr="00B22E86">
              <w:rPr>
                <w:rFonts w:ascii="Arial" w:eastAsia="Times New Roman" w:hAnsi="Arial" w:cs="Arial"/>
                <w:b/>
                <w:bCs/>
                <w:color w:val="000000"/>
                <w:sz w:val="16"/>
                <w:szCs w:val="16"/>
                <w:lang w:eastAsia="el-GR"/>
              </w:rPr>
              <w:t>υποτομέα</w:t>
            </w:r>
            <w:proofErr w:type="spellEnd"/>
          </w:p>
        </w:tc>
        <w:tc>
          <w:tcPr>
            <w:tcW w:w="1555" w:type="dxa"/>
            <w:tcBorders>
              <w:top w:val="single" w:sz="4" w:space="0" w:color="808080"/>
              <w:bottom w:val="nil"/>
            </w:tcBorders>
            <w:shd w:val="clear" w:color="auto" w:fill="F2F2F2"/>
            <w:vAlign w:val="center"/>
            <w:hideMark/>
          </w:tcPr>
          <w:p w14:paraId="14BF8E2B" w14:textId="77777777" w:rsidR="00B22E86" w:rsidRPr="00B22E86" w:rsidRDefault="00B22E86" w:rsidP="00B22E86">
            <w:pPr>
              <w:spacing w:after="0" w:line="240" w:lineRule="auto"/>
              <w:jc w:val="center"/>
              <w:rPr>
                <w:rFonts w:ascii="Arial" w:eastAsia="Times New Roman" w:hAnsi="Arial" w:cs="Arial"/>
                <w:b/>
                <w:bCs/>
                <w:color w:val="000000"/>
                <w:sz w:val="16"/>
                <w:szCs w:val="16"/>
                <w:lang w:val="en-US" w:eastAsia="el-GR"/>
              </w:rPr>
            </w:pPr>
            <w:r w:rsidRPr="00B22E86">
              <w:rPr>
                <w:rFonts w:ascii="Arial" w:eastAsia="Times New Roman" w:hAnsi="Arial" w:cs="Arial"/>
                <w:b/>
                <w:bCs/>
                <w:color w:val="000000"/>
                <w:sz w:val="16"/>
                <w:szCs w:val="16"/>
                <w:lang w:eastAsia="el-GR"/>
              </w:rPr>
              <w:t>202</w:t>
            </w:r>
            <w:r w:rsidRPr="00B22E86">
              <w:rPr>
                <w:rFonts w:ascii="Arial" w:eastAsia="Times New Roman" w:hAnsi="Arial" w:cs="Arial"/>
                <w:b/>
                <w:bCs/>
                <w:color w:val="000000"/>
                <w:sz w:val="16"/>
                <w:szCs w:val="16"/>
                <w:lang w:val="en-US" w:eastAsia="el-GR"/>
              </w:rPr>
              <w:t>3</w:t>
            </w:r>
          </w:p>
        </w:tc>
        <w:tc>
          <w:tcPr>
            <w:tcW w:w="1288" w:type="dxa"/>
            <w:tcBorders>
              <w:top w:val="single" w:sz="4" w:space="0" w:color="808080"/>
              <w:bottom w:val="nil"/>
            </w:tcBorders>
            <w:shd w:val="clear" w:color="auto" w:fill="F2F2F2"/>
            <w:vAlign w:val="center"/>
            <w:hideMark/>
          </w:tcPr>
          <w:p w14:paraId="13BDCFDB" w14:textId="77777777" w:rsidR="00B22E86" w:rsidRPr="00B22E86" w:rsidRDefault="00B22E86" w:rsidP="00B22E86">
            <w:pPr>
              <w:spacing w:after="0" w:line="240" w:lineRule="auto"/>
              <w:jc w:val="center"/>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2024</w:t>
            </w:r>
          </w:p>
        </w:tc>
        <w:tc>
          <w:tcPr>
            <w:tcW w:w="1290" w:type="dxa"/>
            <w:tcBorders>
              <w:top w:val="single" w:sz="4" w:space="0" w:color="808080"/>
              <w:bottom w:val="nil"/>
            </w:tcBorders>
            <w:shd w:val="clear" w:color="auto" w:fill="F2F2F2"/>
            <w:vAlign w:val="center"/>
            <w:hideMark/>
          </w:tcPr>
          <w:p w14:paraId="73DBBBEE" w14:textId="77777777" w:rsidR="00B22E86" w:rsidRPr="00B22E86" w:rsidRDefault="00B22E86" w:rsidP="00B22E86">
            <w:pPr>
              <w:spacing w:after="0" w:line="240" w:lineRule="auto"/>
              <w:jc w:val="center"/>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2025</w:t>
            </w:r>
          </w:p>
        </w:tc>
      </w:tr>
      <w:tr w:rsidR="00B22E86" w:rsidRPr="00B22E86" w14:paraId="29AA47E2" w14:textId="77777777" w:rsidTr="00B22E86">
        <w:trPr>
          <w:cantSplit/>
          <w:jc w:val="center"/>
        </w:trPr>
        <w:tc>
          <w:tcPr>
            <w:tcW w:w="5265" w:type="dxa"/>
            <w:gridSpan w:val="2"/>
            <w:vMerge/>
            <w:tcBorders>
              <w:top w:val="nil"/>
              <w:bottom w:val="single" w:sz="4" w:space="0" w:color="808080"/>
            </w:tcBorders>
            <w:shd w:val="clear" w:color="auto" w:fill="F2F2F2"/>
            <w:vAlign w:val="center"/>
            <w:hideMark/>
          </w:tcPr>
          <w:p w14:paraId="663B3367"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p>
        </w:tc>
        <w:tc>
          <w:tcPr>
            <w:tcW w:w="1555" w:type="dxa"/>
            <w:tcBorders>
              <w:top w:val="nil"/>
              <w:bottom w:val="single" w:sz="4" w:space="0" w:color="808080"/>
            </w:tcBorders>
            <w:shd w:val="clear" w:color="auto" w:fill="F2F2F2"/>
            <w:vAlign w:val="center"/>
            <w:hideMark/>
          </w:tcPr>
          <w:p w14:paraId="082FE611" w14:textId="77777777" w:rsidR="00B22E86" w:rsidRPr="00B22E86" w:rsidRDefault="00B22E86" w:rsidP="00B22E86">
            <w:pPr>
              <w:spacing w:after="0" w:line="240" w:lineRule="auto"/>
              <w:jc w:val="center"/>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ΔΥΕ</w:t>
            </w:r>
          </w:p>
          <w:p w14:paraId="3099C004" w14:textId="77777777" w:rsidR="00B22E86" w:rsidRPr="00B22E86" w:rsidRDefault="00B22E86" w:rsidP="00B22E86">
            <w:pPr>
              <w:spacing w:after="0" w:line="240" w:lineRule="auto"/>
              <w:jc w:val="center"/>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Οκτωβρίου</w:t>
            </w:r>
          </w:p>
          <w:p w14:paraId="156828E1" w14:textId="77777777" w:rsidR="00B22E86" w:rsidRPr="00B22E86" w:rsidRDefault="00B22E86" w:rsidP="00B22E86">
            <w:pPr>
              <w:spacing w:after="0" w:line="240" w:lineRule="auto"/>
              <w:jc w:val="center"/>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2024</w:t>
            </w:r>
          </w:p>
        </w:tc>
        <w:tc>
          <w:tcPr>
            <w:tcW w:w="1288" w:type="dxa"/>
            <w:tcBorders>
              <w:top w:val="nil"/>
              <w:bottom w:val="single" w:sz="4" w:space="0" w:color="808080"/>
            </w:tcBorders>
            <w:shd w:val="clear" w:color="auto" w:fill="F2F2F2"/>
            <w:vAlign w:val="center"/>
            <w:hideMark/>
          </w:tcPr>
          <w:p w14:paraId="57F507E5" w14:textId="77777777" w:rsidR="00B22E86" w:rsidRPr="00B22E86" w:rsidRDefault="00B22E86" w:rsidP="00B22E86">
            <w:pPr>
              <w:spacing w:after="0" w:line="240" w:lineRule="auto"/>
              <w:jc w:val="center"/>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Εκτιμήσεις</w:t>
            </w:r>
          </w:p>
        </w:tc>
        <w:tc>
          <w:tcPr>
            <w:tcW w:w="1290" w:type="dxa"/>
            <w:tcBorders>
              <w:top w:val="nil"/>
              <w:bottom w:val="single" w:sz="4" w:space="0" w:color="808080"/>
            </w:tcBorders>
            <w:shd w:val="clear" w:color="auto" w:fill="F2F2F2"/>
            <w:vAlign w:val="center"/>
            <w:hideMark/>
          </w:tcPr>
          <w:p w14:paraId="6E3CB2F5" w14:textId="77777777" w:rsidR="00B22E86" w:rsidRPr="00B22E86" w:rsidRDefault="00B22E86" w:rsidP="00B22E86">
            <w:pPr>
              <w:spacing w:after="0" w:line="240" w:lineRule="auto"/>
              <w:jc w:val="center"/>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Προβλέψεις</w:t>
            </w:r>
          </w:p>
        </w:tc>
      </w:tr>
      <w:tr w:rsidR="00B22E86" w:rsidRPr="00B22E86" w14:paraId="3000E4DD" w14:textId="77777777" w:rsidTr="00B22E86">
        <w:trPr>
          <w:cantSplit/>
          <w:jc w:val="center"/>
        </w:trPr>
        <w:tc>
          <w:tcPr>
            <w:tcW w:w="444" w:type="dxa"/>
            <w:tcBorders>
              <w:top w:val="single" w:sz="4" w:space="0" w:color="808080"/>
            </w:tcBorders>
            <w:shd w:val="clear" w:color="auto" w:fill="auto"/>
            <w:hideMark/>
          </w:tcPr>
          <w:p w14:paraId="04946BB7"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1.</w:t>
            </w:r>
          </w:p>
        </w:tc>
        <w:tc>
          <w:tcPr>
            <w:tcW w:w="4821" w:type="dxa"/>
            <w:tcBorders>
              <w:top w:val="single" w:sz="4" w:space="0" w:color="808080"/>
            </w:tcBorders>
            <w:shd w:val="clear" w:color="auto" w:fill="auto"/>
            <w:hideMark/>
          </w:tcPr>
          <w:p w14:paraId="4CF51150"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Ισοζύγιο κρατικού προϋπολογισμού</w:t>
            </w:r>
            <w:r w:rsidRPr="00B22E86">
              <w:rPr>
                <w:rFonts w:ascii="Arial" w:eastAsia="Times New Roman" w:hAnsi="Arial" w:cs="Arial"/>
                <w:color w:val="000000"/>
                <w:sz w:val="16"/>
                <w:szCs w:val="16"/>
                <w:lang w:eastAsia="el-GR"/>
              </w:rPr>
              <w:br/>
              <w:t>(Προεδρία της Δημοκρατίας, Προεδρία της Κυβέρνησης, Βουλή, Υπουργεία, Περιφερειακές Υπηρεσίες Υπουργείων και Αποκεντρωμένες Διοικήσεις)</w:t>
            </w:r>
          </w:p>
        </w:tc>
        <w:tc>
          <w:tcPr>
            <w:tcW w:w="1555" w:type="dxa"/>
            <w:tcBorders>
              <w:top w:val="nil"/>
              <w:left w:val="nil"/>
              <w:bottom w:val="nil"/>
              <w:right w:val="nil"/>
            </w:tcBorders>
            <w:shd w:val="clear" w:color="auto" w:fill="auto"/>
          </w:tcPr>
          <w:p w14:paraId="70A60EFD" w14:textId="77777777" w:rsidR="00B22E86" w:rsidRPr="00B22E86" w:rsidRDefault="00B22E86" w:rsidP="00B22E86">
            <w:pPr>
              <w:spacing w:after="0" w:line="240" w:lineRule="auto"/>
              <w:jc w:val="right"/>
              <w:rPr>
                <w:rFonts w:ascii="Arial" w:eastAsia="Times New Roman" w:hAnsi="Arial" w:cs="Arial"/>
                <w:sz w:val="16"/>
                <w:szCs w:val="16"/>
                <w:lang w:eastAsia="el-GR"/>
              </w:rPr>
            </w:pPr>
            <w:r w:rsidRPr="00B22E86">
              <w:rPr>
                <w:rFonts w:ascii="Arial" w:eastAsia="Times New Roman" w:hAnsi="Arial" w:cs="Arial"/>
                <w:color w:val="000000"/>
                <w:sz w:val="16"/>
                <w:szCs w:val="16"/>
                <w:lang w:eastAsia="el-GR"/>
              </w:rPr>
              <w:t>-6.049</w:t>
            </w:r>
          </w:p>
        </w:tc>
        <w:tc>
          <w:tcPr>
            <w:tcW w:w="1288" w:type="dxa"/>
            <w:tcBorders>
              <w:top w:val="nil"/>
              <w:left w:val="nil"/>
              <w:bottom w:val="nil"/>
              <w:right w:val="nil"/>
            </w:tcBorders>
            <w:shd w:val="clear" w:color="auto" w:fill="auto"/>
          </w:tcPr>
          <w:p w14:paraId="2D99F373"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-5.361</w:t>
            </w:r>
          </w:p>
        </w:tc>
        <w:tc>
          <w:tcPr>
            <w:tcW w:w="1290" w:type="dxa"/>
            <w:tcBorders>
              <w:top w:val="single" w:sz="4" w:space="0" w:color="808080"/>
              <w:left w:val="nil"/>
              <w:bottom w:val="nil"/>
              <w:right w:val="single" w:sz="4" w:space="0" w:color="808080"/>
            </w:tcBorders>
            <w:shd w:val="clear" w:color="auto" w:fill="auto"/>
          </w:tcPr>
          <w:p w14:paraId="061D6037"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-5.930</w:t>
            </w:r>
          </w:p>
        </w:tc>
      </w:tr>
      <w:tr w:rsidR="00B22E86" w:rsidRPr="00B22E86" w14:paraId="19DDF4AE" w14:textId="77777777" w:rsidTr="00B22E86">
        <w:trPr>
          <w:cantSplit/>
          <w:jc w:val="center"/>
        </w:trPr>
        <w:tc>
          <w:tcPr>
            <w:tcW w:w="444" w:type="dxa"/>
            <w:shd w:val="clear" w:color="auto" w:fill="auto"/>
            <w:hideMark/>
          </w:tcPr>
          <w:p w14:paraId="2D58C5AF"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2.</w:t>
            </w:r>
          </w:p>
        </w:tc>
        <w:tc>
          <w:tcPr>
            <w:tcW w:w="4821" w:type="dxa"/>
            <w:shd w:val="clear" w:color="auto" w:fill="auto"/>
            <w:hideMark/>
          </w:tcPr>
          <w:p w14:paraId="41A4846B"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Ισοζύγιο Κεντρικής Κυβέρνησης</w:t>
            </w:r>
            <w:r w:rsidRPr="00B22E86">
              <w:rPr>
                <w:rFonts w:ascii="Arial" w:eastAsia="Times New Roman" w:hAnsi="Arial" w:cs="Arial"/>
                <w:color w:val="000000"/>
                <w:sz w:val="16"/>
                <w:szCs w:val="16"/>
                <w:lang w:eastAsia="el-GR"/>
              </w:rPr>
              <w:br/>
              <w:t>(Κράτος, ΝΠ εντός Γενικής Κυβέρνησης και νοσοκομεία)</w:t>
            </w:r>
          </w:p>
        </w:tc>
        <w:tc>
          <w:tcPr>
            <w:tcW w:w="1555" w:type="dxa"/>
            <w:tcBorders>
              <w:top w:val="nil"/>
              <w:left w:val="nil"/>
              <w:bottom w:val="nil"/>
              <w:right w:val="nil"/>
            </w:tcBorders>
            <w:shd w:val="clear" w:color="auto" w:fill="auto"/>
          </w:tcPr>
          <w:p w14:paraId="5F78DF66"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-3.304</w:t>
            </w:r>
          </w:p>
        </w:tc>
        <w:tc>
          <w:tcPr>
            <w:tcW w:w="1288" w:type="dxa"/>
            <w:tcBorders>
              <w:top w:val="nil"/>
              <w:left w:val="nil"/>
              <w:bottom w:val="nil"/>
              <w:right w:val="nil"/>
            </w:tcBorders>
            <w:shd w:val="clear" w:color="auto" w:fill="auto"/>
          </w:tcPr>
          <w:p w14:paraId="3B1F46CA"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-2.625</w:t>
            </w:r>
          </w:p>
        </w:tc>
        <w:tc>
          <w:tcPr>
            <w:tcW w:w="1290" w:type="dxa"/>
            <w:tcBorders>
              <w:top w:val="nil"/>
              <w:left w:val="nil"/>
              <w:bottom w:val="nil"/>
              <w:right w:val="single" w:sz="4" w:space="0" w:color="808080"/>
            </w:tcBorders>
            <w:shd w:val="clear" w:color="auto" w:fill="auto"/>
          </w:tcPr>
          <w:p w14:paraId="39EB7B17"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-2.121</w:t>
            </w:r>
          </w:p>
        </w:tc>
      </w:tr>
      <w:tr w:rsidR="00B22E86" w:rsidRPr="00B22E86" w14:paraId="0864ED24" w14:textId="77777777" w:rsidTr="00B22E86">
        <w:trPr>
          <w:cantSplit/>
          <w:jc w:val="center"/>
        </w:trPr>
        <w:tc>
          <w:tcPr>
            <w:tcW w:w="444" w:type="dxa"/>
            <w:shd w:val="clear" w:color="auto" w:fill="auto"/>
            <w:hideMark/>
          </w:tcPr>
          <w:p w14:paraId="73006A16"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3.</w:t>
            </w:r>
          </w:p>
        </w:tc>
        <w:tc>
          <w:tcPr>
            <w:tcW w:w="4821" w:type="dxa"/>
            <w:shd w:val="clear" w:color="auto" w:fill="auto"/>
            <w:hideMark/>
          </w:tcPr>
          <w:p w14:paraId="71F2B4A4"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Ισοζύγιο Οργανισμών Τοπικής Αυτοδιοίκησης (ΟΤΑ)</w:t>
            </w:r>
          </w:p>
        </w:tc>
        <w:tc>
          <w:tcPr>
            <w:tcW w:w="1555" w:type="dxa"/>
            <w:tcBorders>
              <w:top w:val="nil"/>
              <w:left w:val="nil"/>
              <w:bottom w:val="nil"/>
              <w:right w:val="nil"/>
            </w:tcBorders>
            <w:shd w:val="clear" w:color="auto" w:fill="auto"/>
          </w:tcPr>
          <w:p w14:paraId="0708F217"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-595</w:t>
            </w:r>
          </w:p>
        </w:tc>
        <w:tc>
          <w:tcPr>
            <w:tcW w:w="1288" w:type="dxa"/>
            <w:tcBorders>
              <w:top w:val="nil"/>
              <w:left w:val="nil"/>
              <w:bottom w:val="nil"/>
              <w:right w:val="nil"/>
            </w:tcBorders>
            <w:shd w:val="clear" w:color="auto" w:fill="auto"/>
          </w:tcPr>
          <w:p w14:paraId="7D3C0F3A"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-249</w:t>
            </w:r>
          </w:p>
        </w:tc>
        <w:tc>
          <w:tcPr>
            <w:tcW w:w="1290" w:type="dxa"/>
            <w:tcBorders>
              <w:top w:val="nil"/>
              <w:left w:val="nil"/>
              <w:bottom w:val="nil"/>
              <w:right w:val="single" w:sz="4" w:space="0" w:color="808080"/>
            </w:tcBorders>
            <w:shd w:val="clear" w:color="auto" w:fill="auto"/>
          </w:tcPr>
          <w:p w14:paraId="04213117"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-300</w:t>
            </w:r>
          </w:p>
        </w:tc>
      </w:tr>
      <w:tr w:rsidR="00B22E86" w:rsidRPr="00B22E86" w14:paraId="5D7BC34E" w14:textId="77777777" w:rsidTr="00B22E86">
        <w:trPr>
          <w:cantSplit/>
          <w:jc w:val="center"/>
        </w:trPr>
        <w:tc>
          <w:tcPr>
            <w:tcW w:w="444" w:type="dxa"/>
            <w:shd w:val="clear" w:color="auto" w:fill="auto"/>
            <w:hideMark/>
          </w:tcPr>
          <w:p w14:paraId="22EA30E2"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4.</w:t>
            </w:r>
          </w:p>
        </w:tc>
        <w:tc>
          <w:tcPr>
            <w:tcW w:w="4821" w:type="dxa"/>
            <w:shd w:val="clear" w:color="auto" w:fill="auto"/>
            <w:hideMark/>
          </w:tcPr>
          <w:p w14:paraId="0D62076D"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Ισοζύγιο Οργανισμών Κοινωνικής Ασφάλισης (ΟΚΑ)</w:t>
            </w:r>
          </w:p>
        </w:tc>
        <w:tc>
          <w:tcPr>
            <w:tcW w:w="1555" w:type="dxa"/>
            <w:tcBorders>
              <w:top w:val="nil"/>
              <w:left w:val="nil"/>
              <w:bottom w:val="nil"/>
              <w:right w:val="nil"/>
            </w:tcBorders>
            <w:shd w:val="clear" w:color="auto" w:fill="auto"/>
          </w:tcPr>
          <w:p w14:paraId="04C3925B"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937</w:t>
            </w:r>
          </w:p>
        </w:tc>
        <w:tc>
          <w:tcPr>
            <w:tcW w:w="1288" w:type="dxa"/>
            <w:tcBorders>
              <w:top w:val="nil"/>
              <w:left w:val="nil"/>
              <w:bottom w:val="nil"/>
              <w:right w:val="nil"/>
            </w:tcBorders>
            <w:shd w:val="clear" w:color="auto" w:fill="auto"/>
          </w:tcPr>
          <w:p w14:paraId="5DD2518C"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1.160</w:t>
            </w:r>
          </w:p>
        </w:tc>
        <w:tc>
          <w:tcPr>
            <w:tcW w:w="1290" w:type="dxa"/>
            <w:tcBorders>
              <w:top w:val="nil"/>
              <w:left w:val="nil"/>
              <w:bottom w:val="nil"/>
              <w:right w:val="single" w:sz="4" w:space="0" w:color="808080"/>
            </w:tcBorders>
            <w:shd w:val="clear" w:color="auto" w:fill="auto"/>
          </w:tcPr>
          <w:p w14:paraId="688F534E"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999</w:t>
            </w:r>
          </w:p>
        </w:tc>
      </w:tr>
      <w:tr w:rsidR="00B22E86" w:rsidRPr="00B22E86" w14:paraId="1226DB4D" w14:textId="77777777" w:rsidTr="00B22E86">
        <w:trPr>
          <w:cantSplit/>
          <w:jc w:val="center"/>
        </w:trPr>
        <w:tc>
          <w:tcPr>
            <w:tcW w:w="444" w:type="dxa"/>
            <w:shd w:val="clear" w:color="000000" w:fill="D5DCE4"/>
            <w:hideMark/>
          </w:tcPr>
          <w:p w14:paraId="70007DB8"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5.</w:t>
            </w:r>
          </w:p>
        </w:tc>
        <w:tc>
          <w:tcPr>
            <w:tcW w:w="4821" w:type="dxa"/>
            <w:shd w:val="clear" w:color="000000" w:fill="D5DCE4"/>
            <w:hideMark/>
          </w:tcPr>
          <w:p w14:paraId="5DE3FBBF"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Ισοζύγιο Γενικής Κυβέρνησης σύμφωνα με τη μεθοδολογία ESA (2+3+4)</w:t>
            </w:r>
          </w:p>
        </w:tc>
        <w:tc>
          <w:tcPr>
            <w:tcW w:w="1555" w:type="dxa"/>
            <w:tcBorders>
              <w:top w:val="nil"/>
              <w:left w:val="nil"/>
              <w:bottom w:val="nil"/>
              <w:right w:val="nil"/>
            </w:tcBorders>
            <w:shd w:val="clear" w:color="000000" w:fill="D5DCE4"/>
          </w:tcPr>
          <w:p w14:paraId="0E3DAAA0"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-2.962</w:t>
            </w:r>
          </w:p>
        </w:tc>
        <w:tc>
          <w:tcPr>
            <w:tcW w:w="1288" w:type="dxa"/>
            <w:tcBorders>
              <w:top w:val="nil"/>
              <w:left w:val="nil"/>
              <w:bottom w:val="nil"/>
              <w:right w:val="nil"/>
            </w:tcBorders>
            <w:shd w:val="clear" w:color="000000" w:fill="D5DCE4"/>
          </w:tcPr>
          <w:p w14:paraId="6EC7869A"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-1.714</w:t>
            </w:r>
          </w:p>
        </w:tc>
        <w:tc>
          <w:tcPr>
            <w:tcW w:w="1290" w:type="dxa"/>
            <w:tcBorders>
              <w:top w:val="nil"/>
              <w:left w:val="nil"/>
              <w:bottom w:val="nil"/>
              <w:right w:val="single" w:sz="4" w:space="0" w:color="808080"/>
            </w:tcBorders>
            <w:shd w:val="clear" w:color="000000" w:fill="D5DCE4"/>
          </w:tcPr>
          <w:p w14:paraId="7783B0E9"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-1.423</w:t>
            </w:r>
          </w:p>
        </w:tc>
      </w:tr>
      <w:tr w:rsidR="00B22E86" w:rsidRPr="00B22E86" w14:paraId="4D0E7B45" w14:textId="77777777" w:rsidTr="00B22E86">
        <w:trPr>
          <w:cantSplit/>
          <w:jc w:val="center"/>
        </w:trPr>
        <w:tc>
          <w:tcPr>
            <w:tcW w:w="444" w:type="dxa"/>
            <w:shd w:val="clear" w:color="auto" w:fill="auto"/>
            <w:hideMark/>
          </w:tcPr>
          <w:p w14:paraId="77B7C7CD"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 </w:t>
            </w:r>
          </w:p>
        </w:tc>
        <w:tc>
          <w:tcPr>
            <w:tcW w:w="4821" w:type="dxa"/>
            <w:shd w:val="clear" w:color="auto" w:fill="auto"/>
            <w:hideMark/>
          </w:tcPr>
          <w:p w14:paraId="6078F177" w14:textId="77777777" w:rsidR="00B22E86" w:rsidRPr="00B22E86" w:rsidRDefault="00B22E86" w:rsidP="00B22E86">
            <w:pPr>
              <w:spacing w:after="0" w:line="240" w:lineRule="auto"/>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 του ΑΕΠ</w:t>
            </w:r>
          </w:p>
        </w:tc>
        <w:tc>
          <w:tcPr>
            <w:tcW w:w="1555" w:type="dxa"/>
            <w:tcBorders>
              <w:top w:val="nil"/>
              <w:left w:val="nil"/>
              <w:bottom w:val="nil"/>
              <w:right w:val="nil"/>
            </w:tcBorders>
            <w:shd w:val="clear" w:color="auto" w:fill="auto"/>
          </w:tcPr>
          <w:p w14:paraId="1AD454F3"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-1,3%</w:t>
            </w:r>
          </w:p>
        </w:tc>
        <w:tc>
          <w:tcPr>
            <w:tcW w:w="1288" w:type="dxa"/>
            <w:tcBorders>
              <w:top w:val="nil"/>
              <w:left w:val="nil"/>
              <w:bottom w:val="nil"/>
              <w:right w:val="nil"/>
            </w:tcBorders>
            <w:shd w:val="clear" w:color="auto" w:fill="auto"/>
          </w:tcPr>
          <w:p w14:paraId="5ECBA546"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-0,7%</w:t>
            </w:r>
          </w:p>
        </w:tc>
        <w:tc>
          <w:tcPr>
            <w:tcW w:w="1290" w:type="dxa"/>
            <w:tcBorders>
              <w:top w:val="nil"/>
              <w:left w:val="nil"/>
              <w:bottom w:val="nil"/>
              <w:right w:val="single" w:sz="4" w:space="0" w:color="808080"/>
            </w:tcBorders>
            <w:shd w:val="clear" w:color="auto" w:fill="auto"/>
          </w:tcPr>
          <w:p w14:paraId="459054B5"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-0,6%</w:t>
            </w:r>
          </w:p>
        </w:tc>
      </w:tr>
      <w:tr w:rsidR="00B22E86" w:rsidRPr="00B22E86" w14:paraId="70BD874C" w14:textId="77777777" w:rsidTr="00B22E86">
        <w:trPr>
          <w:cantSplit/>
          <w:jc w:val="center"/>
        </w:trPr>
        <w:tc>
          <w:tcPr>
            <w:tcW w:w="444" w:type="dxa"/>
            <w:shd w:val="clear" w:color="auto" w:fill="auto"/>
            <w:hideMark/>
          </w:tcPr>
          <w:p w14:paraId="3F9BE5E6"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6.</w:t>
            </w:r>
          </w:p>
        </w:tc>
        <w:tc>
          <w:tcPr>
            <w:tcW w:w="4821" w:type="dxa"/>
            <w:shd w:val="clear" w:color="auto" w:fill="auto"/>
            <w:hideMark/>
          </w:tcPr>
          <w:p w14:paraId="5ACF8E9B"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Ενοποιημένοι τόκοι Γενικής Κυβέρνησης</w:t>
            </w:r>
          </w:p>
        </w:tc>
        <w:tc>
          <w:tcPr>
            <w:tcW w:w="1555" w:type="dxa"/>
            <w:tcBorders>
              <w:top w:val="nil"/>
              <w:left w:val="nil"/>
              <w:bottom w:val="nil"/>
              <w:right w:val="nil"/>
            </w:tcBorders>
            <w:shd w:val="clear" w:color="auto" w:fill="auto"/>
          </w:tcPr>
          <w:p w14:paraId="679EB948"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7.620</w:t>
            </w:r>
          </w:p>
        </w:tc>
        <w:tc>
          <w:tcPr>
            <w:tcW w:w="1288" w:type="dxa"/>
            <w:tcBorders>
              <w:top w:val="nil"/>
              <w:left w:val="nil"/>
              <w:bottom w:val="nil"/>
              <w:right w:val="nil"/>
            </w:tcBorders>
            <w:shd w:val="clear" w:color="auto" w:fill="auto"/>
          </w:tcPr>
          <w:p w14:paraId="4F36EB5A"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7.743</w:t>
            </w:r>
          </w:p>
        </w:tc>
        <w:tc>
          <w:tcPr>
            <w:tcW w:w="1290" w:type="dxa"/>
            <w:tcBorders>
              <w:top w:val="nil"/>
              <w:left w:val="nil"/>
              <w:bottom w:val="nil"/>
              <w:right w:val="single" w:sz="4" w:space="0" w:color="808080"/>
            </w:tcBorders>
            <w:shd w:val="clear" w:color="auto" w:fill="auto"/>
          </w:tcPr>
          <w:p w14:paraId="08EFC0A1" w14:textId="77777777" w:rsidR="00B22E86" w:rsidRPr="00B22E86" w:rsidRDefault="00B22E86" w:rsidP="00B22E86">
            <w:pPr>
              <w:spacing w:after="0" w:line="240" w:lineRule="auto"/>
              <w:jc w:val="right"/>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7.390</w:t>
            </w:r>
          </w:p>
        </w:tc>
      </w:tr>
      <w:tr w:rsidR="00B22E86" w:rsidRPr="00B22E86" w14:paraId="2FD03423" w14:textId="77777777" w:rsidTr="00B22E86">
        <w:trPr>
          <w:cantSplit/>
          <w:jc w:val="center"/>
        </w:trPr>
        <w:tc>
          <w:tcPr>
            <w:tcW w:w="444" w:type="dxa"/>
            <w:shd w:val="clear" w:color="auto" w:fill="auto"/>
            <w:hideMark/>
          </w:tcPr>
          <w:p w14:paraId="31FC7242"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 </w:t>
            </w:r>
          </w:p>
        </w:tc>
        <w:tc>
          <w:tcPr>
            <w:tcW w:w="4821" w:type="dxa"/>
            <w:shd w:val="clear" w:color="auto" w:fill="auto"/>
            <w:hideMark/>
          </w:tcPr>
          <w:p w14:paraId="3CB82D5C" w14:textId="77777777" w:rsidR="00B22E86" w:rsidRPr="00B22E86" w:rsidRDefault="00B22E86" w:rsidP="00B22E86">
            <w:pPr>
              <w:spacing w:after="0" w:line="240" w:lineRule="auto"/>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 του ΑΕΠ</w:t>
            </w:r>
          </w:p>
        </w:tc>
        <w:tc>
          <w:tcPr>
            <w:tcW w:w="1555" w:type="dxa"/>
            <w:tcBorders>
              <w:top w:val="nil"/>
              <w:left w:val="nil"/>
              <w:bottom w:val="nil"/>
              <w:right w:val="nil"/>
            </w:tcBorders>
            <w:shd w:val="clear" w:color="auto" w:fill="auto"/>
          </w:tcPr>
          <w:p w14:paraId="00B10508"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3,4%</w:t>
            </w:r>
          </w:p>
        </w:tc>
        <w:tc>
          <w:tcPr>
            <w:tcW w:w="1288" w:type="dxa"/>
            <w:tcBorders>
              <w:top w:val="nil"/>
              <w:left w:val="nil"/>
              <w:bottom w:val="nil"/>
              <w:right w:val="nil"/>
            </w:tcBorders>
            <w:shd w:val="clear" w:color="auto" w:fill="auto"/>
          </w:tcPr>
          <w:p w14:paraId="221AB8E2"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3,3%</w:t>
            </w:r>
          </w:p>
        </w:tc>
        <w:tc>
          <w:tcPr>
            <w:tcW w:w="1290" w:type="dxa"/>
            <w:tcBorders>
              <w:top w:val="nil"/>
              <w:left w:val="nil"/>
              <w:bottom w:val="nil"/>
              <w:right w:val="single" w:sz="4" w:space="0" w:color="808080"/>
            </w:tcBorders>
            <w:shd w:val="clear" w:color="auto" w:fill="auto"/>
          </w:tcPr>
          <w:p w14:paraId="763379AF"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3,0%</w:t>
            </w:r>
          </w:p>
        </w:tc>
      </w:tr>
      <w:tr w:rsidR="00B22E86" w:rsidRPr="00B22E86" w14:paraId="367638D6" w14:textId="77777777" w:rsidTr="00B22E86">
        <w:trPr>
          <w:cantSplit/>
          <w:jc w:val="center"/>
        </w:trPr>
        <w:tc>
          <w:tcPr>
            <w:tcW w:w="444" w:type="dxa"/>
            <w:shd w:val="clear" w:color="000000" w:fill="D5DCE4"/>
            <w:hideMark/>
          </w:tcPr>
          <w:p w14:paraId="616CE0D4"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7.</w:t>
            </w:r>
          </w:p>
        </w:tc>
        <w:tc>
          <w:tcPr>
            <w:tcW w:w="4821" w:type="dxa"/>
            <w:shd w:val="clear" w:color="000000" w:fill="D5DCE4"/>
            <w:hideMark/>
          </w:tcPr>
          <w:p w14:paraId="28FA151C"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 xml:space="preserve">Πρωτογενές αποτέλεσμα Γενικής Κυβέρνησης </w:t>
            </w:r>
          </w:p>
          <w:p w14:paraId="1D08A2D3"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σύμφωνα με τη μεθοδολογία ESA (5+6)</w:t>
            </w:r>
          </w:p>
        </w:tc>
        <w:tc>
          <w:tcPr>
            <w:tcW w:w="1555" w:type="dxa"/>
            <w:tcBorders>
              <w:top w:val="nil"/>
              <w:left w:val="nil"/>
              <w:bottom w:val="nil"/>
              <w:right w:val="nil"/>
            </w:tcBorders>
            <w:shd w:val="clear" w:color="000000" w:fill="D5DCE4"/>
          </w:tcPr>
          <w:p w14:paraId="6F5B2F59"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4.658</w:t>
            </w:r>
          </w:p>
        </w:tc>
        <w:tc>
          <w:tcPr>
            <w:tcW w:w="1288" w:type="dxa"/>
            <w:tcBorders>
              <w:top w:val="nil"/>
              <w:left w:val="nil"/>
              <w:bottom w:val="nil"/>
              <w:right w:val="nil"/>
            </w:tcBorders>
            <w:shd w:val="clear" w:color="000000" w:fill="D5DCE4"/>
          </w:tcPr>
          <w:p w14:paraId="18345A1A"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6.029</w:t>
            </w:r>
          </w:p>
        </w:tc>
        <w:tc>
          <w:tcPr>
            <w:tcW w:w="1290" w:type="dxa"/>
            <w:tcBorders>
              <w:top w:val="nil"/>
              <w:left w:val="nil"/>
              <w:bottom w:val="nil"/>
              <w:right w:val="single" w:sz="4" w:space="0" w:color="808080"/>
            </w:tcBorders>
            <w:shd w:val="clear" w:color="000000" w:fill="D5DCE4"/>
          </w:tcPr>
          <w:p w14:paraId="2B715929"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5.967</w:t>
            </w:r>
          </w:p>
        </w:tc>
      </w:tr>
      <w:tr w:rsidR="00B22E86" w:rsidRPr="00B22E86" w14:paraId="4CDB8873" w14:textId="77777777" w:rsidTr="00B22E86">
        <w:trPr>
          <w:cantSplit/>
          <w:jc w:val="center"/>
        </w:trPr>
        <w:tc>
          <w:tcPr>
            <w:tcW w:w="444" w:type="dxa"/>
            <w:shd w:val="clear" w:color="auto" w:fill="auto"/>
            <w:hideMark/>
          </w:tcPr>
          <w:p w14:paraId="706F3365"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 </w:t>
            </w:r>
          </w:p>
        </w:tc>
        <w:tc>
          <w:tcPr>
            <w:tcW w:w="4821" w:type="dxa"/>
            <w:shd w:val="clear" w:color="auto" w:fill="auto"/>
            <w:hideMark/>
          </w:tcPr>
          <w:p w14:paraId="751398BB" w14:textId="77777777" w:rsidR="00B22E86" w:rsidRPr="00B22E86" w:rsidRDefault="00B22E86" w:rsidP="00B22E86">
            <w:pPr>
              <w:spacing w:after="0" w:line="240" w:lineRule="auto"/>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 του ΑΕΠ</w:t>
            </w:r>
          </w:p>
        </w:tc>
        <w:tc>
          <w:tcPr>
            <w:tcW w:w="1555" w:type="dxa"/>
            <w:tcBorders>
              <w:top w:val="nil"/>
              <w:left w:val="nil"/>
              <w:bottom w:val="nil"/>
              <w:right w:val="nil"/>
            </w:tcBorders>
            <w:shd w:val="clear" w:color="auto" w:fill="auto"/>
          </w:tcPr>
          <w:p w14:paraId="0BD745A2"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2,1%</w:t>
            </w:r>
          </w:p>
        </w:tc>
        <w:tc>
          <w:tcPr>
            <w:tcW w:w="1288" w:type="dxa"/>
            <w:tcBorders>
              <w:top w:val="nil"/>
              <w:left w:val="nil"/>
              <w:bottom w:val="nil"/>
              <w:right w:val="nil"/>
            </w:tcBorders>
            <w:shd w:val="clear" w:color="auto" w:fill="auto"/>
          </w:tcPr>
          <w:p w14:paraId="5C970987"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2,5%</w:t>
            </w:r>
          </w:p>
        </w:tc>
        <w:tc>
          <w:tcPr>
            <w:tcW w:w="1290" w:type="dxa"/>
            <w:tcBorders>
              <w:top w:val="nil"/>
              <w:left w:val="nil"/>
              <w:bottom w:val="nil"/>
              <w:right w:val="single" w:sz="4" w:space="0" w:color="808080"/>
            </w:tcBorders>
            <w:shd w:val="clear" w:color="auto" w:fill="auto"/>
          </w:tcPr>
          <w:p w14:paraId="29556A4B"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2,4%</w:t>
            </w:r>
          </w:p>
        </w:tc>
      </w:tr>
      <w:tr w:rsidR="00B22E86" w:rsidRPr="00B22E86" w14:paraId="6E16391A" w14:textId="77777777" w:rsidTr="00B22E86">
        <w:trPr>
          <w:cantSplit/>
          <w:jc w:val="center"/>
        </w:trPr>
        <w:tc>
          <w:tcPr>
            <w:tcW w:w="444" w:type="dxa"/>
            <w:shd w:val="clear" w:color="000000" w:fill="D5DCE4"/>
            <w:hideMark/>
          </w:tcPr>
          <w:p w14:paraId="1D0E8F60"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8.</w:t>
            </w:r>
          </w:p>
        </w:tc>
        <w:tc>
          <w:tcPr>
            <w:tcW w:w="4821" w:type="dxa"/>
            <w:shd w:val="clear" w:color="000000" w:fill="D5DCE4"/>
            <w:hideMark/>
          </w:tcPr>
          <w:p w14:paraId="529F296B"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Ενοποιημένο Χρέος Γενικής Κυβέρνησης</w:t>
            </w:r>
          </w:p>
        </w:tc>
        <w:tc>
          <w:tcPr>
            <w:tcW w:w="1555" w:type="dxa"/>
            <w:tcBorders>
              <w:top w:val="nil"/>
              <w:left w:val="nil"/>
              <w:bottom w:val="nil"/>
              <w:right w:val="nil"/>
            </w:tcBorders>
            <w:shd w:val="clear" w:color="000000" w:fill="D5DCE4"/>
          </w:tcPr>
          <w:p w14:paraId="3F04DC04" w14:textId="77777777" w:rsidR="00B22E86" w:rsidRPr="00B22E86" w:rsidRDefault="00B22E86" w:rsidP="00B22E86">
            <w:pPr>
              <w:tabs>
                <w:tab w:val="left" w:pos="1275"/>
              </w:tabs>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369.099</w:t>
            </w:r>
          </w:p>
        </w:tc>
        <w:tc>
          <w:tcPr>
            <w:tcW w:w="1288" w:type="dxa"/>
            <w:tcBorders>
              <w:top w:val="nil"/>
              <w:left w:val="nil"/>
              <w:bottom w:val="nil"/>
              <w:right w:val="nil"/>
            </w:tcBorders>
            <w:shd w:val="clear" w:color="000000" w:fill="D5DCE4"/>
          </w:tcPr>
          <w:p w14:paraId="38795FBE"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365.000</w:t>
            </w:r>
          </w:p>
        </w:tc>
        <w:tc>
          <w:tcPr>
            <w:tcW w:w="1290" w:type="dxa"/>
            <w:tcBorders>
              <w:top w:val="nil"/>
              <w:left w:val="nil"/>
              <w:bottom w:val="nil"/>
              <w:right w:val="single" w:sz="4" w:space="0" w:color="808080"/>
            </w:tcBorders>
            <w:shd w:val="clear" w:color="000000" w:fill="D5DCE4"/>
          </w:tcPr>
          <w:p w14:paraId="235AD125"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365.000</w:t>
            </w:r>
          </w:p>
        </w:tc>
      </w:tr>
      <w:tr w:rsidR="00B22E86" w:rsidRPr="00B22E86" w14:paraId="30490C1E" w14:textId="77777777" w:rsidTr="00B22E86">
        <w:trPr>
          <w:cantSplit/>
          <w:jc w:val="center"/>
        </w:trPr>
        <w:tc>
          <w:tcPr>
            <w:tcW w:w="444" w:type="dxa"/>
            <w:shd w:val="clear" w:color="auto" w:fill="auto"/>
            <w:hideMark/>
          </w:tcPr>
          <w:p w14:paraId="65999148"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 </w:t>
            </w:r>
          </w:p>
        </w:tc>
        <w:tc>
          <w:tcPr>
            <w:tcW w:w="4821" w:type="dxa"/>
            <w:shd w:val="clear" w:color="auto" w:fill="auto"/>
            <w:hideMark/>
          </w:tcPr>
          <w:p w14:paraId="4F67544B" w14:textId="77777777" w:rsidR="00B22E86" w:rsidRPr="00B22E86" w:rsidRDefault="00B22E86" w:rsidP="00B22E86">
            <w:pPr>
              <w:spacing w:after="0" w:line="240" w:lineRule="auto"/>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 του ΑΕΠ</w:t>
            </w:r>
          </w:p>
        </w:tc>
        <w:tc>
          <w:tcPr>
            <w:tcW w:w="1555" w:type="dxa"/>
            <w:tcBorders>
              <w:top w:val="nil"/>
              <w:left w:val="nil"/>
              <w:bottom w:val="nil"/>
              <w:right w:val="nil"/>
            </w:tcBorders>
            <w:shd w:val="clear" w:color="auto" w:fill="auto"/>
          </w:tcPr>
          <w:p w14:paraId="4A19929E"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163,9%</w:t>
            </w:r>
          </w:p>
        </w:tc>
        <w:tc>
          <w:tcPr>
            <w:tcW w:w="1288" w:type="dxa"/>
            <w:tcBorders>
              <w:top w:val="nil"/>
              <w:left w:val="nil"/>
              <w:bottom w:val="nil"/>
              <w:right w:val="nil"/>
            </w:tcBorders>
            <w:shd w:val="clear" w:color="auto" w:fill="auto"/>
          </w:tcPr>
          <w:p w14:paraId="521A9B47"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154,0%</w:t>
            </w:r>
          </w:p>
        </w:tc>
        <w:tc>
          <w:tcPr>
            <w:tcW w:w="1290" w:type="dxa"/>
            <w:tcBorders>
              <w:top w:val="nil"/>
              <w:left w:val="nil"/>
              <w:bottom w:val="nil"/>
              <w:right w:val="single" w:sz="4" w:space="0" w:color="808080"/>
            </w:tcBorders>
            <w:shd w:val="clear" w:color="auto" w:fill="auto"/>
          </w:tcPr>
          <w:p w14:paraId="61C3D180" w14:textId="77777777" w:rsidR="00B22E86" w:rsidRPr="00B22E86" w:rsidRDefault="00B22E86" w:rsidP="00B22E86">
            <w:pPr>
              <w:spacing w:after="0" w:line="240" w:lineRule="auto"/>
              <w:jc w:val="right"/>
              <w:rPr>
                <w:rFonts w:ascii="Arial" w:eastAsia="Times New Roman" w:hAnsi="Arial" w:cs="Arial"/>
                <w:i/>
                <w:iCs/>
                <w:color w:val="000000"/>
                <w:sz w:val="16"/>
                <w:szCs w:val="16"/>
                <w:lang w:eastAsia="el-GR"/>
              </w:rPr>
            </w:pPr>
            <w:r w:rsidRPr="00B22E86">
              <w:rPr>
                <w:rFonts w:ascii="Arial" w:eastAsia="Times New Roman" w:hAnsi="Arial" w:cs="Arial"/>
                <w:i/>
                <w:iCs/>
                <w:color w:val="000000"/>
                <w:sz w:val="16"/>
                <w:szCs w:val="16"/>
                <w:lang w:eastAsia="el-GR"/>
              </w:rPr>
              <w:t>147,5%</w:t>
            </w:r>
          </w:p>
        </w:tc>
      </w:tr>
      <w:tr w:rsidR="00B22E86" w:rsidRPr="00B22E86" w14:paraId="206D2CE7" w14:textId="77777777" w:rsidTr="00B22E86">
        <w:trPr>
          <w:cantSplit/>
          <w:jc w:val="center"/>
        </w:trPr>
        <w:tc>
          <w:tcPr>
            <w:tcW w:w="444" w:type="dxa"/>
            <w:tcBorders>
              <w:bottom w:val="single" w:sz="4" w:space="0" w:color="808080"/>
            </w:tcBorders>
            <w:shd w:val="clear" w:color="000000" w:fill="D5DCE4"/>
            <w:hideMark/>
          </w:tcPr>
          <w:p w14:paraId="7D62B4F5" w14:textId="77777777" w:rsidR="00B22E86" w:rsidRPr="00B22E86" w:rsidRDefault="00B22E86" w:rsidP="00B22E86">
            <w:pPr>
              <w:spacing w:after="0" w:line="240" w:lineRule="auto"/>
              <w:rPr>
                <w:rFonts w:ascii="Arial" w:eastAsia="Times New Roman" w:hAnsi="Arial" w:cs="Arial"/>
                <w:color w:val="000000"/>
                <w:sz w:val="16"/>
                <w:szCs w:val="16"/>
                <w:lang w:eastAsia="el-GR"/>
              </w:rPr>
            </w:pPr>
            <w:r w:rsidRPr="00B22E86">
              <w:rPr>
                <w:rFonts w:ascii="Arial" w:eastAsia="Times New Roman" w:hAnsi="Arial" w:cs="Arial"/>
                <w:color w:val="000000"/>
                <w:sz w:val="16"/>
                <w:szCs w:val="16"/>
                <w:lang w:eastAsia="el-GR"/>
              </w:rPr>
              <w:t> </w:t>
            </w:r>
          </w:p>
        </w:tc>
        <w:tc>
          <w:tcPr>
            <w:tcW w:w="4821" w:type="dxa"/>
            <w:tcBorders>
              <w:bottom w:val="single" w:sz="4" w:space="0" w:color="808080"/>
            </w:tcBorders>
            <w:shd w:val="clear" w:color="000000" w:fill="D5DCE4"/>
            <w:hideMark/>
          </w:tcPr>
          <w:p w14:paraId="4EC527F2" w14:textId="77777777" w:rsidR="00B22E86" w:rsidRPr="00B22E86" w:rsidRDefault="00B22E86" w:rsidP="00B22E86">
            <w:pPr>
              <w:spacing w:after="0" w:line="240" w:lineRule="auto"/>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ΑΕΠ</w:t>
            </w:r>
          </w:p>
        </w:tc>
        <w:tc>
          <w:tcPr>
            <w:tcW w:w="1555" w:type="dxa"/>
            <w:tcBorders>
              <w:top w:val="nil"/>
              <w:left w:val="nil"/>
              <w:bottom w:val="single" w:sz="4" w:space="0" w:color="808080"/>
              <w:right w:val="nil"/>
            </w:tcBorders>
            <w:shd w:val="clear" w:color="000000" w:fill="D5DCE4"/>
          </w:tcPr>
          <w:p w14:paraId="7C9A3C03"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225.197</w:t>
            </w:r>
          </w:p>
        </w:tc>
        <w:tc>
          <w:tcPr>
            <w:tcW w:w="1288" w:type="dxa"/>
            <w:tcBorders>
              <w:top w:val="nil"/>
              <w:left w:val="nil"/>
              <w:bottom w:val="single" w:sz="4" w:space="0" w:color="808080"/>
              <w:right w:val="nil"/>
            </w:tcBorders>
            <w:shd w:val="clear" w:color="000000" w:fill="D5DCE4"/>
          </w:tcPr>
          <w:p w14:paraId="43FD3BC5"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236.965</w:t>
            </w:r>
          </w:p>
        </w:tc>
        <w:tc>
          <w:tcPr>
            <w:tcW w:w="1290" w:type="dxa"/>
            <w:tcBorders>
              <w:top w:val="nil"/>
              <w:left w:val="nil"/>
              <w:bottom w:val="single" w:sz="4" w:space="0" w:color="808080"/>
              <w:right w:val="single" w:sz="4" w:space="0" w:color="808080"/>
            </w:tcBorders>
            <w:shd w:val="clear" w:color="000000" w:fill="D5DCE4"/>
          </w:tcPr>
          <w:p w14:paraId="64EAD7FF" w14:textId="77777777" w:rsidR="00B22E86" w:rsidRPr="00B22E86" w:rsidRDefault="00B22E86" w:rsidP="00B22E86">
            <w:pPr>
              <w:spacing w:after="0" w:line="240" w:lineRule="auto"/>
              <w:jc w:val="right"/>
              <w:rPr>
                <w:rFonts w:ascii="Arial" w:eastAsia="Times New Roman" w:hAnsi="Arial" w:cs="Arial"/>
                <w:b/>
                <w:bCs/>
                <w:color w:val="000000"/>
                <w:sz w:val="16"/>
                <w:szCs w:val="16"/>
                <w:lang w:eastAsia="el-GR"/>
              </w:rPr>
            </w:pPr>
            <w:r w:rsidRPr="00B22E86">
              <w:rPr>
                <w:rFonts w:ascii="Arial" w:eastAsia="Times New Roman" w:hAnsi="Arial" w:cs="Arial"/>
                <w:b/>
                <w:bCs/>
                <w:color w:val="000000"/>
                <w:sz w:val="16"/>
                <w:szCs w:val="16"/>
                <w:lang w:eastAsia="el-GR"/>
              </w:rPr>
              <w:t>247.514</w:t>
            </w:r>
          </w:p>
        </w:tc>
      </w:tr>
    </w:tbl>
    <w:p w14:paraId="268F0CAF" w14:textId="77777777" w:rsidR="00685094" w:rsidRPr="00685094" w:rsidRDefault="00685094" w:rsidP="00685094">
      <w:pPr>
        <w:spacing w:after="120" w:line="300" w:lineRule="auto"/>
        <w:jc w:val="both"/>
        <w:rPr>
          <w:rFonts w:ascii="Arial" w:eastAsia="Times New Roman" w:hAnsi="Arial" w:cs="Times New Roman"/>
          <w:sz w:val="20"/>
          <w:szCs w:val="24"/>
          <w:lang w:eastAsia="el-GR"/>
        </w:rPr>
      </w:pPr>
    </w:p>
    <w:p w14:paraId="026E368F" w14:textId="77777777" w:rsidR="00491BE4" w:rsidRPr="006558D8" w:rsidRDefault="00491BE4" w:rsidP="006558D8">
      <w:pPr>
        <w:spacing w:after="120" w:line="300" w:lineRule="auto"/>
        <w:jc w:val="both"/>
        <w:rPr>
          <w:rFonts w:ascii="Arial" w:eastAsia="Times New Roman" w:hAnsi="Arial" w:cs="Times New Roman"/>
          <w:sz w:val="20"/>
          <w:szCs w:val="24"/>
          <w:lang w:eastAsia="el-GR"/>
        </w:rPr>
      </w:pPr>
    </w:p>
    <w:tbl>
      <w:tblPr>
        <w:tblW w:w="11197"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640"/>
        <w:gridCol w:w="1120"/>
        <w:gridCol w:w="1177"/>
        <w:gridCol w:w="1120"/>
        <w:gridCol w:w="1140"/>
      </w:tblGrid>
      <w:tr w:rsidR="00B22E86" w:rsidRPr="00B22E86" w14:paraId="0A86A99D" w14:textId="77777777" w:rsidTr="00B22E86">
        <w:trPr>
          <w:cantSplit/>
          <w:trHeight w:val="283"/>
          <w:tblHeader/>
          <w:jc w:val="center"/>
        </w:trPr>
        <w:tc>
          <w:tcPr>
            <w:tcW w:w="11197" w:type="dxa"/>
            <w:gridSpan w:val="5"/>
            <w:tcBorders>
              <w:top w:val="single" w:sz="4" w:space="0" w:color="808080"/>
              <w:bottom w:val="single" w:sz="4" w:space="0" w:color="808080"/>
            </w:tcBorders>
            <w:shd w:val="clear" w:color="auto" w:fill="D5DCE4"/>
            <w:vAlign w:val="center"/>
            <w:hideMark/>
          </w:tcPr>
          <w:p w14:paraId="58B09D12" w14:textId="47778A20" w:rsidR="00B22E86" w:rsidRPr="00B22E86" w:rsidRDefault="00B77AE5" w:rsidP="00B22E86">
            <w:pPr>
              <w:spacing w:after="0" w:line="240" w:lineRule="auto"/>
              <w:jc w:val="center"/>
              <w:rPr>
                <w:rFonts w:ascii="Arial" w:eastAsia="Times New Roman" w:hAnsi="Arial" w:cs="Arial"/>
                <w:b/>
                <w:sz w:val="18"/>
                <w:szCs w:val="18"/>
                <w:lang w:eastAsia="el-GR"/>
              </w:rPr>
            </w:pPr>
            <w:bookmarkStart w:id="5" w:name="_Toc182928030"/>
            <w:r w:rsidRPr="00B22E86">
              <w:rPr>
                <w:rFonts w:ascii="Arial" w:eastAsia="Times New Roman" w:hAnsi="Arial" w:cs="Arial"/>
                <w:b/>
                <w:sz w:val="18"/>
                <w:szCs w:val="18"/>
                <w:lang w:eastAsia="el-GR"/>
              </w:rPr>
              <w:t xml:space="preserve"> </w:t>
            </w:r>
            <w:r w:rsidR="00B22E86" w:rsidRPr="00B22E86">
              <w:rPr>
                <w:rFonts w:ascii="Arial" w:eastAsia="Times New Roman" w:hAnsi="Arial" w:cs="Arial"/>
                <w:b/>
                <w:sz w:val="18"/>
                <w:szCs w:val="18"/>
                <w:lang w:eastAsia="el-GR"/>
              </w:rPr>
              <w:t xml:space="preserve">Ισοζύγιο Γενικής Κυβέρνησης σύμφωνα με τη μεθοδολογία </w:t>
            </w:r>
            <w:r w:rsidR="00B22E86" w:rsidRPr="00B22E86">
              <w:rPr>
                <w:rFonts w:ascii="Arial" w:eastAsia="Times New Roman" w:hAnsi="Arial" w:cs="Arial"/>
                <w:b/>
                <w:sz w:val="18"/>
                <w:szCs w:val="18"/>
                <w:lang w:val="en-US" w:eastAsia="el-GR"/>
              </w:rPr>
              <w:t>European</w:t>
            </w:r>
            <w:r w:rsidR="00B22E86" w:rsidRPr="00B22E86">
              <w:rPr>
                <w:rFonts w:ascii="Arial" w:eastAsia="Times New Roman" w:hAnsi="Arial" w:cs="Arial"/>
                <w:b/>
                <w:sz w:val="18"/>
                <w:szCs w:val="18"/>
                <w:lang w:eastAsia="el-GR"/>
              </w:rPr>
              <w:t xml:space="preserve"> </w:t>
            </w:r>
            <w:r w:rsidR="00B22E86" w:rsidRPr="00B22E86">
              <w:rPr>
                <w:rFonts w:ascii="Arial" w:eastAsia="Times New Roman" w:hAnsi="Arial" w:cs="Arial"/>
                <w:b/>
                <w:sz w:val="18"/>
                <w:szCs w:val="18"/>
                <w:lang w:val="en-US" w:eastAsia="el-GR"/>
              </w:rPr>
              <w:t>System</w:t>
            </w:r>
            <w:r w:rsidR="00B22E86" w:rsidRPr="00B22E86">
              <w:rPr>
                <w:rFonts w:ascii="Arial" w:eastAsia="Times New Roman" w:hAnsi="Arial" w:cs="Arial"/>
                <w:b/>
                <w:sz w:val="18"/>
                <w:szCs w:val="18"/>
                <w:lang w:eastAsia="el-GR"/>
              </w:rPr>
              <w:t xml:space="preserve"> </w:t>
            </w:r>
            <w:r w:rsidR="00B22E86" w:rsidRPr="00B22E86">
              <w:rPr>
                <w:rFonts w:ascii="Arial" w:eastAsia="Times New Roman" w:hAnsi="Arial" w:cs="Arial"/>
                <w:b/>
                <w:sz w:val="18"/>
                <w:szCs w:val="18"/>
                <w:lang w:val="en-US" w:eastAsia="el-GR"/>
              </w:rPr>
              <w:t>of</w:t>
            </w:r>
            <w:r w:rsidR="00B22E86" w:rsidRPr="00B22E86">
              <w:rPr>
                <w:rFonts w:ascii="Arial" w:eastAsia="Times New Roman" w:hAnsi="Arial" w:cs="Arial"/>
                <w:b/>
                <w:sz w:val="18"/>
                <w:szCs w:val="18"/>
                <w:lang w:eastAsia="el-GR"/>
              </w:rPr>
              <w:t xml:space="preserve"> </w:t>
            </w:r>
            <w:r w:rsidR="00B22E86" w:rsidRPr="00B22E86">
              <w:rPr>
                <w:rFonts w:ascii="Arial" w:eastAsia="Times New Roman" w:hAnsi="Arial" w:cs="Arial"/>
                <w:b/>
                <w:sz w:val="18"/>
                <w:szCs w:val="18"/>
                <w:lang w:val="en-US" w:eastAsia="el-GR"/>
              </w:rPr>
              <w:t>Accounts</w:t>
            </w:r>
            <w:r w:rsidR="00B22E86" w:rsidRPr="00B22E86">
              <w:rPr>
                <w:rFonts w:ascii="Arial" w:eastAsia="Times New Roman" w:hAnsi="Arial" w:cs="Arial"/>
                <w:b/>
                <w:sz w:val="18"/>
                <w:szCs w:val="18"/>
                <w:lang w:eastAsia="el-GR"/>
              </w:rPr>
              <w:t xml:space="preserve"> (</w:t>
            </w:r>
            <w:r w:rsidR="00B22E86" w:rsidRPr="00B22E86">
              <w:rPr>
                <w:rFonts w:ascii="Arial" w:eastAsia="Times New Roman" w:hAnsi="Arial" w:cs="Arial"/>
                <w:b/>
                <w:sz w:val="18"/>
                <w:szCs w:val="18"/>
                <w:lang w:val="en-US" w:eastAsia="el-GR"/>
              </w:rPr>
              <w:t>ESA</w:t>
            </w:r>
            <w:r w:rsidR="00B22E86" w:rsidRPr="00B22E86">
              <w:rPr>
                <w:rFonts w:ascii="Arial" w:eastAsia="Times New Roman" w:hAnsi="Arial" w:cs="Arial"/>
                <w:b/>
                <w:sz w:val="18"/>
                <w:szCs w:val="18"/>
                <w:lang w:eastAsia="el-GR"/>
              </w:rPr>
              <w:t>) (σε εκατ. ευρώ)*</w:t>
            </w:r>
            <w:bookmarkEnd w:id="5"/>
          </w:p>
        </w:tc>
      </w:tr>
      <w:tr w:rsidR="00B22E86" w:rsidRPr="00B22E86" w14:paraId="64B6766F" w14:textId="77777777" w:rsidTr="00B22E86">
        <w:trPr>
          <w:cantSplit/>
          <w:tblHeader/>
          <w:jc w:val="center"/>
        </w:trPr>
        <w:tc>
          <w:tcPr>
            <w:tcW w:w="6640" w:type="dxa"/>
            <w:tcBorders>
              <w:top w:val="single" w:sz="4" w:space="0" w:color="808080"/>
              <w:bottom w:val="nil"/>
            </w:tcBorders>
            <w:shd w:val="clear" w:color="auto" w:fill="F2F2F2"/>
            <w:vAlign w:val="center"/>
            <w:hideMark/>
          </w:tcPr>
          <w:p w14:paraId="6B2598FD" w14:textId="77777777" w:rsidR="00B22E86" w:rsidRPr="00B22E86" w:rsidRDefault="00B22E86" w:rsidP="00B22E86">
            <w:pPr>
              <w:spacing w:after="0" w:line="240" w:lineRule="auto"/>
              <w:jc w:val="center"/>
              <w:rPr>
                <w:rFonts w:ascii="Arial" w:eastAsia="Times New Roman" w:hAnsi="Arial" w:cs="Arial"/>
                <w:color w:val="000000"/>
                <w:sz w:val="15"/>
                <w:szCs w:val="15"/>
                <w:lang w:eastAsia="el-GR"/>
              </w:rPr>
            </w:pPr>
            <w:r w:rsidRPr="00B22E86">
              <w:rPr>
                <w:rFonts w:ascii="Arial" w:eastAsia="Times New Roman" w:hAnsi="Arial" w:cs="Arial"/>
                <w:color w:val="000000"/>
                <w:sz w:val="15"/>
                <w:szCs w:val="15"/>
                <w:lang w:val="en-US" w:eastAsia="el-GR"/>
              </w:rPr>
              <w:t> </w:t>
            </w:r>
          </w:p>
        </w:tc>
        <w:tc>
          <w:tcPr>
            <w:tcW w:w="1120" w:type="dxa"/>
            <w:tcBorders>
              <w:top w:val="single" w:sz="4" w:space="0" w:color="808080"/>
              <w:bottom w:val="nil"/>
            </w:tcBorders>
            <w:shd w:val="clear" w:color="auto" w:fill="F2F2F2"/>
            <w:vAlign w:val="center"/>
            <w:hideMark/>
          </w:tcPr>
          <w:p w14:paraId="1C6B2184" w14:textId="77777777" w:rsidR="00B22E86" w:rsidRPr="00B22E86" w:rsidRDefault="00B22E86" w:rsidP="00B22E86">
            <w:pPr>
              <w:spacing w:after="0" w:line="240" w:lineRule="auto"/>
              <w:jc w:val="center"/>
              <w:rPr>
                <w:rFonts w:ascii="Arial" w:eastAsia="Times New Roman" w:hAnsi="Arial" w:cs="Arial"/>
                <w:b/>
                <w:bCs/>
                <w:color w:val="000000"/>
                <w:sz w:val="15"/>
                <w:szCs w:val="15"/>
                <w:lang w:val="en-US" w:eastAsia="el-GR"/>
              </w:rPr>
            </w:pPr>
            <w:r w:rsidRPr="00B22E86">
              <w:rPr>
                <w:rFonts w:ascii="Arial" w:eastAsia="Times New Roman" w:hAnsi="Arial" w:cs="Arial"/>
                <w:b/>
                <w:bCs/>
                <w:color w:val="000000"/>
                <w:sz w:val="15"/>
                <w:szCs w:val="15"/>
                <w:lang w:eastAsia="el-GR"/>
              </w:rPr>
              <w:t>202</w:t>
            </w:r>
            <w:r w:rsidRPr="00B22E86">
              <w:rPr>
                <w:rFonts w:ascii="Arial" w:eastAsia="Times New Roman" w:hAnsi="Arial" w:cs="Arial"/>
                <w:b/>
                <w:bCs/>
                <w:color w:val="000000"/>
                <w:sz w:val="15"/>
                <w:szCs w:val="15"/>
                <w:lang w:val="en-US" w:eastAsia="el-GR"/>
              </w:rPr>
              <w:t>3</w:t>
            </w:r>
          </w:p>
        </w:tc>
        <w:tc>
          <w:tcPr>
            <w:tcW w:w="2297" w:type="dxa"/>
            <w:gridSpan w:val="2"/>
            <w:tcBorders>
              <w:top w:val="single" w:sz="4" w:space="0" w:color="808080"/>
              <w:bottom w:val="nil"/>
            </w:tcBorders>
            <w:shd w:val="clear" w:color="auto" w:fill="F2F2F2"/>
            <w:vAlign w:val="center"/>
            <w:hideMark/>
          </w:tcPr>
          <w:p w14:paraId="54F18551" w14:textId="77777777" w:rsidR="00B22E86" w:rsidRPr="00B22E86" w:rsidRDefault="00B22E86" w:rsidP="00B22E86">
            <w:pPr>
              <w:spacing w:after="0" w:line="240" w:lineRule="auto"/>
              <w:jc w:val="center"/>
              <w:rPr>
                <w:rFonts w:ascii="Arial" w:eastAsia="Times New Roman" w:hAnsi="Arial" w:cs="Arial"/>
                <w:b/>
                <w:bCs/>
                <w:color w:val="000000"/>
                <w:sz w:val="15"/>
                <w:szCs w:val="15"/>
                <w:lang w:eastAsia="el-GR"/>
              </w:rPr>
            </w:pPr>
            <w:r w:rsidRPr="00B22E86">
              <w:rPr>
                <w:rFonts w:ascii="Arial" w:eastAsia="Times New Roman" w:hAnsi="Arial" w:cs="Arial"/>
                <w:b/>
                <w:bCs/>
                <w:color w:val="000000"/>
                <w:sz w:val="15"/>
                <w:szCs w:val="15"/>
                <w:lang w:eastAsia="el-GR"/>
              </w:rPr>
              <w:t>2024</w:t>
            </w:r>
          </w:p>
        </w:tc>
        <w:tc>
          <w:tcPr>
            <w:tcW w:w="1140" w:type="dxa"/>
            <w:tcBorders>
              <w:top w:val="single" w:sz="4" w:space="0" w:color="808080"/>
              <w:bottom w:val="nil"/>
            </w:tcBorders>
            <w:shd w:val="clear" w:color="auto" w:fill="F2F2F2"/>
            <w:vAlign w:val="center"/>
            <w:hideMark/>
          </w:tcPr>
          <w:p w14:paraId="50944F63" w14:textId="77777777" w:rsidR="00B22E86" w:rsidRPr="00B22E86" w:rsidRDefault="00B22E86" w:rsidP="00B22E86">
            <w:pPr>
              <w:spacing w:after="0" w:line="240" w:lineRule="auto"/>
              <w:jc w:val="center"/>
              <w:rPr>
                <w:rFonts w:ascii="Arial" w:eastAsia="Times New Roman" w:hAnsi="Arial" w:cs="Arial"/>
                <w:b/>
                <w:bCs/>
                <w:color w:val="000000"/>
                <w:sz w:val="15"/>
                <w:szCs w:val="15"/>
                <w:lang w:eastAsia="el-GR"/>
              </w:rPr>
            </w:pPr>
            <w:r w:rsidRPr="00B22E86">
              <w:rPr>
                <w:rFonts w:ascii="Arial" w:eastAsia="Times New Roman" w:hAnsi="Arial" w:cs="Arial"/>
                <w:b/>
                <w:bCs/>
                <w:color w:val="000000"/>
                <w:sz w:val="15"/>
                <w:szCs w:val="15"/>
                <w:lang w:eastAsia="el-GR"/>
              </w:rPr>
              <w:t>2025</w:t>
            </w:r>
          </w:p>
        </w:tc>
      </w:tr>
      <w:tr w:rsidR="00B22E86" w:rsidRPr="00B22E86" w14:paraId="262CB6D5" w14:textId="77777777" w:rsidTr="00B22E86">
        <w:trPr>
          <w:cantSplit/>
          <w:trHeight w:val="454"/>
          <w:tblHeader/>
          <w:jc w:val="center"/>
        </w:trPr>
        <w:tc>
          <w:tcPr>
            <w:tcW w:w="6640" w:type="dxa"/>
            <w:tcBorders>
              <w:top w:val="nil"/>
              <w:bottom w:val="single" w:sz="4" w:space="0" w:color="808080"/>
            </w:tcBorders>
            <w:shd w:val="clear" w:color="auto" w:fill="F2F2F2"/>
            <w:vAlign w:val="center"/>
            <w:hideMark/>
          </w:tcPr>
          <w:p w14:paraId="46EA68A0" w14:textId="77777777" w:rsidR="00B22E86" w:rsidRPr="00B22E86" w:rsidRDefault="00B22E86" w:rsidP="00B22E86">
            <w:pPr>
              <w:spacing w:after="0" w:line="240" w:lineRule="auto"/>
              <w:rPr>
                <w:rFonts w:ascii="Arial" w:eastAsia="Times New Roman" w:hAnsi="Arial" w:cs="Arial"/>
                <w:color w:val="000000"/>
                <w:sz w:val="15"/>
                <w:szCs w:val="15"/>
                <w:lang w:eastAsia="el-GR"/>
              </w:rPr>
            </w:pPr>
            <w:r w:rsidRPr="00B22E86">
              <w:rPr>
                <w:rFonts w:ascii="Arial" w:eastAsia="Times New Roman" w:hAnsi="Arial" w:cs="Arial"/>
                <w:color w:val="000000"/>
                <w:sz w:val="15"/>
                <w:szCs w:val="15"/>
                <w:lang w:eastAsia="el-GR"/>
              </w:rPr>
              <w:t> </w:t>
            </w:r>
          </w:p>
        </w:tc>
        <w:tc>
          <w:tcPr>
            <w:tcW w:w="1120" w:type="dxa"/>
            <w:tcBorders>
              <w:top w:val="nil"/>
              <w:bottom w:val="single" w:sz="4" w:space="0" w:color="808080"/>
            </w:tcBorders>
            <w:shd w:val="clear" w:color="auto" w:fill="F2F2F2"/>
            <w:vAlign w:val="center"/>
            <w:hideMark/>
          </w:tcPr>
          <w:p w14:paraId="29BC95F9" w14:textId="77777777" w:rsidR="00B22E86" w:rsidRPr="00B22E86" w:rsidRDefault="00B22E86" w:rsidP="00B22E86">
            <w:pPr>
              <w:spacing w:after="0" w:line="240" w:lineRule="auto"/>
              <w:jc w:val="center"/>
              <w:rPr>
                <w:rFonts w:ascii="Arial" w:eastAsia="Times New Roman" w:hAnsi="Arial" w:cs="Arial"/>
                <w:b/>
                <w:bCs/>
                <w:color w:val="000000"/>
                <w:sz w:val="15"/>
                <w:szCs w:val="15"/>
                <w:lang w:eastAsia="el-GR"/>
              </w:rPr>
            </w:pPr>
            <w:r w:rsidRPr="00B22E86">
              <w:rPr>
                <w:rFonts w:ascii="Arial" w:eastAsia="Times New Roman" w:hAnsi="Arial" w:cs="Arial"/>
                <w:b/>
                <w:bCs/>
                <w:color w:val="000000"/>
                <w:sz w:val="15"/>
                <w:szCs w:val="15"/>
                <w:lang w:eastAsia="el-GR"/>
              </w:rPr>
              <w:t>ΔΥΕ Οκτωβρίου 2024</w:t>
            </w:r>
          </w:p>
        </w:tc>
        <w:tc>
          <w:tcPr>
            <w:tcW w:w="1177" w:type="dxa"/>
            <w:tcBorders>
              <w:top w:val="nil"/>
              <w:bottom w:val="single" w:sz="4" w:space="0" w:color="808080"/>
            </w:tcBorders>
            <w:shd w:val="clear" w:color="auto" w:fill="F2F2F2"/>
            <w:vAlign w:val="center"/>
            <w:hideMark/>
          </w:tcPr>
          <w:p w14:paraId="42D22EC0" w14:textId="77777777" w:rsidR="00B22E86" w:rsidRPr="00B22E86" w:rsidRDefault="00B22E86" w:rsidP="00B22E86">
            <w:pPr>
              <w:spacing w:after="0" w:line="240" w:lineRule="auto"/>
              <w:jc w:val="center"/>
              <w:rPr>
                <w:rFonts w:ascii="Arial" w:eastAsia="Times New Roman" w:hAnsi="Arial" w:cs="Arial"/>
                <w:b/>
                <w:bCs/>
                <w:color w:val="000000"/>
                <w:sz w:val="15"/>
                <w:szCs w:val="15"/>
                <w:lang w:eastAsia="el-GR"/>
              </w:rPr>
            </w:pPr>
            <w:proofErr w:type="spellStart"/>
            <w:r w:rsidRPr="00B22E86">
              <w:rPr>
                <w:rFonts w:ascii="Arial" w:eastAsia="Times New Roman" w:hAnsi="Arial" w:cs="Arial"/>
                <w:b/>
                <w:bCs/>
                <w:color w:val="000000"/>
                <w:sz w:val="15"/>
                <w:szCs w:val="15"/>
                <w:lang w:eastAsia="el-GR"/>
              </w:rPr>
              <w:t>Προϋπ</w:t>
            </w:r>
            <w:proofErr w:type="spellEnd"/>
            <w:r w:rsidRPr="00B22E86">
              <w:rPr>
                <w:rFonts w:ascii="Arial" w:eastAsia="Times New Roman" w:hAnsi="Arial" w:cs="Arial"/>
                <w:b/>
                <w:bCs/>
                <w:color w:val="000000"/>
                <w:sz w:val="15"/>
                <w:szCs w:val="15"/>
                <w:lang w:eastAsia="el-GR"/>
              </w:rPr>
              <w:t>/</w:t>
            </w:r>
            <w:proofErr w:type="spellStart"/>
            <w:r w:rsidRPr="00B22E86">
              <w:rPr>
                <w:rFonts w:ascii="Arial" w:eastAsia="Times New Roman" w:hAnsi="Arial" w:cs="Arial"/>
                <w:b/>
                <w:bCs/>
                <w:color w:val="000000"/>
                <w:sz w:val="15"/>
                <w:szCs w:val="15"/>
                <w:lang w:eastAsia="el-GR"/>
              </w:rPr>
              <w:t>σμός</w:t>
            </w:r>
            <w:proofErr w:type="spellEnd"/>
          </w:p>
        </w:tc>
        <w:tc>
          <w:tcPr>
            <w:tcW w:w="1120" w:type="dxa"/>
            <w:tcBorders>
              <w:top w:val="nil"/>
              <w:bottom w:val="single" w:sz="4" w:space="0" w:color="808080"/>
            </w:tcBorders>
            <w:shd w:val="clear" w:color="auto" w:fill="F2F2F2"/>
            <w:vAlign w:val="center"/>
            <w:hideMark/>
          </w:tcPr>
          <w:p w14:paraId="1458458F" w14:textId="77777777" w:rsidR="00B22E86" w:rsidRPr="00B22E86" w:rsidRDefault="00B22E86" w:rsidP="00B22E86">
            <w:pPr>
              <w:spacing w:after="0" w:line="240" w:lineRule="auto"/>
              <w:jc w:val="center"/>
              <w:rPr>
                <w:rFonts w:ascii="Arial" w:eastAsia="Times New Roman" w:hAnsi="Arial" w:cs="Arial"/>
                <w:b/>
                <w:bCs/>
                <w:color w:val="000000"/>
                <w:sz w:val="15"/>
                <w:szCs w:val="15"/>
                <w:lang w:eastAsia="el-GR"/>
              </w:rPr>
            </w:pPr>
            <w:r w:rsidRPr="00B22E86">
              <w:rPr>
                <w:rFonts w:ascii="Arial" w:eastAsia="Times New Roman" w:hAnsi="Arial" w:cs="Arial"/>
                <w:b/>
                <w:bCs/>
                <w:color w:val="000000"/>
                <w:sz w:val="15"/>
                <w:szCs w:val="15"/>
                <w:lang w:eastAsia="el-GR"/>
              </w:rPr>
              <w:t>Εκτιμήσεις</w:t>
            </w:r>
          </w:p>
        </w:tc>
        <w:tc>
          <w:tcPr>
            <w:tcW w:w="1140" w:type="dxa"/>
            <w:tcBorders>
              <w:top w:val="nil"/>
              <w:bottom w:val="single" w:sz="4" w:space="0" w:color="808080"/>
            </w:tcBorders>
            <w:shd w:val="clear" w:color="auto" w:fill="F2F2F2"/>
            <w:vAlign w:val="center"/>
            <w:hideMark/>
          </w:tcPr>
          <w:p w14:paraId="19712F35" w14:textId="77777777" w:rsidR="00B22E86" w:rsidRPr="00B22E86" w:rsidRDefault="00B22E86" w:rsidP="00B22E86">
            <w:pPr>
              <w:spacing w:after="0" w:line="240" w:lineRule="auto"/>
              <w:jc w:val="center"/>
              <w:rPr>
                <w:rFonts w:ascii="Arial" w:eastAsia="Times New Roman" w:hAnsi="Arial" w:cs="Arial"/>
                <w:b/>
                <w:bCs/>
                <w:color w:val="000000"/>
                <w:sz w:val="15"/>
                <w:szCs w:val="15"/>
                <w:lang w:eastAsia="el-GR"/>
              </w:rPr>
            </w:pPr>
            <w:r w:rsidRPr="00B22E86">
              <w:rPr>
                <w:rFonts w:ascii="Arial" w:eastAsia="Times New Roman" w:hAnsi="Arial" w:cs="Arial"/>
                <w:b/>
                <w:bCs/>
                <w:color w:val="000000"/>
                <w:sz w:val="15"/>
                <w:szCs w:val="15"/>
                <w:lang w:eastAsia="el-GR"/>
              </w:rPr>
              <w:t>Προβλέψεις</w:t>
            </w:r>
          </w:p>
        </w:tc>
      </w:tr>
      <w:tr w:rsidR="00B22E86" w:rsidRPr="00B22E86" w14:paraId="6EA6E7A7" w14:textId="77777777" w:rsidTr="00B22E86">
        <w:trPr>
          <w:cantSplit/>
          <w:jc w:val="center"/>
        </w:trPr>
        <w:tc>
          <w:tcPr>
            <w:tcW w:w="6640" w:type="dxa"/>
            <w:tcBorders>
              <w:top w:val="single" w:sz="4" w:space="0" w:color="808080"/>
              <w:bottom w:val="single" w:sz="4" w:space="0" w:color="808080"/>
            </w:tcBorders>
            <w:shd w:val="clear" w:color="auto" w:fill="auto"/>
            <w:vAlign w:val="center"/>
            <w:hideMark/>
          </w:tcPr>
          <w:p w14:paraId="1C6ED429" w14:textId="77777777" w:rsidR="00B22E86" w:rsidRPr="00B22E86" w:rsidRDefault="00B22E86" w:rsidP="00B22E86">
            <w:pPr>
              <w:spacing w:after="0" w:line="240" w:lineRule="auto"/>
              <w:jc w:val="center"/>
              <w:rPr>
                <w:rFonts w:ascii="Arial" w:eastAsia="Times New Roman" w:hAnsi="Arial" w:cs="Arial"/>
                <w:b/>
                <w:bCs/>
                <w:color w:val="000000"/>
                <w:sz w:val="15"/>
                <w:szCs w:val="15"/>
                <w:lang w:eastAsia="el-GR"/>
              </w:rPr>
            </w:pPr>
          </w:p>
        </w:tc>
        <w:tc>
          <w:tcPr>
            <w:tcW w:w="1120" w:type="dxa"/>
            <w:tcBorders>
              <w:top w:val="single" w:sz="4" w:space="0" w:color="808080"/>
              <w:bottom w:val="single" w:sz="4" w:space="0" w:color="808080"/>
            </w:tcBorders>
            <w:shd w:val="clear" w:color="auto" w:fill="auto"/>
            <w:vAlign w:val="center"/>
            <w:hideMark/>
          </w:tcPr>
          <w:p w14:paraId="62CDE702" w14:textId="77777777" w:rsidR="00B22E86" w:rsidRPr="00B22E86" w:rsidRDefault="00B22E86" w:rsidP="00B22E86">
            <w:pPr>
              <w:spacing w:after="0" w:line="240" w:lineRule="auto"/>
              <w:rPr>
                <w:rFonts w:ascii="Arial" w:eastAsia="Times New Roman" w:hAnsi="Arial" w:cs="Arial"/>
                <w:sz w:val="15"/>
                <w:szCs w:val="15"/>
                <w:lang w:eastAsia="el-GR"/>
              </w:rPr>
            </w:pPr>
          </w:p>
        </w:tc>
        <w:tc>
          <w:tcPr>
            <w:tcW w:w="1177" w:type="dxa"/>
            <w:tcBorders>
              <w:top w:val="single" w:sz="4" w:space="0" w:color="808080"/>
              <w:bottom w:val="single" w:sz="4" w:space="0" w:color="808080"/>
            </w:tcBorders>
            <w:shd w:val="clear" w:color="auto" w:fill="auto"/>
            <w:vAlign w:val="center"/>
            <w:hideMark/>
          </w:tcPr>
          <w:p w14:paraId="102427D3" w14:textId="77777777" w:rsidR="00B22E86" w:rsidRPr="00B22E86" w:rsidRDefault="00B22E86" w:rsidP="00B22E86">
            <w:pPr>
              <w:spacing w:after="0" w:line="240" w:lineRule="auto"/>
              <w:jc w:val="center"/>
              <w:rPr>
                <w:rFonts w:ascii="Arial" w:eastAsia="Times New Roman" w:hAnsi="Arial" w:cs="Arial"/>
                <w:sz w:val="15"/>
                <w:szCs w:val="15"/>
                <w:lang w:eastAsia="el-GR"/>
              </w:rPr>
            </w:pPr>
          </w:p>
        </w:tc>
        <w:tc>
          <w:tcPr>
            <w:tcW w:w="1120" w:type="dxa"/>
            <w:tcBorders>
              <w:top w:val="single" w:sz="4" w:space="0" w:color="808080"/>
              <w:bottom w:val="single" w:sz="4" w:space="0" w:color="808080"/>
            </w:tcBorders>
            <w:shd w:val="clear" w:color="auto" w:fill="auto"/>
            <w:vAlign w:val="center"/>
            <w:hideMark/>
          </w:tcPr>
          <w:p w14:paraId="561872F0" w14:textId="77777777" w:rsidR="00B22E86" w:rsidRPr="00B22E86" w:rsidRDefault="00B22E86" w:rsidP="00B22E86">
            <w:pPr>
              <w:spacing w:after="0" w:line="240" w:lineRule="auto"/>
              <w:jc w:val="center"/>
              <w:rPr>
                <w:rFonts w:ascii="Arial" w:eastAsia="Times New Roman" w:hAnsi="Arial" w:cs="Arial"/>
                <w:sz w:val="15"/>
                <w:szCs w:val="15"/>
                <w:lang w:eastAsia="el-GR"/>
              </w:rPr>
            </w:pPr>
          </w:p>
        </w:tc>
        <w:tc>
          <w:tcPr>
            <w:tcW w:w="1140" w:type="dxa"/>
            <w:tcBorders>
              <w:top w:val="single" w:sz="4" w:space="0" w:color="808080"/>
              <w:bottom w:val="single" w:sz="4" w:space="0" w:color="808080"/>
            </w:tcBorders>
            <w:shd w:val="clear" w:color="auto" w:fill="auto"/>
            <w:vAlign w:val="center"/>
            <w:hideMark/>
          </w:tcPr>
          <w:p w14:paraId="02FE3E41" w14:textId="77777777" w:rsidR="00B22E86" w:rsidRPr="00B22E86" w:rsidRDefault="00B22E86" w:rsidP="00B22E86">
            <w:pPr>
              <w:spacing w:after="0" w:line="240" w:lineRule="auto"/>
              <w:jc w:val="center"/>
              <w:rPr>
                <w:rFonts w:ascii="Arial" w:eastAsia="Times New Roman" w:hAnsi="Arial" w:cs="Arial"/>
                <w:sz w:val="15"/>
                <w:szCs w:val="15"/>
                <w:lang w:eastAsia="el-GR"/>
              </w:rPr>
            </w:pPr>
          </w:p>
        </w:tc>
      </w:tr>
      <w:tr w:rsidR="00B22E86" w:rsidRPr="00B22E86" w14:paraId="44A75753" w14:textId="77777777" w:rsidTr="00B22E86">
        <w:trPr>
          <w:cantSplit/>
          <w:trHeight w:val="198"/>
          <w:jc w:val="center"/>
        </w:trPr>
        <w:tc>
          <w:tcPr>
            <w:tcW w:w="6640" w:type="dxa"/>
            <w:tcBorders>
              <w:top w:val="single" w:sz="4" w:space="0" w:color="808080"/>
              <w:bottom w:val="nil"/>
            </w:tcBorders>
            <w:shd w:val="clear" w:color="auto" w:fill="D5DCE4"/>
            <w:vAlign w:val="center"/>
            <w:hideMark/>
          </w:tcPr>
          <w:p w14:paraId="1411D9AC"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I.</w:t>
            </w:r>
            <w:r w:rsidRPr="00B22E86">
              <w:rPr>
                <w:rFonts w:ascii="Arial" w:eastAsia="Times New Roman" w:hAnsi="Arial" w:cs="Arial"/>
                <w:b/>
                <w:bCs/>
                <w:sz w:val="15"/>
                <w:szCs w:val="15"/>
                <w:lang w:eastAsia="el-GR"/>
              </w:rPr>
              <w:tab/>
              <w:t>Καθαρά έσοδα κρατικού προϋπολογισμού κατά ESA (</w:t>
            </w:r>
            <w:proofErr w:type="spellStart"/>
            <w:r w:rsidRPr="00B22E86">
              <w:rPr>
                <w:rFonts w:ascii="Arial" w:eastAsia="Times New Roman" w:hAnsi="Arial" w:cs="Arial"/>
                <w:b/>
                <w:bCs/>
                <w:sz w:val="15"/>
                <w:szCs w:val="15"/>
                <w:lang w:eastAsia="el-GR"/>
              </w:rPr>
              <w:t>α+β+γ+δ+ε+στ-ζ</w:t>
            </w:r>
            <w:proofErr w:type="spellEnd"/>
            <w:r w:rsidRPr="00B22E86">
              <w:rPr>
                <w:rFonts w:ascii="Arial" w:eastAsia="Times New Roman" w:hAnsi="Arial" w:cs="Arial"/>
                <w:b/>
                <w:bCs/>
                <w:sz w:val="15"/>
                <w:szCs w:val="15"/>
                <w:lang w:eastAsia="el-GR"/>
              </w:rPr>
              <w:t>)</w:t>
            </w:r>
          </w:p>
        </w:tc>
        <w:tc>
          <w:tcPr>
            <w:tcW w:w="1120" w:type="dxa"/>
            <w:tcBorders>
              <w:top w:val="single" w:sz="4" w:space="0" w:color="808080"/>
              <w:left w:val="nil"/>
              <w:bottom w:val="nil"/>
              <w:right w:val="nil"/>
            </w:tcBorders>
            <w:shd w:val="clear" w:color="auto" w:fill="D5DCE4"/>
            <w:vAlign w:val="center"/>
          </w:tcPr>
          <w:p w14:paraId="0BD86A8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66.007</w:t>
            </w:r>
          </w:p>
        </w:tc>
        <w:tc>
          <w:tcPr>
            <w:tcW w:w="1177" w:type="dxa"/>
            <w:tcBorders>
              <w:top w:val="single" w:sz="4" w:space="0" w:color="808080"/>
              <w:left w:val="nil"/>
              <w:bottom w:val="nil"/>
              <w:right w:val="nil"/>
            </w:tcBorders>
            <w:shd w:val="clear" w:color="auto" w:fill="D5DCE4"/>
            <w:vAlign w:val="center"/>
          </w:tcPr>
          <w:p w14:paraId="087BD57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68.379</w:t>
            </w:r>
          </w:p>
        </w:tc>
        <w:tc>
          <w:tcPr>
            <w:tcW w:w="1120" w:type="dxa"/>
            <w:tcBorders>
              <w:top w:val="single" w:sz="4" w:space="0" w:color="808080"/>
              <w:left w:val="nil"/>
              <w:bottom w:val="nil"/>
              <w:right w:val="nil"/>
            </w:tcBorders>
            <w:shd w:val="clear" w:color="auto" w:fill="D5DCE4"/>
            <w:vAlign w:val="center"/>
          </w:tcPr>
          <w:p w14:paraId="11B861C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71.141</w:t>
            </w:r>
          </w:p>
        </w:tc>
        <w:tc>
          <w:tcPr>
            <w:tcW w:w="1140" w:type="dxa"/>
            <w:tcBorders>
              <w:top w:val="single" w:sz="4" w:space="0" w:color="808080"/>
              <w:left w:val="nil"/>
              <w:bottom w:val="nil"/>
              <w:right w:val="single" w:sz="4" w:space="0" w:color="808080"/>
            </w:tcBorders>
            <w:shd w:val="clear" w:color="auto" w:fill="D5DCE4"/>
            <w:vAlign w:val="center"/>
          </w:tcPr>
          <w:p w14:paraId="698C410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74.573</w:t>
            </w:r>
          </w:p>
        </w:tc>
      </w:tr>
      <w:tr w:rsidR="00B22E86" w:rsidRPr="00B22E86" w14:paraId="212F21FF" w14:textId="77777777" w:rsidTr="00B22E86">
        <w:trPr>
          <w:cantSplit/>
          <w:jc w:val="center"/>
        </w:trPr>
        <w:tc>
          <w:tcPr>
            <w:tcW w:w="6640" w:type="dxa"/>
            <w:tcBorders>
              <w:top w:val="nil"/>
            </w:tcBorders>
            <w:shd w:val="clear" w:color="auto" w:fill="auto"/>
            <w:vAlign w:val="center"/>
            <w:hideMark/>
          </w:tcPr>
          <w:p w14:paraId="62CDE451"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α.</w:t>
            </w:r>
            <w:r w:rsidRPr="00B22E86">
              <w:rPr>
                <w:rFonts w:ascii="Arial" w:eastAsia="Times New Roman" w:hAnsi="Arial" w:cs="Arial"/>
                <w:b/>
                <w:bCs/>
                <w:sz w:val="15"/>
                <w:szCs w:val="15"/>
                <w:lang w:eastAsia="el-GR"/>
              </w:rPr>
              <w:tab/>
              <w:t>Φόροι (1+2+3+4+5+6+7)</w:t>
            </w:r>
          </w:p>
        </w:tc>
        <w:tc>
          <w:tcPr>
            <w:tcW w:w="1120" w:type="dxa"/>
            <w:tcBorders>
              <w:top w:val="nil"/>
              <w:left w:val="nil"/>
              <w:bottom w:val="nil"/>
              <w:right w:val="nil"/>
            </w:tcBorders>
            <w:shd w:val="clear" w:color="auto" w:fill="auto"/>
            <w:vAlign w:val="center"/>
          </w:tcPr>
          <w:p w14:paraId="0FBCD71D"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62.465</w:t>
            </w:r>
          </w:p>
        </w:tc>
        <w:tc>
          <w:tcPr>
            <w:tcW w:w="1177" w:type="dxa"/>
            <w:tcBorders>
              <w:top w:val="nil"/>
              <w:left w:val="nil"/>
              <w:bottom w:val="nil"/>
              <w:right w:val="nil"/>
            </w:tcBorders>
            <w:shd w:val="clear" w:color="auto" w:fill="auto"/>
            <w:vAlign w:val="center"/>
          </w:tcPr>
          <w:p w14:paraId="5A95254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62.960</w:t>
            </w:r>
          </w:p>
        </w:tc>
        <w:tc>
          <w:tcPr>
            <w:tcW w:w="1120" w:type="dxa"/>
            <w:tcBorders>
              <w:top w:val="nil"/>
              <w:left w:val="nil"/>
              <w:bottom w:val="nil"/>
              <w:right w:val="nil"/>
            </w:tcBorders>
            <w:shd w:val="clear" w:color="auto" w:fill="auto"/>
            <w:vAlign w:val="center"/>
          </w:tcPr>
          <w:p w14:paraId="26C452BD"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66.713</w:t>
            </w:r>
          </w:p>
        </w:tc>
        <w:tc>
          <w:tcPr>
            <w:tcW w:w="1140" w:type="dxa"/>
            <w:tcBorders>
              <w:top w:val="nil"/>
              <w:left w:val="nil"/>
              <w:bottom w:val="nil"/>
              <w:right w:val="single" w:sz="4" w:space="0" w:color="808080"/>
            </w:tcBorders>
            <w:shd w:val="clear" w:color="auto" w:fill="auto"/>
            <w:vAlign w:val="center"/>
          </w:tcPr>
          <w:p w14:paraId="54A6E1BE"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69.203</w:t>
            </w:r>
          </w:p>
        </w:tc>
      </w:tr>
      <w:tr w:rsidR="00B22E86" w:rsidRPr="00B22E86" w14:paraId="59BDCA34" w14:textId="77777777" w:rsidTr="00B22E86">
        <w:trPr>
          <w:cantSplit/>
          <w:jc w:val="center"/>
        </w:trPr>
        <w:tc>
          <w:tcPr>
            <w:tcW w:w="6640" w:type="dxa"/>
            <w:shd w:val="clear" w:color="auto" w:fill="auto"/>
            <w:vAlign w:val="center"/>
            <w:hideMark/>
          </w:tcPr>
          <w:p w14:paraId="283803A9" w14:textId="77777777" w:rsidR="00B22E86" w:rsidRPr="00B22E86" w:rsidRDefault="00B22E86" w:rsidP="00B22E86">
            <w:pPr>
              <w:tabs>
                <w:tab w:val="left" w:pos="312"/>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 xml:space="preserve">1. Φόροι επί αγαθών και υπηρεσιών </w:t>
            </w:r>
          </w:p>
        </w:tc>
        <w:tc>
          <w:tcPr>
            <w:tcW w:w="1120" w:type="dxa"/>
            <w:tcBorders>
              <w:top w:val="nil"/>
              <w:left w:val="nil"/>
              <w:bottom w:val="nil"/>
              <w:right w:val="nil"/>
            </w:tcBorders>
            <w:shd w:val="clear" w:color="auto" w:fill="auto"/>
            <w:vAlign w:val="center"/>
          </w:tcPr>
          <w:p w14:paraId="07F143F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34.052</w:t>
            </w:r>
          </w:p>
        </w:tc>
        <w:tc>
          <w:tcPr>
            <w:tcW w:w="1177" w:type="dxa"/>
            <w:tcBorders>
              <w:top w:val="nil"/>
              <w:left w:val="nil"/>
              <w:bottom w:val="nil"/>
              <w:right w:val="nil"/>
            </w:tcBorders>
            <w:shd w:val="clear" w:color="auto" w:fill="auto"/>
            <w:vAlign w:val="center"/>
          </w:tcPr>
          <w:p w14:paraId="4DC803F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35.169</w:t>
            </w:r>
          </w:p>
        </w:tc>
        <w:tc>
          <w:tcPr>
            <w:tcW w:w="1120" w:type="dxa"/>
            <w:tcBorders>
              <w:top w:val="nil"/>
              <w:left w:val="nil"/>
              <w:bottom w:val="nil"/>
              <w:right w:val="nil"/>
            </w:tcBorders>
            <w:shd w:val="clear" w:color="auto" w:fill="auto"/>
            <w:vAlign w:val="center"/>
          </w:tcPr>
          <w:p w14:paraId="0D4DC46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36.409</w:t>
            </w:r>
          </w:p>
        </w:tc>
        <w:tc>
          <w:tcPr>
            <w:tcW w:w="1140" w:type="dxa"/>
            <w:tcBorders>
              <w:top w:val="nil"/>
              <w:left w:val="nil"/>
              <w:bottom w:val="nil"/>
              <w:right w:val="single" w:sz="4" w:space="0" w:color="808080"/>
            </w:tcBorders>
            <w:shd w:val="clear" w:color="auto" w:fill="auto"/>
            <w:vAlign w:val="center"/>
          </w:tcPr>
          <w:p w14:paraId="7B752FF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38.019</w:t>
            </w:r>
          </w:p>
        </w:tc>
      </w:tr>
      <w:tr w:rsidR="00B22E86" w:rsidRPr="00B22E86" w14:paraId="35961A54" w14:textId="77777777" w:rsidTr="00B22E86">
        <w:trPr>
          <w:cantSplit/>
          <w:jc w:val="center"/>
        </w:trPr>
        <w:tc>
          <w:tcPr>
            <w:tcW w:w="6640" w:type="dxa"/>
            <w:shd w:val="clear" w:color="auto" w:fill="auto"/>
            <w:vAlign w:val="center"/>
            <w:hideMark/>
          </w:tcPr>
          <w:p w14:paraId="61032500" w14:textId="77777777" w:rsidR="00B22E86" w:rsidRPr="00B22E86" w:rsidRDefault="00B22E86" w:rsidP="00B22E86">
            <w:pPr>
              <w:tabs>
                <w:tab w:val="left" w:pos="313"/>
                <w:tab w:val="left" w:pos="1439"/>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εκ των οποίων:</w:t>
            </w:r>
            <w:r w:rsidRPr="00B22E86">
              <w:rPr>
                <w:rFonts w:ascii="Arial" w:eastAsia="Times New Roman" w:hAnsi="Arial" w:cs="Arial"/>
                <w:sz w:val="15"/>
                <w:szCs w:val="15"/>
                <w:lang w:eastAsia="el-GR"/>
              </w:rPr>
              <w:tab/>
              <w:t xml:space="preserve">Φόροι προστιθέμενης αξίας </w:t>
            </w:r>
          </w:p>
        </w:tc>
        <w:tc>
          <w:tcPr>
            <w:tcW w:w="1120" w:type="dxa"/>
            <w:tcBorders>
              <w:top w:val="nil"/>
              <w:left w:val="nil"/>
              <w:bottom w:val="nil"/>
              <w:right w:val="nil"/>
            </w:tcBorders>
            <w:shd w:val="clear" w:color="auto" w:fill="auto"/>
            <w:vAlign w:val="center"/>
          </w:tcPr>
          <w:p w14:paraId="50AF515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23.454</w:t>
            </w:r>
          </w:p>
        </w:tc>
        <w:tc>
          <w:tcPr>
            <w:tcW w:w="1177" w:type="dxa"/>
            <w:tcBorders>
              <w:top w:val="nil"/>
              <w:left w:val="nil"/>
              <w:bottom w:val="nil"/>
              <w:right w:val="nil"/>
            </w:tcBorders>
            <w:shd w:val="clear" w:color="auto" w:fill="auto"/>
            <w:vAlign w:val="center"/>
          </w:tcPr>
          <w:p w14:paraId="70D1008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24.379</w:t>
            </w:r>
          </w:p>
        </w:tc>
        <w:tc>
          <w:tcPr>
            <w:tcW w:w="1120" w:type="dxa"/>
            <w:tcBorders>
              <w:top w:val="nil"/>
              <w:left w:val="nil"/>
              <w:bottom w:val="nil"/>
              <w:right w:val="nil"/>
            </w:tcBorders>
            <w:shd w:val="clear" w:color="auto" w:fill="auto"/>
            <w:vAlign w:val="center"/>
          </w:tcPr>
          <w:p w14:paraId="1D0E072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25.341</w:t>
            </w:r>
          </w:p>
        </w:tc>
        <w:tc>
          <w:tcPr>
            <w:tcW w:w="1140" w:type="dxa"/>
            <w:tcBorders>
              <w:top w:val="nil"/>
              <w:left w:val="nil"/>
              <w:bottom w:val="nil"/>
              <w:right w:val="single" w:sz="4" w:space="0" w:color="808080"/>
            </w:tcBorders>
            <w:shd w:val="clear" w:color="auto" w:fill="auto"/>
            <w:vAlign w:val="center"/>
          </w:tcPr>
          <w:p w14:paraId="3E35EB7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26.673</w:t>
            </w:r>
          </w:p>
        </w:tc>
      </w:tr>
      <w:tr w:rsidR="00B22E86" w:rsidRPr="00B22E86" w14:paraId="4BB4114C" w14:textId="77777777" w:rsidTr="00B22E86">
        <w:trPr>
          <w:cantSplit/>
          <w:jc w:val="center"/>
        </w:trPr>
        <w:tc>
          <w:tcPr>
            <w:tcW w:w="6640" w:type="dxa"/>
            <w:shd w:val="clear" w:color="auto" w:fill="auto"/>
            <w:vAlign w:val="center"/>
            <w:hideMark/>
          </w:tcPr>
          <w:p w14:paraId="5A7CDEE8" w14:textId="77777777" w:rsidR="00B22E86" w:rsidRPr="00B22E86" w:rsidRDefault="00B22E86" w:rsidP="00B22E86">
            <w:pPr>
              <w:tabs>
                <w:tab w:val="left" w:pos="313"/>
                <w:tab w:val="left" w:pos="1439"/>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r>
            <w:r w:rsidRPr="00B22E86">
              <w:rPr>
                <w:rFonts w:ascii="Arial" w:eastAsia="Times New Roman" w:hAnsi="Arial" w:cs="Arial"/>
                <w:sz w:val="15"/>
                <w:szCs w:val="15"/>
                <w:lang w:eastAsia="el-GR"/>
              </w:rPr>
              <w:tab/>
            </w:r>
            <w:r w:rsidRPr="00B22E86">
              <w:rPr>
                <w:rFonts w:ascii="Arial" w:eastAsia="Times New Roman" w:hAnsi="Arial" w:cs="Arial"/>
                <w:sz w:val="15"/>
                <w:szCs w:val="15"/>
                <w:lang w:eastAsia="el-GR"/>
              </w:rPr>
              <w:tab/>
              <w:t xml:space="preserve">Ειδικοί φόροι κατανάλωσης </w:t>
            </w:r>
          </w:p>
        </w:tc>
        <w:tc>
          <w:tcPr>
            <w:tcW w:w="1120" w:type="dxa"/>
            <w:tcBorders>
              <w:top w:val="nil"/>
              <w:left w:val="nil"/>
              <w:bottom w:val="nil"/>
              <w:right w:val="nil"/>
            </w:tcBorders>
            <w:shd w:val="clear" w:color="auto" w:fill="auto"/>
            <w:vAlign w:val="center"/>
          </w:tcPr>
          <w:p w14:paraId="038054A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7.018</w:t>
            </w:r>
          </w:p>
        </w:tc>
        <w:tc>
          <w:tcPr>
            <w:tcW w:w="1177" w:type="dxa"/>
            <w:tcBorders>
              <w:top w:val="nil"/>
              <w:left w:val="nil"/>
              <w:bottom w:val="nil"/>
              <w:right w:val="nil"/>
            </w:tcBorders>
            <w:shd w:val="clear" w:color="auto" w:fill="auto"/>
            <w:vAlign w:val="center"/>
          </w:tcPr>
          <w:p w14:paraId="6D3D6E5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7.067</w:t>
            </w:r>
          </w:p>
        </w:tc>
        <w:tc>
          <w:tcPr>
            <w:tcW w:w="1120" w:type="dxa"/>
            <w:tcBorders>
              <w:top w:val="nil"/>
              <w:left w:val="nil"/>
              <w:bottom w:val="nil"/>
              <w:right w:val="nil"/>
            </w:tcBorders>
            <w:shd w:val="clear" w:color="auto" w:fill="auto"/>
            <w:vAlign w:val="center"/>
          </w:tcPr>
          <w:p w14:paraId="68BF560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7.229</w:t>
            </w:r>
          </w:p>
        </w:tc>
        <w:tc>
          <w:tcPr>
            <w:tcW w:w="1140" w:type="dxa"/>
            <w:tcBorders>
              <w:top w:val="nil"/>
              <w:left w:val="nil"/>
              <w:bottom w:val="nil"/>
              <w:right w:val="single" w:sz="4" w:space="0" w:color="808080"/>
            </w:tcBorders>
            <w:shd w:val="clear" w:color="auto" w:fill="auto"/>
            <w:vAlign w:val="center"/>
          </w:tcPr>
          <w:p w14:paraId="0F55052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7.276</w:t>
            </w:r>
          </w:p>
        </w:tc>
      </w:tr>
      <w:tr w:rsidR="00B22E86" w:rsidRPr="00B22E86" w14:paraId="15C3D8C2" w14:textId="77777777" w:rsidTr="00B22E86">
        <w:trPr>
          <w:cantSplit/>
          <w:jc w:val="center"/>
        </w:trPr>
        <w:tc>
          <w:tcPr>
            <w:tcW w:w="6640" w:type="dxa"/>
            <w:shd w:val="clear" w:color="auto" w:fill="auto"/>
            <w:vAlign w:val="center"/>
            <w:hideMark/>
          </w:tcPr>
          <w:p w14:paraId="56085FCF" w14:textId="77777777" w:rsidR="00B22E86" w:rsidRPr="00B22E86" w:rsidRDefault="00B22E86" w:rsidP="00B22E86">
            <w:pPr>
              <w:tabs>
                <w:tab w:val="left" w:pos="312"/>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 xml:space="preserve">2. Φόροι και δασμοί επί εισαγωγών </w:t>
            </w:r>
          </w:p>
        </w:tc>
        <w:tc>
          <w:tcPr>
            <w:tcW w:w="1120" w:type="dxa"/>
            <w:tcBorders>
              <w:top w:val="nil"/>
              <w:left w:val="nil"/>
              <w:bottom w:val="nil"/>
              <w:right w:val="nil"/>
            </w:tcBorders>
            <w:shd w:val="clear" w:color="auto" w:fill="auto"/>
            <w:vAlign w:val="center"/>
          </w:tcPr>
          <w:p w14:paraId="1A5061D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345</w:t>
            </w:r>
          </w:p>
        </w:tc>
        <w:tc>
          <w:tcPr>
            <w:tcW w:w="1177" w:type="dxa"/>
            <w:tcBorders>
              <w:top w:val="nil"/>
              <w:left w:val="nil"/>
              <w:bottom w:val="nil"/>
              <w:right w:val="nil"/>
            </w:tcBorders>
            <w:shd w:val="clear" w:color="auto" w:fill="auto"/>
            <w:vAlign w:val="center"/>
          </w:tcPr>
          <w:p w14:paraId="18C54BB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392</w:t>
            </w:r>
          </w:p>
        </w:tc>
        <w:tc>
          <w:tcPr>
            <w:tcW w:w="1120" w:type="dxa"/>
            <w:tcBorders>
              <w:top w:val="nil"/>
              <w:left w:val="nil"/>
              <w:bottom w:val="nil"/>
              <w:right w:val="nil"/>
            </w:tcBorders>
            <w:shd w:val="clear" w:color="auto" w:fill="auto"/>
            <w:vAlign w:val="center"/>
          </w:tcPr>
          <w:p w14:paraId="63F5AB0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344</w:t>
            </w:r>
          </w:p>
        </w:tc>
        <w:tc>
          <w:tcPr>
            <w:tcW w:w="1140" w:type="dxa"/>
            <w:tcBorders>
              <w:top w:val="nil"/>
              <w:left w:val="nil"/>
              <w:bottom w:val="nil"/>
              <w:right w:val="single" w:sz="4" w:space="0" w:color="808080"/>
            </w:tcBorders>
            <w:shd w:val="clear" w:color="auto" w:fill="auto"/>
            <w:vAlign w:val="center"/>
          </w:tcPr>
          <w:p w14:paraId="62B0052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362</w:t>
            </w:r>
          </w:p>
        </w:tc>
      </w:tr>
      <w:tr w:rsidR="00B22E86" w:rsidRPr="00B22E86" w14:paraId="5E736C37" w14:textId="77777777" w:rsidTr="00B22E86">
        <w:trPr>
          <w:cantSplit/>
          <w:jc w:val="center"/>
        </w:trPr>
        <w:tc>
          <w:tcPr>
            <w:tcW w:w="6640" w:type="dxa"/>
            <w:shd w:val="clear" w:color="auto" w:fill="auto"/>
            <w:vAlign w:val="center"/>
            <w:hideMark/>
          </w:tcPr>
          <w:p w14:paraId="155F478C" w14:textId="77777777" w:rsidR="00B22E86" w:rsidRPr="00B22E86" w:rsidRDefault="00B22E86" w:rsidP="00B22E86">
            <w:pPr>
              <w:tabs>
                <w:tab w:val="left" w:pos="312"/>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 xml:space="preserve">3. Τακτικοί φόροι ακίνητης περιουσίας </w:t>
            </w:r>
          </w:p>
        </w:tc>
        <w:tc>
          <w:tcPr>
            <w:tcW w:w="1120" w:type="dxa"/>
            <w:tcBorders>
              <w:top w:val="nil"/>
              <w:left w:val="nil"/>
              <w:bottom w:val="nil"/>
              <w:right w:val="nil"/>
            </w:tcBorders>
            <w:shd w:val="clear" w:color="auto" w:fill="auto"/>
            <w:vAlign w:val="center"/>
          </w:tcPr>
          <w:p w14:paraId="03487AC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2.485</w:t>
            </w:r>
          </w:p>
        </w:tc>
        <w:tc>
          <w:tcPr>
            <w:tcW w:w="1177" w:type="dxa"/>
            <w:tcBorders>
              <w:top w:val="nil"/>
              <w:left w:val="nil"/>
              <w:bottom w:val="nil"/>
              <w:right w:val="nil"/>
            </w:tcBorders>
            <w:shd w:val="clear" w:color="auto" w:fill="auto"/>
            <w:vAlign w:val="center"/>
          </w:tcPr>
          <w:p w14:paraId="0E9A477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2.487</w:t>
            </w:r>
          </w:p>
        </w:tc>
        <w:tc>
          <w:tcPr>
            <w:tcW w:w="1120" w:type="dxa"/>
            <w:tcBorders>
              <w:top w:val="nil"/>
              <w:left w:val="nil"/>
              <w:bottom w:val="nil"/>
              <w:right w:val="nil"/>
            </w:tcBorders>
            <w:shd w:val="clear" w:color="auto" w:fill="auto"/>
            <w:vAlign w:val="center"/>
          </w:tcPr>
          <w:p w14:paraId="4FB42B5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2.433</w:t>
            </w:r>
          </w:p>
        </w:tc>
        <w:tc>
          <w:tcPr>
            <w:tcW w:w="1140" w:type="dxa"/>
            <w:tcBorders>
              <w:top w:val="nil"/>
              <w:left w:val="nil"/>
              <w:bottom w:val="nil"/>
              <w:right w:val="single" w:sz="4" w:space="0" w:color="808080"/>
            </w:tcBorders>
            <w:shd w:val="clear" w:color="auto" w:fill="auto"/>
            <w:vAlign w:val="center"/>
          </w:tcPr>
          <w:p w14:paraId="4DEED52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2.394</w:t>
            </w:r>
          </w:p>
        </w:tc>
      </w:tr>
      <w:tr w:rsidR="00B22E86" w:rsidRPr="00B22E86" w14:paraId="72388B7D" w14:textId="77777777" w:rsidTr="00B22E86">
        <w:trPr>
          <w:cantSplit/>
          <w:jc w:val="center"/>
        </w:trPr>
        <w:tc>
          <w:tcPr>
            <w:tcW w:w="6640" w:type="dxa"/>
            <w:shd w:val="clear" w:color="auto" w:fill="auto"/>
            <w:vAlign w:val="center"/>
            <w:hideMark/>
          </w:tcPr>
          <w:p w14:paraId="0D0B6548" w14:textId="77777777" w:rsidR="00B22E86" w:rsidRPr="00B22E86" w:rsidRDefault="00B22E86" w:rsidP="00B22E86">
            <w:pPr>
              <w:tabs>
                <w:tab w:val="left" w:pos="312"/>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4. Λοιποί φόροι επί παραγωγής</w:t>
            </w:r>
          </w:p>
        </w:tc>
        <w:tc>
          <w:tcPr>
            <w:tcW w:w="1120" w:type="dxa"/>
            <w:tcBorders>
              <w:top w:val="nil"/>
              <w:left w:val="nil"/>
              <w:bottom w:val="nil"/>
              <w:right w:val="nil"/>
            </w:tcBorders>
            <w:shd w:val="clear" w:color="auto" w:fill="auto"/>
            <w:vAlign w:val="center"/>
          </w:tcPr>
          <w:p w14:paraId="093932D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1.227</w:t>
            </w:r>
          </w:p>
        </w:tc>
        <w:tc>
          <w:tcPr>
            <w:tcW w:w="1177" w:type="dxa"/>
            <w:tcBorders>
              <w:top w:val="nil"/>
              <w:left w:val="nil"/>
              <w:bottom w:val="nil"/>
              <w:right w:val="nil"/>
            </w:tcBorders>
            <w:shd w:val="clear" w:color="auto" w:fill="auto"/>
            <w:vAlign w:val="center"/>
          </w:tcPr>
          <w:p w14:paraId="725FC747"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593</w:t>
            </w:r>
          </w:p>
        </w:tc>
        <w:tc>
          <w:tcPr>
            <w:tcW w:w="1120" w:type="dxa"/>
            <w:tcBorders>
              <w:top w:val="nil"/>
              <w:left w:val="nil"/>
              <w:bottom w:val="nil"/>
              <w:right w:val="nil"/>
            </w:tcBorders>
            <w:shd w:val="clear" w:color="auto" w:fill="auto"/>
            <w:vAlign w:val="center"/>
          </w:tcPr>
          <w:p w14:paraId="5F6CEDF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615</w:t>
            </w:r>
          </w:p>
        </w:tc>
        <w:tc>
          <w:tcPr>
            <w:tcW w:w="1140" w:type="dxa"/>
            <w:tcBorders>
              <w:top w:val="nil"/>
              <w:left w:val="nil"/>
              <w:bottom w:val="nil"/>
              <w:right w:val="single" w:sz="4" w:space="0" w:color="808080"/>
            </w:tcBorders>
            <w:shd w:val="clear" w:color="auto" w:fill="auto"/>
            <w:vAlign w:val="center"/>
          </w:tcPr>
          <w:p w14:paraId="70F1403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460</w:t>
            </w:r>
          </w:p>
        </w:tc>
      </w:tr>
      <w:tr w:rsidR="00B22E86" w:rsidRPr="00B22E86" w14:paraId="52C93DDC" w14:textId="77777777" w:rsidTr="00B22E86">
        <w:trPr>
          <w:cantSplit/>
          <w:jc w:val="center"/>
        </w:trPr>
        <w:tc>
          <w:tcPr>
            <w:tcW w:w="6640" w:type="dxa"/>
            <w:shd w:val="clear" w:color="auto" w:fill="auto"/>
            <w:vAlign w:val="center"/>
            <w:hideMark/>
          </w:tcPr>
          <w:p w14:paraId="7E4C25A1" w14:textId="77777777" w:rsidR="00B22E86" w:rsidRPr="00B22E86" w:rsidRDefault="00B22E86" w:rsidP="00B22E86">
            <w:pPr>
              <w:tabs>
                <w:tab w:val="left" w:pos="312"/>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 xml:space="preserve">5. Φόρος εισοδήματος </w:t>
            </w:r>
          </w:p>
        </w:tc>
        <w:tc>
          <w:tcPr>
            <w:tcW w:w="1120" w:type="dxa"/>
            <w:tcBorders>
              <w:top w:val="nil"/>
              <w:left w:val="nil"/>
              <w:bottom w:val="nil"/>
              <w:right w:val="nil"/>
            </w:tcBorders>
            <w:shd w:val="clear" w:color="auto" w:fill="auto"/>
            <w:vAlign w:val="center"/>
          </w:tcPr>
          <w:p w14:paraId="4A4C8EF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21.589</w:t>
            </w:r>
          </w:p>
        </w:tc>
        <w:tc>
          <w:tcPr>
            <w:tcW w:w="1177" w:type="dxa"/>
            <w:tcBorders>
              <w:top w:val="nil"/>
              <w:left w:val="nil"/>
              <w:bottom w:val="nil"/>
              <w:right w:val="nil"/>
            </w:tcBorders>
            <w:shd w:val="clear" w:color="auto" w:fill="auto"/>
            <w:vAlign w:val="center"/>
          </w:tcPr>
          <w:p w14:paraId="761689B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21.652</w:t>
            </w:r>
          </w:p>
        </w:tc>
        <w:tc>
          <w:tcPr>
            <w:tcW w:w="1120" w:type="dxa"/>
            <w:tcBorders>
              <w:top w:val="nil"/>
              <w:left w:val="nil"/>
              <w:bottom w:val="nil"/>
              <w:right w:val="nil"/>
            </w:tcBorders>
            <w:shd w:val="clear" w:color="auto" w:fill="auto"/>
            <w:vAlign w:val="center"/>
          </w:tcPr>
          <w:p w14:paraId="59AD99A7"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24.203</w:t>
            </w:r>
          </w:p>
        </w:tc>
        <w:tc>
          <w:tcPr>
            <w:tcW w:w="1140" w:type="dxa"/>
            <w:tcBorders>
              <w:top w:val="nil"/>
              <w:left w:val="nil"/>
              <w:bottom w:val="nil"/>
              <w:right w:val="single" w:sz="4" w:space="0" w:color="808080"/>
            </w:tcBorders>
            <w:shd w:val="clear" w:color="auto" w:fill="auto"/>
            <w:vAlign w:val="center"/>
          </w:tcPr>
          <w:p w14:paraId="73EC7EC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25.212</w:t>
            </w:r>
          </w:p>
        </w:tc>
      </w:tr>
      <w:tr w:rsidR="00B22E86" w:rsidRPr="00B22E86" w14:paraId="53FD3759" w14:textId="77777777" w:rsidTr="00B22E86">
        <w:trPr>
          <w:cantSplit/>
          <w:jc w:val="center"/>
        </w:trPr>
        <w:tc>
          <w:tcPr>
            <w:tcW w:w="6640" w:type="dxa"/>
            <w:shd w:val="clear" w:color="auto" w:fill="auto"/>
            <w:vAlign w:val="center"/>
            <w:hideMark/>
          </w:tcPr>
          <w:p w14:paraId="0D57148A" w14:textId="77777777" w:rsidR="00B22E86" w:rsidRPr="00B22E86" w:rsidRDefault="00B22E86" w:rsidP="00B22E86">
            <w:pPr>
              <w:tabs>
                <w:tab w:val="left" w:pos="313"/>
                <w:tab w:val="left" w:pos="1439"/>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εκ των οποίων:</w:t>
            </w:r>
            <w:r w:rsidRPr="00B22E86">
              <w:rPr>
                <w:rFonts w:ascii="Arial" w:eastAsia="Times New Roman" w:hAnsi="Arial" w:cs="Arial"/>
                <w:sz w:val="15"/>
                <w:szCs w:val="15"/>
                <w:lang w:eastAsia="el-GR"/>
              </w:rPr>
              <w:tab/>
              <w:t xml:space="preserve">Φόρος εισοδήματος πληρωτέος από φυσικά πρόσωπα (ΦΠ) </w:t>
            </w:r>
          </w:p>
        </w:tc>
        <w:tc>
          <w:tcPr>
            <w:tcW w:w="1120" w:type="dxa"/>
            <w:tcBorders>
              <w:top w:val="nil"/>
              <w:left w:val="nil"/>
              <w:bottom w:val="nil"/>
              <w:right w:val="nil"/>
            </w:tcBorders>
            <w:shd w:val="clear" w:color="auto" w:fill="auto"/>
            <w:vAlign w:val="center"/>
          </w:tcPr>
          <w:p w14:paraId="60BBB00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12.705</w:t>
            </w:r>
          </w:p>
        </w:tc>
        <w:tc>
          <w:tcPr>
            <w:tcW w:w="1177" w:type="dxa"/>
            <w:tcBorders>
              <w:top w:val="nil"/>
              <w:left w:val="nil"/>
              <w:bottom w:val="nil"/>
              <w:right w:val="nil"/>
            </w:tcBorders>
            <w:shd w:val="clear" w:color="auto" w:fill="auto"/>
            <w:vAlign w:val="center"/>
          </w:tcPr>
          <w:p w14:paraId="1B5CB15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13.337</w:t>
            </w:r>
          </w:p>
        </w:tc>
        <w:tc>
          <w:tcPr>
            <w:tcW w:w="1120" w:type="dxa"/>
            <w:tcBorders>
              <w:top w:val="nil"/>
              <w:left w:val="nil"/>
              <w:bottom w:val="nil"/>
              <w:right w:val="nil"/>
            </w:tcBorders>
            <w:shd w:val="clear" w:color="auto" w:fill="auto"/>
            <w:vAlign w:val="center"/>
          </w:tcPr>
          <w:p w14:paraId="4E0D3F2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14.363</w:t>
            </w:r>
          </w:p>
        </w:tc>
        <w:tc>
          <w:tcPr>
            <w:tcW w:w="1140" w:type="dxa"/>
            <w:tcBorders>
              <w:top w:val="nil"/>
              <w:left w:val="nil"/>
              <w:bottom w:val="nil"/>
              <w:right w:val="single" w:sz="4" w:space="0" w:color="808080"/>
            </w:tcBorders>
            <w:shd w:val="clear" w:color="auto" w:fill="auto"/>
            <w:vAlign w:val="center"/>
          </w:tcPr>
          <w:p w14:paraId="6D3CE3D4"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15.244</w:t>
            </w:r>
          </w:p>
        </w:tc>
      </w:tr>
      <w:tr w:rsidR="00B22E86" w:rsidRPr="00B22E86" w14:paraId="5A1B257C" w14:textId="77777777" w:rsidTr="00B22E86">
        <w:trPr>
          <w:cantSplit/>
          <w:jc w:val="center"/>
        </w:trPr>
        <w:tc>
          <w:tcPr>
            <w:tcW w:w="6640" w:type="dxa"/>
            <w:shd w:val="clear" w:color="auto" w:fill="auto"/>
            <w:vAlign w:val="center"/>
            <w:hideMark/>
          </w:tcPr>
          <w:p w14:paraId="34412A93" w14:textId="77777777" w:rsidR="00B22E86" w:rsidRPr="00B22E86" w:rsidRDefault="00B22E86" w:rsidP="00B22E86">
            <w:pPr>
              <w:tabs>
                <w:tab w:val="left" w:pos="313"/>
                <w:tab w:val="left" w:pos="1439"/>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r>
            <w:r w:rsidRPr="00B22E86">
              <w:rPr>
                <w:rFonts w:ascii="Arial" w:eastAsia="Times New Roman" w:hAnsi="Arial" w:cs="Arial"/>
                <w:sz w:val="15"/>
                <w:szCs w:val="15"/>
                <w:lang w:eastAsia="el-GR"/>
              </w:rPr>
              <w:tab/>
              <w:t xml:space="preserve">Φόρος εισοδήματος πληρωτέος από εταιρείες (ΝΠ) </w:t>
            </w:r>
          </w:p>
        </w:tc>
        <w:tc>
          <w:tcPr>
            <w:tcW w:w="1120" w:type="dxa"/>
            <w:tcBorders>
              <w:top w:val="nil"/>
              <w:left w:val="nil"/>
              <w:bottom w:val="nil"/>
              <w:right w:val="nil"/>
            </w:tcBorders>
            <w:shd w:val="clear" w:color="auto" w:fill="auto"/>
            <w:vAlign w:val="center"/>
          </w:tcPr>
          <w:p w14:paraId="430B09B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7.175</w:t>
            </w:r>
          </w:p>
        </w:tc>
        <w:tc>
          <w:tcPr>
            <w:tcW w:w="1177" w:type="dxa"/>
            <w:tcBorders>
              <w:top w:val="nil"/>
              <w:left w:val="nil"/>
              <w:bottom w:val="nil"/>
              <w:right w:val="nil"/>
            </w:tcBorders>
            <w:shd w:val="clear" w:color="auto" w:fill="auto"/>
            <w:vAlign w:val="center"/>
          </w:tcPr>
          <w:p w14:paraId="197F9F4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6.696</w:t>
            </w:r>
          </w:p>
        </w:tc>
        <w:tc>
          <w:tcPr>
            <w:tcW w:w="1120" w:type="dxa"/>
            <w:tcBorders>
              <w:top w:val="nil"/>
              <w:left w:val="nil"/>
              <w:bottom w:val="nil"/>
              <w:right w:val="nil"/>
            </w:tcBorders>
            <w:shd w:val="clear" w:color="auto" w:fill="auto"/>
            <w:vAlign w:val="center"/>
          </w:tcPr>
          <w:p w14:paraId="500EF1D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7.852</w:t>
            </w:r>
          </w:p>
        </w:tc>
        <w:tc>
          <w:tcPr>
            <w:tcW w:w="1140" w:type="dxa"/>
            <w:tcBorders>
              <w:top w:val="nil"/>
              <w:left w:val="nil"/>
              <w:bottom w:val="nil"/>
              <w:right w:val="single" w:sz="4" w:space="0" w:color="808080"/>
            </w:tcBorders>
            <w:shd w:val="clear" w:color="auto" w:fill="auto"/>
            <w:vAlign w:val="center"/>
          </w:tcPr>
          <w:p w14:paraId="686086A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7.972</w:t>
            </w:r>
          </w:p>
        </w:tc>
      </w:tr>
      <w:tr w:rsidR="00B22E86" w:rsidRPr="00B22E86" w14:paraId="76130A2B" w14:textId="77777777" w:rsidTr="00B22E86">
        <w:trPr>
          <w:cantSplit/>
          <w:jc w:val="center"/>
        </w:trPr>
        <w:tc>
          <w:tcPr>
            <w:tcW w:w="6640" w:type="dxa"/>
            <w:shd w:val="clear" w:color="auto" w:fill="auto"/>
            <w:vAlign w:val="center"/>
            <w:hideMark/>
          </w:tcPr>
          <w:p w14:paraId="5E79FE4E" w14:textId="77777777" w:rsidR="00B22E86" w:rsidRPr="00B22E86" w:rsidRDefault="00B22E86" w:rsidP="00B22E86">
            <w:pPr>
              <w:tabs>
                <w:tab w:val="left" w:pos="312"/>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 xml:space="preserve">6. Φόροι κεφαλαίου </w:t>
            </w:r>
          </w:p>
        </w:tc>
        <w:tc>
          <w:tcPr>
            <w:tcW w:w="1120" w:type="dxa"/>
            <w:tcBorders>
              <w:top w:val="nil"/>
              <w:left w:val="nil"/>
              <w:bottom w:val="nil"/>
              <w:right w:val="nil"/>
            </w:tcBorders>
            <w:shd w:val="clear" w:color="auto" w:fill="auto"/>
            <w:vAlign w:val="center"/>
          </w:tcPr>
          <w:p w14:paraId="091DE4A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228</w:t>
            </w:r>
          </w:p>
        </w:tc>
        <w:tc>
          <w:tcPr>
            <w:tcW w:w="1177" w:type="dxa"/>
            <w:tcBorders>
              <w:top w:val="nil"/>
              <w:left w:val="nil"/>
              <w:bottom w:val="nil"/>
              <w:right w:val="nil"/>
            </w:tcBorders>
            <w:shd w:val="clear" w:color="auto" w:fill="auto"/>
            <w:vAlign w:val="center"/>
          </w:tcPr>
          <w:p w14:paraId="5AD8DCB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239</w:t>
            </w:r>
          </w:p>
        </w:tc>
        <w:tc>
          <w:tcPr>
            <w:tcW w:w="1120" w:type="dxa"/>
            <w:tcBorders>
              <w:top w:val="nil"/>
              <w:left w:val="nil"/>
              <w:bottom w:val="nil"/>
              <w:right w:val="nil"/>
            </w:tcBorders>
            <w:shd w:val="clear" w:color="auto" w:fill="auto"/>
            <w:vAlign w:val="center"/>
          </w:tcPr>
          <w:p w14:paraId="4C98255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235</w:t>
            </w:r>
          </w:p>
        </w:tc>
        <w:tc>
          <w:tcPr>
            <w:tcW w:w="1140" w:type="dxa"/>
            <w:tcBorders>
              <w:top w:val="nil"/>
              <w:left w:val="nil"/>
              <w:bottom w:val="nil"/>
              <w:right w:val="single" w:sz="4" w:space="0" w:color="808080"/>
            </w:tcBorders>
            <w:shd w:val="clear" w:color="auto" w:fill="auto"/>
            <w:vAlign w:val="center"/>
          </w:tcPr>
          <w:p w14:paraId="03DDFBD7"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235</w:t>
            </w:r>
          </w:p>
        </w:tc>
      </w:tr>
      <w:tr w:rsidR="00B22E86" w:rsidRPr="00B22E86" w14:paraId="00932658" w14:textId="77777777" w:rsidTr="00B22E86">
        <w:trPr>
          <w:cantSplit/>
          <w:jc w:val="center"/>
        </w:trPr>
        <w:tc>
          <w:tcPr>
            <w:tcW w:w="6640" w:type="dxa"/>
            <w:shd w:val="clear" w:color="auto" w:fill="auto"/>
            <w:vAlign w:val="center"/>
            <w:hideMark/>
          </w:tcPr>
          <w:p w14:paraId="537A141F" w14:textId="77777777" w:rsidR="00B22E86" w:rsidRPr="00B22E86" w:rsidRDefault="00B22E86" w:rsidP="00B22E86">
            <w:pPr>
              <w:tabs>
                <w:tab w:val="left" w:pos="312"/>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 xml:space="preserve">7. Λοιποί τρέχοντες φόροι </w:t>
            </w:r>
          </w:p>
        </w:tc>
        <w:tc>
          <w:tcPr>
            <w:tcW w:w="1120" w:type="dxa"/>
            <w:tcBorders>
              <w:top w:val="nil"/>
              <w:left w:val="nil"/>
              <w:bottom w:val="nil"/>
              <w:right w:val="nil"/>
            </w:tcBorders>
            <w:shd w:val="clear" w:color="auto" w:fill="auto"/>
            <w:vAlign w:val="center"/>
          </w:tcPr>
          <w:p w14:paraId="0D62D6E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2.539</w:t>
            </w:r>
          </w:p>
        </w:tc>
        <w:tc>
          <w:tcPr>
            <w:tcW w:w="1177" w:type="dxa"/>
            <w:tcBorders>
              <w:top w:val="nil"/>
              <w:left w:val="nil"/>
              <w:bottom w:val="nil"/>
              <w:right w:val="nil"/>
            </w:tcBorders>
            <w:shd w:val="clear" w:color="auto" w:fill="auto"/>
            <w:vAlign w:val="center"/>
          </w:tcPr>
          <w:p w14:paraId="23DA6BF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2.428</w:t>
            </w:r>
          </w:p>
        </w:tc>
        <w:tc>
          <w:tcPr>
            <w:tcW w:w="1120" w:type="dxa"/>
            <w:tcBorders>
              <w:top w:val="nil"/>
              <w:left w:val="nil"/>
              <w:bottom w:val="nil"/>
              <w:right w:val="nil"/>
            </w:tcBorders>
            <w:shd w:val="clear" w:color="auto" w:fill="auto"/>
            <w:vAlign w:val="center"/>
          </w:tcPr>
          <w:p w14:paraId="0D6D216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2.474</w:t>
            </w:r>
          </w:p>
        </w:tc>
        <w:tc>
          <w:tcPr>
            <w:tcW w:w="1140" w:type="dxa"/>
            <w:tcBorders>
              <w:top w:val="nil"/>
              <w:left w:val="nil"/>
              <w:bottom w:val="nil"/>
              <w:right w:val="single" w:sz="4" w:space="0" w:color="808080"/>
            </w:tcBorders>
            <w:shd w:val="clear" w:color="auto" w:fill="auto"/>
            <w:vAlign w:val="center"/>
          </w:tcPr>
          <w:p w14:paraId="2EA810A4"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2.523</w:t>
            </w:r>
          </w:p>
        </w:tc>
      </w:tr>
      <w:tr w:rsidR="00B22E86" w:rsidRPr="00B22E86" w14:paraId="76D9AA4C" w14:textId="77777777" w:rsidTr="00B22E86">
        <w:trPr>
          <w:cantSplit/>
          <w:jc w:val="center"/>
        </w:trPr>
        <w:tc>
          <w:tcPr>
            <w:tcW w:w="6640" w:type="dxa"/>
            <w:shd w:val="clear" w:color="auto" w:fill="auto"/>
            <w:vAlign w:val="center"/>
            <w:hideMark/>
          </w:tcPr>
          <w:p w14:paraId="2832AB61"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β.</w:t>
            </w:r>
            <w:r w:rsidRPr="00B22E86">
              <w:rPr>
                <w:rFonts w:ascii="Arial" w:eastAsia="Times New Roman" w:hAnsi="Arial" w:cs="Arial"/>
                <w:b/>
                <w:bCs/>
                <w:sz w:val="15"/>
                <w:szCs w:val="15"/>
                <w:lang w:eastAsia="el-GR"/>
              </w:rPr>
              <w:tab/>
              <w:t xml:space="preserve">Κοινωνικές εισφορές </w:t>
            </w:r>
          </w:p>
        </w:tc>
        <w:tc>
          <w:tcPr>
            <w:tcW w:w="1120" w:type="dxa"/>
            <w:tcBorders>
              <w:top w:val="nil"/>
              <w:left w:val="nil"/>
              <w:bottom w:val="nil"/>
              <w:right w:val="nil"/>
            </w:tcBorders>
            <w:shd w:val="clear" w:color="auto" w:fill="auto"/>
            <w:vAlign w:val="center"/>
          </w:tcPr>
          <w:p w14:paraId="3AE55E90"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58</w:t>
            </w:r>
          </w:p>
        </w:tc>
        <w:tc>
          <w:tcPr>
            <w:tcW w:w="1177" w:type="dxa"/>
            <w:tcBorders>
              <w:top w:val="nil"/>
              <w:left w:val="nil"/>
              <w:bottom w:val="nil"/>
              <w:right w:val="nil"/>
            </w:tcBorders>
            <w:shd w:val="clear" w:color="auto" w:fill="auto"/>
            <w:vAlign w:val="center"/>
          </w:tcPr>
          <w:p w14:paraId="0C6993BE"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56</w:t>
            </w:r>
          </w:p>
        </w:tc>
        <w:tc>
          <w:tcPr>
            <w:tcW w:w="1120" w:type="dxa"/>
            <w:tcBorders>
              <w:top w:val="nil"/>
              <w:left w:val="nil"/>
              <w:bottom w:val="nil"/>
              <w:right w:val="nil"/>
            </w:tcBorders>
            <w:shd w:val="clear" w:color="auto" w:fill="auto"/>
            <w:vAlign w:val="center"/>
          </w:tcPr>
          <w:p w14:paraId="49559E83"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60</w:t>
            </w:r>
          </w:p>
        </w:tc>
        <w:tc>
          <w:tcPr>
            <w:tcW w:w="1140" w:type="dxa"/>
            <w:tcBorders>
              <w:top w:val="nil"/>
              <w:left w:val="nil"/>
              <w:bottom w:val="nil"/>
              <w:right w:val="single" w:sz="4" w:space="0" w:color="808080"/>
            </w:tcBorders>
            <w:shd w:val="clear" w:color="auto" w:fill="auto"/>
            <w:vAlign w:val="center"/>
          </w:tcPr>
          <w:p w14:paraId="74AEF428"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60</w:t>
            </w:r>
          </w:p>
        </w:tc>
      </w:tr>
      <w:tr w:rsidR="00B22E86" w:rsidRPr="00B22E86" w14:paraId="69590739" w14:textId="77777777" w:rsidTr="00B22E86">
        <w:trPr>
          <w:cantSplit/>
          <w:jc w:val="center"/>
        </w:trPr>
        <w:tc>
          <w:tcPr>
            <w:tcW w:w="6640" w:type="dxa"/>
            <w:shd w:val="clear" w:color="auto" w:fill="auto"/>
            <w:vAlign w:val="center"/>
            <w:hideMark/>
          </w:tcPr>
          <w:p w14:paraId="17672AE9"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γ.</w:t>
            </w:r>
            <w:r w:rsidRPr="00B22E86">
              <w:rPr>
                <w:rFonts w:ascii="Arial" w:eastAsia="Times New Roman" w:hAnsi="Arial" w:cs="Arial"/>
                <w:b/>
                <w:bCs/>
                <w:sz w:val="15"/>
                <w:szCs w:val="15"/>
                <w:lang w:eastAsia="el-GR"/>
              </w:rPr>
              <w:tab/>
              <w:t xml:space="preserve">Μεταβιβάσεις </w:t>
            </w:r>
          </w:p>
        </w:tc>
        <w:tc>
          <w:tcPr>
            <w:tcW w:w="1120" w:type="dxa"/>
            <w:tcBorders>
              <w:top w:val="nil"/>
              <w:left w:val="nil"/>
              <w:bottom w:val="nil"/>
              <w:right w:val="nil"/>
            </w:tcBorders>
            <w:shd w:val="clear" w:color="auto" w:fill="auto"/>
            <w:vAlign w:val="center"/>
          </w:tcPr>
          <w:p w14:paraId="6BE5E583"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6.293</w:t>
            </w:r>
          </w:p>
        </w:tc>
        <w:tc>
          <w:tcPr>
            <w:tcW w:w="1177" w:type="dxa"/>
            <w:tcBorders>
              <w:top w:val="nil"/>
              <w:left w:val="nil"/>
              <w:bottom w:val="nil"/>
              <w:right w:val="nil"/>
            </w:tcBorders>
            <w:shd w:val="clear" w:color="auto" w:fill="auto"/>
            <w:vAlign w:val="center"/>
          </w:tcPr>
          <w:p w14:paraId="6DA2CD9F"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6.902</w:t>
            </w:r>
          </w:p>
        </w:tc>
        <w:tc>
          <w:tcPr>
            <w:tcW w:w="1120" w:type="dxa"/>
            <w:tcBorders>
              <w:top w:val="nil"/>
              <w:left w:val="nil"/>
              <w:bottom w:val="nil"/>
              <w:right w:val="nil"/>
            </w:tcBorders>
            <w:shd w:val="clear" w:color="auto" w:fill="auto"/>
            <w:vAlign w:val="center"/>
          </w:tcPr>
          <w:p w14:paraId="19B7307E"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6.588</w:t>
            </w:r>
          </w:p>
        </w:tc>
        <w:tc>
          <w:tcPr>
            <w:tcW w:w="1140" w:type="dxa"/>
            <w:tcBorders>
              <w:top w:val="nil"/>
              <w:left w:val="nil"/>
              <w:bottom w:val="nil"/>
              <w:right w:val="single" w:sz="4" w:space="0" w:color="808080"/>
            </w:tcBorders>
            <w:shd w:val="clear" w:color="auto" w:fill="auto"/>
            <w:vAlign w:val="center"/>
          </w:tcPr>
          <w:p w14:paraId="23CC22A0"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8.794</w:t>
            </w:r>
          </w:p>
        </w:tc>
      </w:tr>
      <w:tr w:rsidR="00B22E86" w:rsidRPr="00B22E86" w14:paraId="0F4C2585" w14:textId="77777777" w:rsidTr="00B22E86">
        <w:trPr>
          <w:cantSplit/>
          <w:jc w:val="center"/>
        </w:trPr>
        <w:tc>
          <w:tcPr>
            <w:tcW w:w="6640" w:type="dxa"/>
            <w:shd w:val="clear" w:color="auto" w:fill="auto"/>
            <w:vAlign w:val="center"/>
            <w:hideMark/>
          </w:tcPr>
          <w:p w14:paraId="17771144"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δ.</w:t>
            </w:r>
            <w:r w:rsidRPr="00B22E86">
              <w:rPr>
                <w:rFonts w:ascii="Arial" w:eastAsia="Times New Roman" w:hAnsi="Arial" w:cs="Arial"/>
                <w:b/>
                <w:bCs/>
                <w:sz w:val="15"/>
                <w:szCs w:val="15"/>
                <w:lang w:eastAsia="el-GR"/>
              </w:rPr>
              <w:tab/>
              <w:t xml:space="preserve">Πωλήσεις αγαθών και υπηρεσιών </w:t>
            </w:r>
          </w:p>
        </w:tc>
        <w:tc>
          <w:tcPr>
            <w:tcW w:w="1120" w:type="dxa"/>
            <w:tcBorders>
              <w:top w:val="nil"/>
              <w:left w:val="nil"/>
              <w:bottom w:val="nil"/>
              <w:right w:val="nil"/>
            </w:tcBorders>
            <w:shd w:val="clear" w:color="auto" w:fill="auto"/>
            <w:vAlign w:val="center"/>
          </w:tcPr>
          <w:p w14:paraId="4DDE2556"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785</w:t>
            </w:r>
          </w:p>
        </w:tc>
        <w:tc>
          <w:tcPr>
            <w:tcW w:w="1177" w:type="dxa"/>
            <w:tcBorders>
              <w:top w:val="nil"/>
              <w:left w:val="nil"/>
              <w:bottom w:val="nil"/>
              <w:right w:val="nil"/>
            </w:tcBorders>
            <w:shd w:val="clear" w:color="auto" w:fill="auto"/>
            <w:vAlign w:val="center"/>
          </w:tcPr>
          <w:p w14:paraId="5E4B2098"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889</w:t>
            </w:r>
          </w:p>
        </w:tc>
        <w:tc>
          <w:tcPr>
            <w:tcW w:w="1120" w:type="dxa"/>
            <w:tcBorders>
              <w:top w:val="nil"/>
              <w:left w:val="nil"/>
              <w:bottom w:val="nil"/>
              <w:right w:val="nil"/>
            </w:tcBorders>
            <w:shd w:val="clear" w:color="auto" w:fill="auto"/>
            <w:vAlign w:val="center"/>
          </w:tcPr>
          <w:p w14:paraId="032E4495"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856</w:t>
            </w:r>
          </w:p>
        </w:tc>
        <w:tc>
          <w:tcPr>
            <w:tcW w:w="1140" w:type="dxa"/>
            <w:tcBorders>
              <w:top w:val="nil"/>
              <w:left w:val="nil"/>
              <w:bottom w:val="nil"/>
              <w:right w:val="single" w:sz="4" w:space="0" w:color="808080"/>
            </w:tcBorders>
            <w:shd w:val="clear" w:color="auto" w:fill="auto"/>
            <w:vAlign w:val="center"/>
          </w:tcPr>
          <w:p w14:paraId="2109C80C"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965</w:t>
            </w:r>
          </w:p>
        </w:tc>
      </w:tr>
      <w:tr w:rsidR="00B22E86" w:rsidRPr="00B22E86" w14:paraId="333A13D6" w14:textId="77777777" w:rsidTr="00B22E86">
        <w:trPr>
          <w:cantSplit/>
          <w:jc w:val="center"/>
        </w:trPr>
        <w:tc>
          <w:tcPr>
            <w:tcW w:w="6640" w:type="dxa"/>
            <w:shd w:val="clear" w:color="auto" w:fill="auto"/>
            <w:vAlign w:val="center"/>
            <w:hideMark/>
          </w:tcPr>
          <w:p w14:paraId="7748096C"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lastRenderedPageBreak/>
              <w:t>ε.</w:t>
            </w:r>
            <w:r w:rsidRPr="00B22E86">
              <w:rPr>
                <w:rFonts w:ascii="Arial" w:eastAsia="Times New Roman" w:hAnsi="Arial" w:cs="Arial"/>
                <w:b/>
                <w:bCs/>
                <w:sz w:val="15"/>
                <w:szCs w:val="15"/>
                <w:lang w:eastAsia="el-GR"/>
              </w:rPr>
              <w:tab/>
              <w:t xml:space="preserve">Λοιπά τρέχοντα έσοδα </w:t>
            </w:r>
          </w:p>
        </w:tc>
        <w:tc>
          <w:tcPr>
            <w:tcW w:w="1120" w:type="dxa"/>
            <w:tcBorders>
              <w:top w:val="nil"/>
              <w:left w:val="nil"/>
              <w:bottom w:val="nil"/>
              <w:right w:val="nil"/>
            </w:tcBorders>
            <w:shd w:val="clear" w:color="auto" w:fill="auto"/>
            <w:vAlign w:val="center"/>
          </w:tcPr>
          <w:p w14:paraId="219E7796"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3.292</w:t>
            </w:r>
          </w:p>
        </w:tc>
        <w:tc>
          <w:tcPr>
            <w:tcW w:w="1177" w:type="dxa"/>
            <w:tcBorders>
              <w:top w:val="nil"/>
              <w:left w:val="nil"/>
              <w:bottom w:val="nil"/>
              <w:right w:val="nil"/>
            </w:tcBorders>
            <w:shd w:val="clear" w:color="auto" w:fill="auto"/>
            <w:vAlign w:val="center"/>
          </w:tcPr>
          <w:p w14:paraId="575E7900"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4.138</w:t>
            </w:r>
          </w:p>
        </w:tc>
        <w:tc>
          <w:tcPr>
            <w:tcW w:w="1120" w:type="dxa"/>
            <w:tcBorders>
              <w:top w:val="nil"/>
              <w:left w:val="nil"/>
              <w:bottom w:val="nil"/>
              <w:right w:val="nil"/>
            </w:tcBorders>
            <w:shd w:val="clear" w:color="auto" w:fill="auto"/>
            <w:vAlign w:val="center"/>
          </w:tcPr>
          <w:p w14:paraId="5E54E817"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4.209</w:t>
            </w:r>
          </w:p>
        </w:tc>
        <w:tc>
          <w:tcPr>
            <w:tcW w:w="1140" w:type="dxa"/>
            <w:tcBorders>
              <w:top w:val="nil"/>
              <w:left w:val="nil"/>
              <w:bottom w:val="nil"/>
              <w:right w:val="single" w:sz="4" w:space="0" w:color="808080"/>
            </w:tcBorders>
            <w:shd w:val="clear" w:color="auto" w:fill="auto"/>
            <w:vAlign w:val="center"/>
          </w:tcPr>
          <w:p w14:paraId="7A589431"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3.043</w:t>
            </w:r>
          </w:p>
        </w:tc>
      </w:tr>
      <w:tr w:rsidR="00B22E86" w:rsidRPr="00B22E86" w14:paraId="5302B336" w14:textId="77777777" w:rsidTr="00B22E86">
        <w:trPr>
          <w:cantSplit/>
          <w:jc w:val="center"/>
        </w:trPr>
        <w:tc>
          <w:tcPr>
            <w:tcW w:w="6640" w:type="dxa"/>
            <w:shd w:val="clear" w:color="auto" w:fill="auto"/>
            <w:vAlign w:val="center"/>
            <w:hideMark/>
          </w:tcPr>
          <w:p w14:paraId="5617D248"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sz w:val="15"/>
                <w:szCs w:val="15"/>
                <w:lang w:eastAsia="el-GR"/>
              </w:rPr>
              <w:tab/>
              <w:t>εκ των οποίων:</w:t>
            </w:r>
            <w:r w:rsidRPr="00B22E86">
              <w:rPr>
                <w:rFonts w:ascii="Arial" w:eastAsia="Times New Roman" w:hAnsi="Arial" w:cs="Arial"/>
                <w:sz w:val="15"/>
                <w:szCs w:val="15"/>
                <w:lang w:eastAsia="el-GR"/>
              </w:rPr>
              <w:tab/>
              <w:t>ε1. Επιστροφές δαπανών για τόκους</w:t>
            </w:r>
          </w:p>
        </w:tc>
        <w:tc>
          <w:tcPr>
            <w:tcW w:w="1120" w:type="dxa"/>
            <w:tcBorders>
              <w:top w:val="nil"/>
              <w:left w:val="nil"/>
              <w:bottom w:val="nil"/>
              <w:right w:val="nil"/>
            </w:tcBorders>
            <w:shd w:val="clear" w:color="auto" w:fill="auto"/>
            <w:vAlign w:val="center"/>
          </w:tcPr>
          <w:p w14:paraId="6AEAF05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25</w:t>
            </w:r>
          </w:p>
        </w:tc>
        <w:tc>
          <w:tcPr>
            <w:tcW w:w="1177" w:type="dxa"/>
            <w:tcBorders>
              <w:top w:val="nil"/>
              <w:left w:val="nil"/>
              <w:bottom w:val="nil"/>
              <w:right w:val="nil"/>
            </w:tcBorders>
            <w:shd w:val="clear" w:color="auto" w:fill="auto"/>
            <w:vAlign w:val="center"/>
          </w:tcPr>
          <w:p w14:paraId="52123D4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c>
          <w:tcPr>
            <w:tcW w:w="1120" w:type="dxa"/>
            <w:tcBorders>
              <w:top w:val="nil"/>
              <w:left w:val="nil"/>
              <w:bottom w:val="nil"/>
              <w:right w:val="nil"/>
            </w:tcBorders>
            <w:shd w:val="clear" w:color="auto" w:fill="auto"/>
            <w:vAlign w:val="center"/>
          </w:tcPr>
          <w:p w14:paraId="20C67FC7"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45</w:t>
            </w:r>
          </w:p>
        </w:tc>
        <w:tc>
          <w:tcPr>
            <w:tcW w:w="1140" w:type="dxa"/>
            <w:tcBorders>
              <w:top w:val="nil"/>
              <w:left w:val="nil"/>
              <w:bottom w:val="nil"/>
              <w:right w:val="single" w:sz="4" w:space="0" w:color="808080"/>
            </w:tcBorders>
            <w:shd w:val="clear" w:color="auto" w:fill="auto"/>
            <w:vAlign w:val="center"/>
          </w:tcPr>
          <w:p w14:paraId="7A20AFB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r>
      <w:tr w:rsidR="00B22E86" w:rsidRPr="00B22E86" w14:paraId="6F4AE565" w14:textId="77777777" w:rsidTr="00B22E86">
        <w:trPr>
          <w:cantSplit/>
          <w:jc w:val="center"/>
        </w:trPr>
        <w:tc>
          <w:tcPr>
            <w:tcW w:w="6640" w:type="dxa"/>
            <w:shd w:val="clear" w:color="auto" w:fill="auto"/>
            <w:vAlign w:val="center"/>
            <w:hideMark/>
          </w:tcPr>
          <w:p w14:paraId="29A1F875"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proofErr w:type="spellStart"/>
            <w:r w:rsidRPr="00B22E86">
              <w:rPr>
                <w:rFonts w:ascii="Arial" w:eastAsia="Times New Roman" w:hAnsi="Arial" w:cs="Arial"/>
                <w:b/>
                <w:bCs/>
                <w:sz w:val="15"/>
                <w:szCs w:val="15"/>
                <w:lang w:eastAsia="el-GR"/>
              </w:rPr>
              <w:t>στ</w:t>
            </w:r>
            <w:proofErr w:type="spellEnd"/>
            <w:r w:rsidRPr="00B22E86">
              <w:rPr>
                <w:rFonts w:ascii="Arial" w:eastAsia="Times New Roman" w:hAnsi="Arial" w:cs="Arial"/>
                <w:b/>
                <w:bCs/>
                <w:sz w:val="15"/>
                <w:szCs w:val="15"/>
                <w:lang w:eastAsia="el-GR"/>
              </w:rPr>
              <w:t>.</w:t>
            </w:r>
            <w:r w:rsidRPr="00B22E86">
              <w:rPr>
                <w:rFonts w:ascii="Arial" w:eastAsia="Times New Roman" w:hAnsi="Arial" w:cs="Arial"/>
                <w:b/>
                <w:bCs/>
                <w:sz w:val="15"/>
                <w:szCs w:val="15"/>
                <w:lang w:eastAsia="el-GR"/>
              </w:rPr>
              <w:tab/>
              <w:t>Πωλήσεις παγίων περιουσιακών στοιχείων</w:t>
            </w:r>
          </w:p>
        </w:tc>
        <w:tc>
          <w:tcPr>
            <w:tcW w:w="1120" w:type="dxa"/>
            <w:tcBorders>
              <w:top w:val="nil"/>
              <w:left w:val="nil"/>
              <w:bottom w:val="nil"/>
              <w:right w:val="nil"/>
            </w:tcBorders>
            <w:shd w:val="clear" w:color="auto" w:fill="auto"/>
            <w:vAlign w:val="center"/>
          </w:tcPr>
          <w:p w14:paraId="45C5722D"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2</w:t>
            </w:r>
          </w:p>
        </w:tc>
        <w:tc>
          <w:tcPr>
            <w:tcW w:w="1177" w:type="dxa"/>
            <w:tcBorders>
              <w:top w:val="nil"/>
              <w:left w:val="nil"/>
              <w:bottom w:val="nil"/>
              <w:right w:val="nil"/>
            </w:tcBorders>
            <w:shd w:val="clear" w:color="auto" w:fill="auto"/>
            <w:vAlign w:val="center"/>
          </w:tcPr>
          <w:p w14:paraId="42BA01BD"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23</w:t>
            </w:r>
          </w:p>
        </w:tc>
        <w:tc>
          <w:tcPr>
            <w:tcW w:w="1120" w:type="dxa"/>
            <w:tcBorders>
              <w:top w:val="nil"/>
              <w:left w:val="nil"/>
              <w:bottom w:val="nil"/>
              <w:right w:val="nil"/>
            </w:tcBorders>
            <w:shd w:val="clear" w:color="auto" w:fill="auto"/>
            <w:vAlign w:val="center"/>
          </w:tcPr>
          <w:p w14:paraId="74E17DE2"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36</w:t>
            </w:r>
          </w:p>
        </w:tc>
        <w:tc>
          <w:tcPr>
            <w:tcW w:w="1140" w:type="dxa"/>
            <w:tcBorders>
              <w:top w:val="nil"/>
              <w:left w:val="nil"/>
              <w:bottom w:val="nil"/>
              <w:right w:val="single" w:sz="4" w:space="0" w:color="808080"/>
            </w:tcBorders>
            <w:shd w:val="clear" w:color="auto" w:fill="auto"/>
            <w:vAlign w:val="center"/>
          </w:tcPr>
          <w:p w14:paraId="09A73939"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37</w:t>
            </w:r>
          </w:p>
        </w:tc>
      </w:tr>
      <w:tr w:rsidR="00B22E86" w:rsidRPr="00B22E86" w14:paraId="517D8A27" w14:textId="77777777" w:rsidTr="00B22E86">
        <w:trPr>
          <w:cantSplit/>
          <w:jc w:val="center"/>
        </w:trPr>
        <w:tc>
          <w:tcPr>
            <w:tcW w:w="6640" w:type="dxa"/>
            <w:shd w:val="clear" w:color="auto" w:fill="auto"/>
            <w:vAlign w:val="center"/>
            <w:hideMark/>
          </w:tcPr>
          <w:p w14:paraId="274F3B8B"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ζ.</w:t>
            </w:r>
            <w:r w:rsidRPr="00B22E86">
              <w:rPr>
                <w:rFonts w:ascii="Arial" w:eastAsia="Times New Roman" w:hAnsi="Arial" w:cs="Arial"/>
                <w:b/>
                <w:bCs/>
                <w:sz w:val="15"/>
                <w:szCs w:val="15"/>
                <w:lang w:eastAsia="el-GR"/>
              </w:rPr>
              <w:tab/>
              <w:t>Επιστροφές εσόδων</w:t>
            </w:r>
          </w:p>
        </w:tc>
        <w:tc>
          <w:tcPr>
            <w:tcW w:w="1120" w:type="dxa"/>
            <w:tcBorders>
              <w:top w:val="nil"/>
              <w:left w:val="nil"/>
              <w:bottom w:val="nil"/>
              <w:right w:val="nil"/>
            </w:tcBorders>
            <w:shd w:val="clear" w:color="auto" w:fill="auto"/>
            <w:vAlign w:val="center"/>
          </w:tcPr>
          <w:p w14:paraId="25AC140C"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6.887</w:t>
            </w:r>
          </w:p>
        </w:tc>
        <w:tc>
          <w:tcPr>
            <w:tcW w:w="1177" w:type="dxa"/>
            <w:tcBorders>
              <w:top w:val="nil"/>
              <w:left w:val="nil"/>
              <w:bottom w:val="nil"/>
              <w:right w:val="nil"/>
            </w:tcBorders>
            <w:shd w:val="clear" w:color="auto" w:fill="auto"/>
            <w:vAlign w:val="center"/>
          </w:tcPr>
          <w:p w14:paraId="5589CDF3"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6.588</w:t>
            </w:r>
          </w:p>
        </w:tc>
        <w:tc>
          <w:tcPr>
            <w:tcW w:w="1120" w:type="dxa"/>
            <w:tcBorders>
              <w:top w:val="nil"/>
              <w:left w:val="nil"/>
              <w:bottom w:val="nil"/>
              <w:right w:val="nil"/>
            </w:tcBorders>
            <w:shd w:val="clear" w:color="auto" w:fill="auto"/>
            <w:vAlign w:val="center"/>
          </w:tcPr>
          <w:p w14:paraId="22AEC8F5"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7.322</w:t>
            </w:r>
          </w:p>
        </w:tc>
        <w:tc>
          <w:tcPr>
            <w:tcW w:w="1140" w:type="dxa"/>
            <w:tcBorders>
              <w:top w:val="nil"/>
              <w:left w:val="nil"/>
              <w:bottom w:val="nil"/>
              <w:right w:val="single" w:sz="4" w:space="0" w:color="808080"/>
            </w:tcBorders>
            <w:shd w:val="clear" w:color="auto" w:fill="auto"/>
            <w:vAlign w:val="center"/>
          </w:tcPr>
          <w:p w14:paraId="26602524" w14:textId="77777777" w:rsidR="00B22E86" w:rsidRPr="00B22E86" w:rsidRDefault="00B22E86" w:rsidP="00B22E86">
            <w:pPr>
              <w:spacing w:after="0" w:line="240" w:lineRule="auto"/>
              <w:jc w:val="right"/>
              <w:rPr>
                <w:rFonts w:ascii="Arial" w:eastAsia="Times New Roman" w:hAnsi="Arial" w:cs="Arial"/>
                <w:b/>
                <w:sz w:val="15"/>
                <w:szCs w:val="15"/>
                <w:lang w:eastAsia="el-GR"/>
              </w:rPr>
            </w:pPr>
            <w:r w:rsidRPr="00B22E86">
              <w:rPr>
                <w:rFonts w:ascii="Arial" w:eastAsia="Times New Roman" w:hAnsi="Arial" w:cs="Arial"/>
                <w:b/>
                <w:sz w:val="15"/>
                <w:szCs w:val="15"/>
                <w:lang w:eastAsia="el-GR"/>
              </w:rPr>
              <w:t>7.529</w:t>
            </w:r>
          </w:p>
        </w:tc>
      </w:tr>
      <w:tr w:rsidR="00B22E86" w:rsidRPr="00B22E86" w14:paraId="1844D85A" w14:textId="77777777" w:rsidTr="00B22E86">
        <w:trPr>
          <w:cantSplit/>
          <w:jc w:val="center"/>
        </w:trPr>
        <w:tc>
          <w:tcPr>
            <w:tcW w:w="6640" w:type="dxa"/>
            <w:shd w:val="clear" w:color="auto" w:fill="auto"/>
            <w:vAlign w:val="center"/>
            <w:hideMark/>
          </w:tcPr>
          <w:p w14:paraId="5829DD39" w14:textId="77777777" w:rsidR="00B22E86" w:rsidRPr="00B22E86" w:rsidRDefault="00B22E86" w:rsidP="00B22E86">
            <w:pPr>
              <w:spacing w:after="0" w:line="240" w:lineRule="auto"/>
              <w:rPr>
                <w:rFonts w:ascii="Arial" w:eastAsia="Times New Roman" w:hAnsi="Arial" w:cs="Arial"/>
                <w:sz w:val="15"/>
                <w:szCs w:val="15"/>
                <w:lang w:eastAsia="el-GR"/>
              </w:rPr>
            </w:pPr>
          </w:p>
        </w:tc>
        <w:tc>
          <w:tcPr>
            <w:tcW w:w="1120" w:type="dxa"/>
            <w:tcBorders>
              <w:top w:val="nil"/>
              <w:left w:val="nil"/>
              <w:bottom w:val="nil"/>
              <w:right w:val="nil"/>
            </w:tcBorders>
            <w:shd w:val="clear" w:color="auto" w:fill="auto"/>
            <w:vAlign w:val="center"/>
          </w:tcPr>
          <w:p w14:paraId="5918B27D"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77" w:type="dxa"/>
            <w:tcBorders>
              <w:top w:val="nil"/>
              <w:left w:val="nil"/>
              <w:bottom w:val="nil"/>
              <w:right w:val="nil"/>
            </w:tcBorders>
            <w:shd w:val="clear" w:color="auto" w:fill="auto"/>
            <w:vAlign w:val="center"/>
          </w:tcPr>
          <w:p w14:paraId="23845CFF"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20" w:type="dxa"/>
            <w:tcBorders>
              <w:top w:val="nil"/>
              <w:left w:val="nil"/>
              <w:bottom w:val="nil"/>
              <w:right w:val="nil"/>
            </w:tcBorders>
            <w:shd w:val="clear" w:color="auto" w:fill="auto"/>
            <w:vAlign w:val="center"/>
          </w:tcPr>
          <w:p w14:paraId="27F07895"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40" w:type="dxa"/>
            <w:tcBorders>
              <w:top w:val="nil"/>
              <w:left w:val="nil"/>
              <w:bottom w:val="nil"/>
              <w:right w:val="single" w:sz="4" w:space="0" w:color="808080"/>
            </w:tcBorders>
            <w:shd w:val="clear" w:color="auto" w:fill="auto"/>
            <w:vAlign w:val="center"/>
          </w:tcPr>
          <w:p w14:paraId="4F4EACB7"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r>
      <w:tr w:rsidR="00B22E86" w:rsidRPr="00B22E86" w14:paraId="0EDB4FAB" w14:textId="77777777" w:rsidTr="00B22E86">
        <w:trPr>
          <w:cantSplit/>
          <w:jc w:val="center"/>
        </w:trPr>
        <w:tc>
          <w:tcPr>
            <w:tcW w:w="6640" w:type="dxa"/>
            <w:shd w:val="clear" w:color="auto" w:fill="auto"/>
            <w:vAlign w:val="center"/>
            <w:hideMark/>
          </w:tcPr>
          <w:p w14:paraId="242CAF71"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Πληροφοριακά στοιχεία:</w:t>
            </w:r>
          </w:p>
        </w:tc>
        <w:tc>
          <w:tcPr>
            <w:tcW w:w="1120" w:type="dxa"/>
            <w:tcBorders>
              <w:top w:val="nil"/>
              <w:left w:val="nil"/>
              <w:bottom w:val="nil"/>
              <w:right w:val="nil"/>
            </w:tcBorders>
            <w:shd w:val="clear" w:color="auto" w:fill="auto"/>
            <w:vAlign w:val="center"/>
          </w:tcPr>
          <w:p w14:paraId="6153451C"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77" w:type="dxa"/>
            <w:tcBorders>
              <w:top w:val="nil"/>
              <w:left w:val="nil"/>
              <w:bottom w:val="nil"/>
              <w:right w:val="nil"/>
            </w:tcBorders>
            <w:shd w:val="clear" w:color="auto" w:fill="auto"/>
            <w:vAlign w:val="center"/>
          </w:tcPr>
          <w:p w14:paraId="528F32D0"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20" w:type="dxa"/>
            <w:tcBorders>
              <w:top w:val="nil"/>
              <w:left w:val="nil"/>
              <w:bottom w:val="nil"/>
              <w:right w:val="nil"/>
            </w:tcBorders>
            <w:shd w:val="clear" w:color="auto" w:fill="auto"/>
            <w:vAlign w:val="center"/>
          </w:tcPr>
          <w:p w14:paraId="5A9D4820"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40" w:type="dxa"/>
            <w:tcBorders>
              <w:top w:val="nil"/>
              <w:left w:val="nil"/>
              <w:bottom w:val="nil"/>
              <w:right w:val="single" w:sz="4" w:space="0" w:color="808080"/>
            </w:tcBorders>
            <w:shd w:val="clear" w:color="auto" w:fill="auto"/>
            <w:vAlign w:val="center"/>
          </w:tcPr>
          <w:p w14:paraId="5EE4E969"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r>
      <w:tr w:rsidR="00B22E86" w:rsidRPr="00B22E86" w14:paraId="6673B57C" w14:textId="77777777" w:rsidTr="00B22E86">
        <w:trPr>
          <w:cantSplit/>
          <w:jc w:val="center"/>
        </w:trPr>
        <w:tc>
          <w:tcPr>
            <w:tcW w:w="6640" w:type="dxa"/>
            <w:shd w:val="clear" w:color="auto" w:fill="auto"/>
            <w:vAlign w:val="center"/>
            <w:hideMark/>
          </w:tcPr>
          <w:p w14:paraId="0E8C0387" w14:textId="77777777" w:rsidR="00B22E86" w:rsidRPr="00B22E86" w:rsidRDefault="00B22E86" w:rsidP="00B22E86">
            <w:pPr>
              <w:spacing w:after="0" w:line="240" w:lineRule="auto"/>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ΑΠΔΕ εκτός ΤΑΑ</w:t>
            </w:r>
            <w:r w:rsidRPr="00B22E86">
              <w:rPr>
                <w:rFonts w:ascii="Arial" w:eastAsia="Times New Roman" w:hAnsi="Arial" w:cs="Arial"/>
                <w:i/>
                <w:iCs/>
                <w:sz w:val="15"/>
                <w:szCs w:val="15"/>
                <w:vertAlign w:val="superscript"/>
                <w:lang w:eastAsia="el-GR"/>
              </w:rPr>
              <w:t>1</w:t>
            </w:r>
          </w:p>
        </w:tc>
        <w:tc>
          <w:tcPr>
            <w:tcW w:w="1120" w:type="dxa"/>
            <w:tcBorders>
              <w:top w:val="nil"/>
              <w:left w:val="nil"/>
              <w:bottom w:val="nil"/>
              <w:right w:val="nil"/>
            </w:tcBorders>
            <w:shd w:val="clear" w:color="auto" w:fill="auto"/>
            <w:vAlign w:val="center"/>
          </w:tcPr>
          <w:p w14:paraId="2C70128F"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3.887</w:t>
            </w:r>
          </w:p>
        </w:tc>
        <w:tc>
          <w:tcPr>
            <w:tcW w:w="1177" w:type="dxa"/>
            <w:tcBorders>
              <w:top w:val="nil"/>
              <w:left w:val="nil"/>
              <w:bottom w:val="nil"/>
              <w:right w:val="nil"/>
            </w:tcBorders>
            <w:shd w:val="clear" w:color="auto" w:fill="auto"/>
            <w:vAlign w:val="center"/>
          </w:tcPr>
          <w:p w14:paraId="6284BA7C"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4.668</w:t>
            </w:r>
          </w:p>
        </w:tc>
        <w:tc>
          <w:tcPr>
            <w:tcW w:w="1120" w:type="dxa"/>
            <w:tcBorders>
              <w:top w:val="nil"/>
              <w:left w:val="nil"/>
              <w:bottom w:val="nil"/>
              <w:right w:val="nil"/>
            </w:tcBorders>
            <w:shd w:val="clear" w:color="auto" w:fill="auto"/>
            <w:vAlign w:val="center"/>
          </w:tcPr>
          <w:p w14:paraId="18F30C47"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3.882</w:t>
            </w:r>
          </w:p>
        </w:tc>
        <w:tc>
          <w:tcPr>
            <w:tcW w:w="1140" w:type="dxa"/>
            <w:tcBorders>
              <w:top w:val="nil"/>
              <w:left w:val="nil"/>
              <w:bottom w:val="nil"/>
              <w:right w:val="single" w:sz="4" w:space="0" w:color="808080"/>
            </w:tcBorders>
            <w:shd w:val="clear" w:color="auto" w:fill="auto"/>
            <w:vAlign w:val="center"/>
          </w:tcPr>
          <w:p w14:paraId="3F2AC27B"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4.300</w:t>
            </w:r>
          </w:p>
        </w:tc>
      </w:tr>
      <w:tr w:rsidR="00B22E86" w:rsidRPr="00B22E86" w14:paraId="6C517722" w14:textId="77777777" w:rsidTr="00B22E86">
        <w:trPr>
          <w:cantSplit/>
          <w:jc w:val="center"/>
        </w:trPr>
        <w:tc>
          <w:tcPr>
            <w:tcW w:w="6640" w:type="dxa"/>
            <w:shd w:val="clear" w:color="auto" w:fill="auto"/>
            <w:vAlign w:val="center"/>
            <w:hideMark/>
          </w:tcPr>
          <w:p w14:paraId="000636DC" w14:textId="77777777" w:rsidR="00B22E86" w:rsidRPr="00B22E86" w:rsidRDefault="00B22E86" w:rsidP="00B22E86">
            <w:pPr>
              <w:spacing w:after="0" w:line="240" w:lineRule="auto"/>
              <w:rPr>
                <w:rFonts w:ascii="Arial" w:eastAsia="Times New Roman" w:hAnsi="Arial" w:cs="Arial"/>
                <w:i/>
                <w:iCs/>
                <w:sz w:val="15"/>
                <w:szCs w:val="15"/>
                <w:lang w:val="en-US" w:eastAsia="el-GR"/>
              </w:rPr>
            </w:pPr>
            <w:r w:rsidRPr="00B22E86">
              <w:rPr>
                <w:rFonts w:ascii="Arial" w:eastAsia="Times New Roman" w:hAnsi="Arial" w:cs="Arial"/>
                <w:i/>
                <w:iCs/>
                <w:sz w:val="15"/>
                <w:szCs w:val="15"/>
                <w:lang w:eastAsia="el-GR"/>
              </w:rPr>
              <w:t>ΤΑΑ</w:t>
            </w:r>
            <w:r w:rsidRPr="00B22E86">
              <w:rPr>
                <w:rFonts w:ascii="Arial" w:eastAsia="Times New Roman" w:hAnsi="Arial" w:cs="Arial"/>
                <w:i/>
                <w:iCs/>
                <w:sz w:val="15"/>
                <w:szCs w:val="15"/>
                <w:vertAlign w:val="superscript"/>
                <w:lang w:val="en-US" w:eastAsia="el-GR"/>
              </w:rPr>
              <w:t>2</w:t>
            </w:r>
          </w:p>
        </w:tc>
        <w:tc>
          <w:tcPr>
            <w:tcW w:w="1120" w:type="dxa"/>
            <w:tcBorders>
              <w:top w:val="nil"/>
              <w:left w:val="nil"/>
              <w:bottom w:val="nil"/>
              <w:right w:val="nil"/>
            </w:tcBorders>
            <w:shd w:val="clear" w:color="auto" w:fill="auto"/>
            <w:vAlign w:val="center"/>
          </w:tcPr>
          <w:p w14:paraId="09733D1D"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1.913</w:t>
            </w:r>
          </w:p>
        </w:tc>
        <w:tc>
          <w:tcPr>
            <w:tcW w:w="1177" w:type="dxa"/>
            <w:tcBorders>
              <w:top w:val="nil"/>
              <w:left w:val="nil"/>
              <w:bottom w:val="nil"/>
              <w:right w:val="nil"/>
            </w:tcBorders>
            <w:shd w:val="clear" w:color="auto" w:fill="auto"/>
            <w:vAlign w:val="center"/>
          </w:tcPr>
          <w:p w14:paraId="24FC34F0"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3.144</w:t>
            </w:r>
          </w:p>
        </w:tc>
        <w:tc>
          <w:tcPr>
            <w:tcW w:w="1120" w:type="dxa"/>
            <w:tcBorders>
              <w:top w:val="nil"/>
              <w:left w:val="nil"/>
              <w:bottom w:val="nil"/>
              <w:right w:val="nil"/>
            </w:tcBorders>
            <w:shd w:val="clear" w:color="auto" w:fill="auto"/>
            <w:vAlign w:val="center"/>
          </w:tcPr>
          <w:p w14:paraId="7A87B38B"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2.939</w:t>
            </w:r>
          </w:p>
        </w:tc>
        <w:tc>
          <w:tcPr>
            <w:tcW w:w="1140" w:type="dxa"/>
            <w:tcBorders>
              <w:top w:val="nil"/>
              <w:left w:val="nil"/>
              <w:bottom w:val="nil"/>
              <w:right w:val="single" w:sz="4" w:space="0" w:color="808080"/>
            </w:tcBorders>
            <w:shd w:val="clear" w:color="auto" w:fill="auto"/>
            <w:vAlign w:val="center"/>
          </w:tcPr>
          <w:p w14:paraId="42FFD9C0"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4.237</w:t>
            </w:r>
          </w:p>
        </w:tc>
      </w:tr>
      <w:tr w:rsidR="00B22E86" w:rsidRPr="00B22E86" w14:paraId="2DB6A03F" w14:textId="77777777" w:rsidTr="00B22E86">
        <w:trPr>
          <w:cantSplit/>
          <w:jc w:val="center"/>
        </w:trPr>
        <w:tc>
          <w:tcPr>
            <w:tcW w:w="6640" w:type="dxa"/>
            <w:shd w:val="clear" w:color="auto" w:fill="auto"/>
            <w:vAlign w:val="center"/>
            <w:hideMark/>
          </w:tcPr>
          <w:p w14:paraId="0C545222" w14:textId="77777777" w:rsidR="00B22E86" w:rsidRPr="00B22E86" w:rsidRDefault="00B22E86" w:rsidP="00B22E86">
            <w:pPr>
              <w:spacing w:after="0" w:line="240" w:lineRule="auto"/>
              <w:rPr>
                <w:rFonts w:ascii="Arial" w:eastAsia="Times New Roman" w:hAnsi="Arial" w:cs="Arial"/>
                <w:i/>
                <w:iCs/>
                <w:sz w:val="15"/>
                <w:szCs w:val="15"/>
                <w:lang w:eastAsia="el-GR"/>
              </w:rPr>
            </w:pPr>
          </w:p>
        </w:tc>
        <w:tc>
          <w:tcPr>
            <w:tcW w:w="1120" w:type="dxa"/>
            <w:shd w:val="clear" w:color="auto" w:fill="auto"/>
            <w:vAlign w:val="center"/>
            <w:hideMark/>
          </w:tcPr>
          <w:p w14:paraId="19DFA2B8"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77" w:type="dxa"/>
            <w:shd w:val="clear" w:color="auto" w:fill="auto"/>
            <w:vAlign w:val="center"/>
            <w:hideMark/>
          </w:tcPr>
          <w:p w14:paraId="33722172"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20" w:type="dxa"/>
            <w:shd w:val="clear" w:color="auto" w:fill="auto"/>
            <w:vAlign w:val="center"/>
            <w:hideMark/>
          </w:tcPr>
          <w:p w14:paraId="3C79D986"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40" w:type="dxa"/>
            <w:tcBorders>
              <w:top w:val="nil"/>
              <w:bottom w:val="nil"/>
            </w:tcBorders>
            <w:shd w:val="clear" w:color="auto" w:fill="auto"/>
            <w:vAlign w:val="center"/>
            <w:hideMark/>
          </w:tcPr>
          <w:p w14:paraId="299AAB9E"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r>
      <w:tr w:rsidR="00B22E86" w:rsidRPr="00B22E86" w14:paraId="0CEFC800" w14:textId="77777777" w:rsidTr="00B22E86">
        <w:trPr>
          <w:cantSplit/>
          <w:trHeight w:val="198"/>
          <w:jc w:val="center"/>
        </w:trPr>
        <w:tc>
          <w:tcPr>
            <w:tcW w:w="6640" w:type="dxa"/>
            <w:shd w:val="clear" w:color="auto" w:fill="D5DCE4"/>
            <w:vAlign w:val="center"/>
            <w:hideMark/>
          </w:tcPr>
          <w:p w14:paraId="522E4E2D"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II.</w:t>
            </w:r>
            <w:r w:rsidRPr="00B22E86">
              <w:rPr>
                <w:rFonts w:ascii="Arial" w:eastAsia="Times New Roman" w:hAnsi="Arial" w:cs="Arial"/>
                <w:b/>
                <w:bCs/>
                <w:sz w:val="15"/>
                <w:szCs w:val="15"/>
                <w:lang w:eastAsia="el-GR"/>
              </w:rPr>
              <w:tab/>
              <w:t>Δαπάνες κρατικού προϋπολογισμού κατά ESA (</w:t>
            </w:r>
            <w:proofErr w:type="spellStart"/>
            <w:r w:rsidRPr="00B22E86">
              <w:rPr>
                <w:rFonts w:ascii="Arial" w:eastAsia="Times New Roman" w:hAnsi="Arial" w:cs="Arial"/>
                <w:b/>
                <w:bCs/>
                <w:sz w:val="15"/>
                <w:szCs w:val="15"/>
                <w:lang w:eastAsia="el-GR"/>
              </w:rPr>
              <w:t>α+β+γ+δ+ε+στ+ζ+η+θ+ι</w:t>
            </w:r>
            <w:proofErr w:type="spellEnd"/>
            <w:r w:rsidRPr="00B22E86">
              <w:rPr>
                <w:rFonts w:ascii="Arial" w:eastAsia="Times New Roman" w:hAnsi="Arial" w:cs="Arial"/>
                <w:b/>
                <w:bCs/>
                <w:sz w:val="15"/>
                <w:szCs w:val="15"/>
                <w:lang w:eastAsia="el-GR"/>
              </w:rPr>
              <w:t>)</w:t>
            </w:r>
            <w:r w:rsidRPr="00B22E86">
              <w:rPr>
                <w:rFonts w:ascii="Arial" w:eastAsia="Times New Roman" w:hAnsi="Arial" w:cs="Arial"/>
                <w:b/>
                <w:bCs/>
                <w:sz w:val="15"/>
                <w:szCs w:val="15"/>
                <w:vertAlign w:val="superscript"/>
                <w:lang w:eastAsia="el-GR"/>
              </w:rPr>
              <w:t>3</w:t>
            </w:r>
          </w:p>
        </w:tc>
        <w:tc>
          <w:tcPr>
            <w:tcW w:w="1120" w:type="dxa"/>
            <w:tcBorders>
              <w:top w:val="nil"/>
              <w:left w:val="nil"/>
              <w:bottom w:val="nil"/>
              <w:right w:val="nil"/>
            </w:tcBorders>
            <w:shd w:val="clear" w:color="auto" w:fill="D5DCE4"/>
            <w:vAlign w:val="center"/>
          </w:tcPr>
          <w:p w14:paraId="557A0484"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72.056</w:t>
            </w:r>
          </w:p>
        </w:tc>
        <w:tc>
          <w:tcPr>
            <w:tcW w:w="1177" w:type="dxa"/>
            <w:tcBorders>
              <w:top w:val="nil"/>
              <w:left w:val="nil"/>
              <w:bottom w:val="nil"/>
              <w:right w:val="nil"/>
            </w:tcBorders>
            <w:shd w:val="clear" w:color="auto" w:fill="D5DCE4"/>
            <w:vAlign w:val="center"/>
          </w:tcPr>
          <w:p w14:paraId="450C1292"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74.632</w:t>
            </w:r>
          </w:p>
        </w:tc>
        <w:tc>
          <w:tcPr>
            <w:tcW w:w="1120" w:type="dxa"/>
            <w:tcBorders>
              <w:top w:val="nil"/>
              <w:left w:val="nil"/>
              <w:bottom w:val="nil"/>
              <w:right w:val="nil"/>
            </w:tcBorders>
            <w:shd w:val="clear" w:color="auto" w:fill="D5DCE4"/>
            <w:vAlign w:val="center"/>
          </w:tcPr>
          <w:p w14:paraId="7B3143F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76.502</w:t>
            </w:r>
          </w:p>
        </w:tc>
        <w:tc>
          <w:tcPr>
            <w:tcW w:w="1140" w:type="dxa"/>
            <w:tcBorders>
              <w:top w:val="nil"/>
              <w:left w:val="nil"/>
              <w:bottom w:val="nil"/>
              <w:right w:val="single" w:sz="4" w:space="0" w:color="808080"/>
            </w:tcBorders>
            <w:shd w:val="clear" w:color="auto" w:fill="D5DCE4"/>
            <w:vAlign w:val="center"/>
          </w:tcPr>
          <w:p w14:paraId="2C09BEF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80.502</w:t>
            </w:r>
          </w:p>
        </w:tc>
      </w:tr>
      <w:tr w:rsidR="00B22E86" w:rsidRPr="00B22E86" w14:paraId="7D2CA8A9" w14:textId="77777777" w:rsidTr="00B22E86">
        <w:trPr>
          <w:cantSplit/>
          <w:jc w:val="center"/>
        </w:trPr>
        <w:tc>
          <w:tcPr>
            <w:tcW w:w="6640" w:type="dxa"/>
            <w:shd w:val="clear" w:color="auto" w:fill="auto"/>
            <w:vAlign w:val="center"/>
            <w:hideMark/>
          </w:tcPr>
          <w:p w14:paraId="65D8594D"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α.</w:t>
            </w:r>
            <w:r w:rsidRPr="00B22E86">
              <w:rPr>
                <w:rFonts w:ascii="Arial" w:eastAsia="Times New Roman" w:hAnsi="Arial" w:cs="Arial"/>
                <w:b/>
                <w:bCs/>
                <w:sz w:val="15"/>
                <w:szCs w:val="15"/>
                <w:lang w:eastAsia="el-GR"/>
              </w:rPr>
              <w:tab/>
              <w:t xml:space="preserve">Παροχές σε εργαζόμενους </w:t>
            </w:r>
          </w:p>
        </w:tc>
        <w:tc>
          <w:tcPr>
            <w:tcW w:w="1120" w:type="dxa"/>
            <w:tcBorders>
              <w:top w:val="nil"/>
              <w:left w:val="nil"/>
              <w:bottom w:val="nil"/>
              <w:right w:val="nil"/>
            </w:tcBorders>
            <w:shd w:val="clear" w:color="auto" w:fill="auto"/>
            <w:vAlign w:val="center"/>
          </w:tcPr>
          <w:p w14:paraId="37E6CCBE"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14.039</w:t>
            </w:r>
          </w:p>
        </w:tc>
        <w:tc>
          <w:tcPr>
            <w:tcW w:w="1177" w:type="dxa"/>
            <w:tcBorders>
              <w:top w:val="nil"/>
              <w:left w:val="nil"/>
              <w:bottom w:val="nil"/>
              <w:right w:val="nil"/>
            </w:tcBorders>
            <w:shd w:val="clear" w:color="auto" w:fill="auto"/>
            <w:vAlign w:val="center"/>
          </w:tcPr>
          <w:p w14:paraId="2C4972D6"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14.833</w:t>
            </w:r>
          </w:p>
        </w:tc>
        <w:tc>
          <w:tcPr>
            <w:tcW w:w="1120" w:type="dxa"/>
            <w:tcBorders>
              <w:top w:val="nil"/>
              <w:left w:val="nil"/>
              <w:bottom w:val="nil"/>
              <w:right w:val="nil"/>
            </w:tcBorders>
            <w:shd w:val="clear" w:color="auto" w:fill="auto"/>
            <w:vAlign w:val="center"/>
          </w:tcPr>
          <w:p w14:paraId="18C73F1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14.934</w:t>
            </w:r>
          </w:p>
        </w:tc>
        <w:tc>
          <w:tcPr>
            <w:tcW w:w="1140" w:type="dxa"/>
            <w:tcBorders>
              <w:top w:val="nil"/>
              <w:left w:val="nil"/>
              <w:bottom w:val="nil"/>
              <w:right w:val="single" w:sz="4" w:space="0" w:color="808080"/>
            </w:tcBorders>
            <w:shd w:val="clear" w:color="auto" w:fill="auto"/>
            <w:vAlign w:val="center"/>
          </w:tcPr>
          <w:p w14:paraId="2ECCAD9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14.790</w:t>
            </w:r>
          </w:p>
        </w:tc>
      </w:tr>
      <w:tr w:rsidR="00B22E86" w:rsidRPr="00B22E86" w14:paraId="728D03C8" w14:textId="77777777" w:rsidTr="00B22E86">
        <w:trPr>
          <w:cantSplit/>
          <w:jc w:val="center"/>
        </w:trPr>
        <w:tc>
          <w:tcPr>
            <w:tcW w:w="6640" w:type="dxa"/>
            <w:shd w:val="clear" w:color="auto" w:fill="auto"/>
            <w:vAlign w:val="center"/>
            <w:hideMark/>
          </w:tcPr>
          <w:p w14:paraId="354F52AE"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β.</w:t>
            </w:r>
            <w:r w:rsidRPr="00B22E86">
              <w:rPr>
                <w:rFonts w:ascii="Arial" w:eastAsia="Times New Roman" w:hAnsi="Arial" w:cs="Arial"/>
                <w:b/>
                <w:bCs/>
                <w:sz w:val="15"/>
                <w:szCs w:val="15"/>
                <w:lang w:eastAsia="el-GR"/>
              </w:rPr>
              <w:tab/>
              <w:t xml:space="preserve">Κοινωνικές παροχές </w:t>
            </w:r>
          </w:p>
        </w:tc>
        <w:tc>
          <w:tcPr>
            <w:tcW w:w="1120" w:type="dxa"/>
            <w:tcBorders>
              <w:top w:val="nil"/>
              <w:left w:val="nil"/>
              <w:bottom w:val="nil"/>
              <w:right w:val="nil"/>
            </w:tcBorders>
            <w:shd w:val="clear" w:color="auto" w:fill="auto"/>
            <w:vAlign w:val="center"/>
          </w:tcPr>
          <w:p w14:paraId="3F23BDA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417</w:t>
            </w:r>
          </w:p>
        </w:tc>
        <w:tc>
          <w:tcPr>
            <w:tcW w:w="1177" w:type="dxa"/>
            <w:tcBorders>
              <w:top w:val="nil"/>
              <w:left w:val="nil"/>
              <w:bottom w:val="nil"/>
              <w:right w:val="nil"/>
            </w:tcBorders>
            <w:shd w:val="clear" w:color="auto" w:fill="auto"/>
            <w:vAlign w:val="center"/>
          </w:tcPr>
          <w:p w14:paraId="592F340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411</w:t>
            </w:r>
          </w:p>
        </w:tc>
        <w:tc>
          <w:tcPr>
            <w:tcW w:w="1120" w:type="dxa"/>
            <w:tcBorders>
              <w:top w:val="nil"/>
              <w:left w:val="nil"/>
              <w:bottom w:val="nil"/>
              <w:right w:val="nil"/>
            </w:tcBorders>
            <w:shd w:val="clear" w:color="auto" w:fill="auto"/>
            <w:vAlign w:val="center"/>
          </w:tcPr>
          <w:p w14:paraId="02EB457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346</w:t>
            </w:r>
          </w:p>
        </w:tc>
        <w:tc>
          <w:tcPr>
            <w:tcW w:w="1140" w:type="dxa"/>
            <w:tcBorders>
              <w:top w:val="nil"/>
              <w:left w:val="nil"/>
              <w:bottom w:val="nil"/>
              <w:right w:val="single" w:sz="4" w:space="0" w:color="808080"/>
            </w:tcBorders>
            <w:shd w:val="clear" w:color="auto" w:fill="auto"/>
            <w:vAlign w:val="center"/>
          </w:tcPr>
          <w:p w14:paraId="16D488B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425</w:t>
            </w:r>
          </w:p>
        </w:tc>
      </w:tr>
      <w:tr w:rsidR="00B22E86" w:rsidRPr="00B22E86" w14:paraId="76AC625A" w14:textId="77777777" w:rsidTr="00B22E86">
        <w:trPr>
          <w:cantSplit/>
          <w:jc w:val="center"/>
        </w:trPr>
        <w:tc>
          <w:tcPr>
            <w:tcW w:w="6640" w:type="dxa"/>
            <w:shd w:val="clear" w:color="auto" w:fill="auto"/>
            <w:vAlign w:val="center"/>
            <w:hideMark/>
          </w:tcPr>
          <w:p w14:paraId="26D70ED0"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γ.</w:t>
            </w:r>
            <w:r w:rsidRPr="00B22E86">
              <w:rPr>
                <w:rFonts w:ascii="Arial" w:eastAsia="Times New Roman" w:hAnsi="Arial" w:cs="Arial"/>
                <w:b/>
                <w:bCs/>
                <w:sz w:val="15"/>
                <w:szCs w:val="15"/>
                <w:lang w:eastAsia="el-GR"/>
              </w:rPr>
              <w:tab/>
              <w:t xml:space="preserve">Μεταβιβάσεις </w:t>
            </w:r>
          </w:p>
        </w:tc>
        <w:tc>
          <w:tcPr>
            <w:tcW w:w="1120" w:type="dxa"/>
            <w:tcBorders>
              <w:top w:val="nil"/>
              <w:left w:val="nil"/>
              <w:bottom w:val="nil"/>
              <w:right w:val="nil"/>
            </w:tcBorders>
            <w:shd w:val="clear" w:color="auto" w:fill="auto"/>
            <w:vAlign w:val="center"/>
          </w:tcPr>
          <w:p w14:paraId="235FFE7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33.090</w:t>
            </w:r>
          </w:p>
        </w:tc>
        <w:tc>
          <w:tcPr>
            <w:tcW w:w="1177" w:type="dxa"/>
            <w:tcBorders>
              <w:top w:val="nil"/>
              <w:left w:val="nil"/>
              <w:bottom w:val="nil"/>
              <w:right w:val="nil"/>
            </w:tcBorders>
            <w:shd w:val="clear" w:color="auto" w:fill="auto"/>
            <w:vAlign w:val="center"/>
          </w:tcPr>
          <w:p w14:paraId="34B2820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32.282</w:t>
            </w:r>
          </w:p>
        </w:tc>
        <w:tc>
          <w:tcPr>
            <w:tcW w:w="1120" w:type="dxa"/>
            <w:tcBorders>
              <w:top w:val="nil"/>
              <w:left w:val="nil"/>
              <w:bottom w:val="nil"/>
              <w:right w:val="nil"/>
            </w:tcBorders>
            <w:shd w:val="clear" w:color="auto" w:fill="auto"/>
            <w:vAlign w:val="center"/>
          </w:tcPr>
          <w:p w14:paraId="3F3271F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33.374</w:t>
            </w:r>
          </w:p>
        </w:tc>
        <w:tc>
          <w:tcPr>
            <w:tcW w:w="1140" w:type="dxa"/>
            <w:tcBorders>
              <w:top w:val="nil"/>
              <w:left w:val="nil"/>
              <w:bottom w:val="nil"/>
              <w:right w:val="single" w:sz="4" w:space="0" w:color="808080"/>
            </w:tcBorders>
            <w:shd w:val="clear" w:color="auto" w:fill="auto"/>
            <w:vAlign w:val="center"/>
          </w:tcPr>
          <w:p w14:paraId="0D4A4E5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34.436</w:t>
            </w:r>
          </w:p>
        </w:tc>
      </w:tr>
      <w:tr w:rsidR="00B22E86" w:rsidRPr="00B22E86" w14:paraId="405CCC5D" w14:textId="77777777" w:rsidTr="00B22E86">
        <w:trPr>
          <w:cantSplit/>
          <w:jc w:val="center"/>
        </w:trPr>
        <w:tc>
          <w:tcPr>
            <w:tcW w:w="6640" w:type="dxa"/>
            <w:shd w:val="clear" w:color="auto" w:fill="auto"/>
            <w:vAlign w:val="center"/>
            <w:hideMark/>
          </w:tcPr>
          <w:p w14:paraId="4E461579"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δ.</w:t>
            </w:r>
            <w:r w:rsidRPr="00B22E86">
              <w:rPr>
                <w:rFonts w:ascii="Arial" w:eastAsia="Times New Roman" w:hAnsi="Arial" w:cs="Arial"/>
                <w:b/>
                <w:bCs/>
                <w:sz w:val="15"/>
                <w:szCs w:val="15"/>
                <w:lang w:eastAsia="el-GR"/>
              </w:rPr>
              <w:tab/>
              <w:t xml:space="preserve">Αγορές αγαθών και υπηρεσιών </w:t>
            </w:r>
          </w:p>
        </w:tc>
        <w:tc>
          <w:tcPr>
            <w:tcW w:w="1120" w:type="dxa"/>
            <w:tcBorders>
              <w:top w:val="nil"/>
              <w:left w:val="nil"/>
              <w:bottom w:val="nil"/>
              <w:right w:val="nil"/>
            </w:tcBorders>
            <w:shd w:val="clear" w:color="auto" w:fill="auto"/>
            <w:vAlign w:val="center"/>
          </w:tcPr>
          <w:p w14:paraId="71B2A9AE"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2.348</w:t>
            </w:r>
          </w:p>
        </w:tc>
        <w:tc>
          <w:tcPr>
            <w:tcW w:w="1177" w:type="dxa"/>
            <w:tcBorders>
              <w:top w:val="nil"/>
              <w:left w:val="nil"/>
              <w:bottom w:val="nil"/>
              <w:right w:val="nil"/>
            </w:tcBorders>
            <w:shd w:val="clear" w:color="auto" w:fill="auto"/>
            <w:vAlign w:val="center"/>
          </w:tcPr>
          <w:p w14:paraId="6E24798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1.626</w:t>
            </w:r>
          </w:p>
        </w:tc>
        <w:tc>
          <w:tcPr>
            <w:tcW w:w="1120" w:type="dxa"/>
            <w:tcBorders>
              <w:top w:val="nil"/>
              <w:left w:val="nil"/>
              <w:bottom w:val="nil"/>
              <w:right w:val="nil"/>
            </w:tcBorders>
            <w:shd w:val="clear" w:color="auto" w:fill="auto"/>
            <w:vAlign w:val="center"/>
          </w:tcPr>
          <w:p w14:paraId="08576A6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2.257</w:t>
            </w:r>
          </w:p>
        </w:tc>
        <w:tc>
          <w:tcPr>
            <w:tcW w:w="1140" w:type="dxa"/>
            <w:tcBorders>
              <w:top w:val="nil"/>
              <w:left w:val="nil"/>
              <w:bottom w:val="nil"/>
              <w:right w:val="single" w:sz="4" w:space="0" w:color="808080"/>
            </w:tcBorders>
            <w:shd w:val="clear" w:color="auto" w:fill="auto"/>
            <w:vAlign w:val="center"/>
          </w:tcPr>
          <w:p w14:paraId="1C994E4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1.910</w:t>
            </w:r>
          </w:p>
        </w:tc>
      </w:tr>
      <w:tr w:rsidR="00B22E86" w:rsidRPr="00B22E86" w14:paraId="49248429" w14:textId="77777777" w:rsidTr="00B22E86">
        <w:trPr>
          <w:cantSplit/>
          <w:jc w:val="center"/>
        </w:trPr>
        <w:tc>
          <w:tcPr>
            <w:tcW w:w="6640" w:type="dxa"/>
            <w:shd w:val="clear" w:color="auto" w:fill="auto"/>
            <w:vAlign w:val="center"/>
            <w:hideMark/>
          </w:tcPr>
          <w:p w14:paraId="4318EC11"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ε.</w:t>
            </w:r>
            <w:r w:rsidRPr="00B22E86">
              <w:rPr>
                <w:rFonts w:ascii="Arial" w:eastAsia="Times New Roman" w:hAnsi="Arial" w:cs="Arial"/>
                <w:b/>
                <w:bCs/>
                <w:sz w:val="15"/>
                <w:szCs w:val="15"/>
                <w:lang w:eastAsia="el-GR"/>
              </w:rPr>
              <w:tab/>
              <w:t xml:space="preserve">Επιδοτήσεις </w:t>
            </w:r>
          </w:p>
        </w:tc>
        <w:tc>
          <w:tcPr>
            <w:tcW w:w="1120" w:type="dxa"/>
            <w:tcBorders>
              <w:top w:val="nil"/>
              <w:left w:val="nil"/>
              <w:bottom w:val="nil"/>
              <w:right w:val="nil"/>
            </w:tcBorders>
            <w:shd w:val="clear" w:color="auto" w:fill="auto"/>
            <w:vAlign w:val="center"/>
          </w:tcPr>
          <w:p w14:paraId="2E2531AD"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118</w:t>
            </w:r>
          </w:p>
        </w:tc>
        <w:tc>
          <w:tcPr>
            <w:tcW w:w="1177" w:type="dxa"/>
            <w:tcBorders>
              <w:top w:val="nil"/>
              <w:left w:val="nil"/>
              <w:bottom w:val="nil"/>
              <w:right w:val="nil"/>
            </w:tcBorders>
            <w:shd w:val="clear" w:color="auto" w:fill="auto"/>
            <w:vAlign w:val="center"/>
          </w:tcPr>
          <w:p w14:paraId="63EF8A1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81</w:t>
            </w:r>
          </w:p>
        </w:tc>
        <w:tc>
          <w:tcPr>
            <w:tcW w:w="1120" w:type="dxa"/>
            <w:tcBorders>
              <w:top w:val="nil"/>
              <w:left w:val="nil"/>
              <w:bottom w:val="nil"/>
              <w:right w:val="nil"/>
            </w:tcBorders>
            <w:shd w:val="clear" w:color="auto" w:fill="auto"/>
            <w:vAlign w:val="center"/>
          </w:tcPr>
          <w:p w14:paraId="7791A92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76</w:t>
            </w:r>
          </w:p>
        </w:tc>
        <w:tc>
          <w:tcPr>
            <w:tcW w:w="1140" w:type="dxa"/>
            <w:tcBorders>
              <w:top w:val="nil"/>
              <w:left w:val="nil"/>
              <w:bottom w:val="nil"/>
              <w:right w:val="single" w:sz="4" w:space="0" w:color="808080"/>
            </w:tcBorders>
            <w:shd w:val="clear" w:color="auto" w:fill="auto"/>
            <w:vAlign w:val="center"/>
          </w:tcPr>
          <w:p w14:paraId="2A13800F"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81</w:t>
            </w:r>
          </w:p>
        </w:tc>
      </w:tr>
      <w:tr w:rsidR="00B22E86" w:rsidRPr="00B22E86" w14:paraId="138874EC" w14:textId="77777777" w:rsidTr="00B22E86">
        <w:trPr>
          <w:cantSplit/>
          <w:jc w:val="center"/>
        </w:trPr>
        <w:tc>
          <w:tcPr>
            <w:tcW w:w="6640" w:type="dxa"/>
            <w:shd w:val="clear" w:color="auto" w:fill="auto"/>
            <w:vAlign w:val="center"/>
            <w:hideMark/>
          </w:tcPr>
          <w:p w14:paraId="18EEE207"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proofErr w:type="spellStart"/>
            <w:r w:rsidRPr="00B22E86">
              <w:rPr>
                <w:rFonts w:ascii="Arial" w:eastAsia="Times New Roman" w:hAnsi="Arial" w:cs="Arial"/>
                <w:b/>
                <w:bCs/>
                <w:sz w:val="15"/>
                <w:szCs w:val="15"/>
                <w:lang w:eastAsia="el-GR"/>
              </w:rPr>
              <w:t>στ</w:t>
            </w:r>
            <w:proofErr w:type="spellEnd"/>
            <w:r w:rsidRPr="00B22E86">
              <w:rPr>
                <w:rFonts w:ascii="Arial" w:eastAsia="Times New Roman" w:hAnsi="Arial" w:cs="Arial"/>
                <w:b/>
                <w:bCs/>
                <w:sz w:val="15"/>
                <w:szCs w:val="15"/>
                <w:lang w:eastAsia="el-GR"/>
              </w:rPr>
              <w:t>.</w:t>
            </w:r>
            <w:r w:rsidRPr="00B22E86">
              <w:rPr>
                <w:rFonts w:ascii="Arial" w:eastAsia="Times New Roman" w:hAnsi="Arial" w:cs="Arial"/>
                <w:b/>
                <w:bCs/>
                <w:sz w:val="15"/>
                <w:szCs w:val="15"/>
                <w:lang w:eastAsia="el-GR"/>
              </w:rPr>
              <w:tab/>
              <w:t>Τόκοι</w:t>
            </w:r>
          </w:p>
        </w:tc>
        <w:tc>
          <w:tcPr>
            <w:tcW w:w="1120" w:type="dxa"/>
            <w:tcBorders>
              <w:top w:val="nil"/>
              <w:left w:val="nil"/>
              <w:bottom w:val="nil"/>
              <w:right w:val="nil"/>
            </w:tcBorders>
            <w:shd w:val="clear" w:color="auto" w:fill="auto"/>
            <w:vAlign w:val="center"/>
          </w:tcPr>
          <w:p w14:paraId="1F61E4D0"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9.100</w:t>
            </w:r>
          </w:p>
        </w:tc>
        <w:tc>
          <w:tcPr>
            <w:tcW w:w="1177" w:type="dxa"/>
            <w:tcBorders>
              <w:top w:val="nil"/>
              <w:left w:val="nil"/>
              <w:bottom w:val="nil"/>
              <w:right w:val="nil"/>
            </w:tcBorders>
            <w:shd w:val="clear" w:color="auto" w:fill="auto"/>
            <w:vAlign w:val="center"/>
          </w:tcPr>
          <w:p w14:paraId="0993B0DE"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8.800</w:t>
            </w:r>
          </w:p>
        </w:tc>
        <w:tc>
          <w:tcPr>
            <w:tcW w:w="1120" w:type="dxa"/>
            <w:tcBorders>
              <w:top w:val="nil"/>
              <w:left w:val="nil"/>
              <w:bottom w:val="nil"/>
              <w:right w:val="nil"/>
            </w:tcBorders>
            <w:shd w:val="clear" w:color="auto" w:fill="auto"/>
            <w:vAlign w:val="center"/>
          </w:tcPr>
          <w:p w14:paraId="01F4FC0F"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9.900</w:t>
            </w:r>
          </w:p>
        </w:tc>
        <w:tc>
          <w:tcPr>
            <w:tcW w:w="1140" w:type="dxa"/>
            <w:tcBorders>
              <w:top w:val="nil"/>
              <w:left w:val="nil"/>
              <w:bottom w:val="nil"/>
              <w:right w:val="single" w:sz="4" w:space="0" w:color="808080"/>
            </w:tcBorders>
            <w:shd w:val="clear" w:color="auto" w:fill="auto"/>
            <w:vAlign w:val="center"/>
          </w:tcPr>
          <w:p w14:paraId="2E7682E6"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9.400</w:t>
            </w:r>
          </w:p>
        </w:tc>
      </w:tr>
      <w:tr w:rsidR="00B22E86" w:rsidRPr="00B22E86" w14:paraId="0334C30E" w14:textId="77777777" w:rsidTr="00B22E86">
        <w:trPr>
          <w:cantSplit/>
          <w:jc w:val="center"/>
        </w:trPr>
        <w:tc>
          <w:tcPr>
            <w:tcW w:w="6640" w:type="dxa"/>
            <w:shd w:val="clear" w:color="auto" w:fill="auto"/>
            <w:vAlign w:val="center"/>
            <w:hideMark/>
          </w:tcPr>
          <w:p w14:paraId="74FA3129"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ζ.</w:t>
            </w:r>
            <w:r w:rsidRPr="00B22E86">
              <w:rPr>
                <w:rFonts w:ascii="Arial" w:eastAsia="Times New Roman" w:hAnsi="Arial" w:cs="Arial"/>
                <w:b/>
                <w:bCs/>
                <w:sz w:val="15"/>
                <w:szCs w:val="15"/>
                <w:lang w:eastAsia="el-GR"/>
              </w:rPr>
              <w:tab/>
              <w:t xml:space="preserve">Λοιπές δαπάνες </w:t>
            </w:r>
          </w:p>
        </w:tc>
        <w:tc>
          <w:tcPr>
            <w:tcW w:w="1120" w:type="dxa"/>
            <w:tcBorders>
              <w:top w:val="nil"/>
              <w:left w:val="nil"/>
              <w:bottom w:val="nil"/>
              <w:right w:val="nil"/>
            </w:tcBorders>
            <w:shd w:val="clear" w:color="auto" w:fill="auto"/>
            <w:vAlign w:val="center"/>
          </w:tcPr>
          <w:p w14:paraId="3D3CF146"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49</w:t>
            </w:r>
          </w:p>
        </w:tc>
        <w:tc>
          <w:tcPr>
            <w:tcW w:w="1177" w:type="dxa"/>
            <w:tcBorders>
              <w:top w:val="nil"/>
              <w:left w:val="nil"/>
              <w:bottom w:val="nil"/>
              <w:right w:val="nil"/>
            </w:tcBorders>
            <w:shd w:val="clear" w:color="auto" w:fill="auto"/>
            <w:vAlign w:val="center"/>
          </w:tcPr>
          <w:p w14:paraId="6600DC2D"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111</w:t>
            </w:r>
          </w:p>
        </w:tc>
        <w:tc>
          <w:tcPr>
            <w:tcW w:w="1120" w:type="dxa"/>
            <w:tcBorders>
              <w:top w:val="nil"/>
              <w:left w:val="nil"/>
              <w:bottom w:val="nil"/>
              <w:right w:val="nil"/>
            </w:tcBorders>
            <w:shd w:val="clear" w:color="auto" w:fill="auto"/>
            <w:vAlign w:val="center"/>
          </w:tcPr>
          <w:p w14:paraId="4A0B8AB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141</w:t>
            </w:r>
          </w:p>
        </w:tc>
        <w:tc>
          <w:tcPr>
            <w:tcW w:w="1140" w:type="dxa"/>
            <w:tcBorders>
              <w:top w:val="nil"/>
              <w:left w:val="nil"/>
              <w:bottom w:val="nil"/>
              <w:right w:val="single" w:sz="4" w:space="0" w:color="808080"/>
            </w:tcBorders>
            <w:shd w:val="clear" w:color="auto" w:fill="auto"/>
            <w:vAlign w:val="center"/>
          </w:tcPr>
          <w:p w14:paraId="37D50BDC"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102</w:t>
            </w:r>
          </w:p>
        </w:tc>
      </w:tr>
      <w:tr w:rsidR="00B22E86" w:rsidRPr="00B22E86" w14:paraId="3797C444" w14:textId="77777777" w:rsidTr="00B22E86">
        <w:trPr>
          <w:cantSplit/>
          <w:jc w:val="center"/>
        </w:trPr>
        <w:tc>
          <w:tcPr>
            <w:tcW w:w="6640" w:type="dxa"/>
            <w:shd w:val="clear" w:color="auto" w:fill="auto"/>
            <w:vAlign w:val="center"/>
            <w:hideMark/>
          </w:tcPr>
          <w:p w14:paraId="1A2B922E"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η.</w:t>
            </w:r>
            <w:r w:rsidRPr="00B22E86">
              <w:rPr>
                <w:rFonts w:ascii="Arial" w:eastAsia="Times New Roman" w:hAnsi="Arial" w:cs="Arial"/>
                <w:b/>
                <w:bCs/>
                <w:sz w:val="15"/>
                <w:szCs w:val="15"/>
                <w:lang w:eastAsia="el-GR"/>
              </w:rPr>
              <w:tab/>
              <w:t xml:space="preserve">Πιστώσεις υπό κατανομή </w:t>
            </w:r>
          </w:p>
        </w:tc>
        <w:tc>
          <w:tcPr>
            <w:tcW w:w="1120" w:type="dxa"/>
            <w:tcBorders>
              <w:top w:val="nil"/>
              <w:left w:val="nil"/>
              <w:bottom w:val="nil"/>
              <w:right w:val="nil"/>
            </w:tcBorders>
            <w:shd w:val="clear" w:color="auto" w:fill="auto"/>
            <w:vAlign w:val="center"/>
          </w:tcPr>
          <w:p w14:paraId="1493BAFE"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11.627</w:t>
            </w:r>
          </w:p>
        </w:tc>
        <w:tc>
          <w:tcPr>
            <w:tcW w:w="1177" w:type="dxa"/>
            <w:tcBorders>
              <w:top w:val="nil"/>
              <w:left w:val="nil"/>
              <w:bottom w:val="nil"/>
              <w:right w:val="nil"/>
            </w:tcBorders>
            <w:shd w:val="clear" w:color="auto" w:fill="auto"/>
            <w:vAlign w:val="center"/>
          </w:tcPr>
          <w:p w14:paraId="0279694F"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15.210</w:t>
            </w:r>
          </w:p>
        </w:tc>
        <w:tc>
          <w:tcPr>
            <w:tcW w:w="1120" w:type="dxa"/>
            <w:tcBorders>
              <w:top w:val="nil"/>
              <w:left w:val="nil"/>
              <w:bottom w:val="nil"/>
              <w:right w:val="nil"/>
            </w:tcBorders>
            <w:shd w:val="clear" w:color="auto" w:fill="auto"/>
            <w:vAlign w:val="center"/>
          </w:tcPr>
          <w:p w14:paraId="06C9B6AC"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14.365</w:t>
            </w:r>
          </w:p>
        </w:tc>
        <w:tc>
          <w:tcPr>
            <w:tcW w:w="1140" w:type="dxa"/>
            <w:tcBorders>
              <w:top w:val="nil"/>
              <w:left w:val="nil"/>
              <w:bottom w:val="nil"/>
              <w:right w:val="single" w:sz="4" w:space="0" w:color="808080"/>
            </w:tcBorders>
            <w:shd w:val="clear" w:color="auto" w:fill="auto"/>
            <w:vAlign w:val="center"/>
          </w:tcPr>
          <w:p w14:paraId="0371961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17.602</w:t>
            </w:r>
          </w:p>
        </w:tc>
      </w:tr>
      <w:tr w:rsidR="00B22E86" w:rsidRPr="00B22E86" w14:paraId="67F29DD3" w14:textId="77777777" w:rsidTr="00B22E86">
        <w:trPr>
          <w:cantSplit/>
          <w:jc w:val="center"/>
        </w:trPr>
        <w:tc>
          <w:tcPr>
            <w:tcW w:w="6640" w:type="dxa"/>
            <w:shd w:val="clear" w:color="auto" w:fill="auto"/>
            <w:vAlign w:val="center"/>
            <w:hideMark/>
          </w:tcPr>
          <w:p w14:paraId="54514011"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θ.</w:t>
            </w:r>
            <w:r w:rsidRPr="00B22E86">
              <w:rPr>
                <w:rFonts w:ascii="Arial" w:eastAsia="Times New Roman" w:hAnsi="Arial" w:cs="Arial"/>
                <w:b/>
                <w:bCs/>
                <w:sz w:val="15"/>
                <w:szCs w:val="15"/>
                <w:lang w:eastAsia="el-GR"/>
              </w:rPr>
              <w:tab/>
              <w:t>Αγορές παγίων περιουσιακών στοιχείων</w:t>
            </w:r>
          </w:p>
        </w:tc>
        <w:tc>
          <w:tcPr>
            <w:tcW w:w="1120" w:type="dxa"/>
            <w:tcBorders>
              <w:top w:val="nil"/>
              <w:left w:val="nil"/>
              <w:bottom w:val="nil"/>
              <w:right w:val="nil"/>
            </w:tcBorders>
            <w:shd w:val="clear" w:color="auto" w:fill="auto"/>
            <w:vAlign w:val="center"/>
          </w:tcPr>
          <w:p w14:paraId="4C13BD8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1.268</w:t>
            </w:r>
          </w:p>
        </w:tc>
        <w:tc>
          <w:tcPr>
            <w:tcW w:w="1177" w:type="dxa"/>
            <w:tcBorders>
              <w:top w:val="nil"/>
              <w:left w:val="nil"/>
              <w:bottom w:val="nil"/>
              <w:right w:val="nil"/>
            </w:tcBorders>
            <w:shd w:val="clear" w:color="auto" w:fill="auto"/>
            <w:vAlign w:val="center"/>
          </w:tcPr>
          <w:p w14:paraId="2C5B508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1.277</w:t>
            </w:r>
          </w:p>
        </w:tc>
        <w:tc>
          <w:tcPr>
            <w:tcW w:w="1120" w:type="dxa"/>
            <w:tcBorders>
              <w:top w:val="nil"/>
              <w:left w:val="nil"/>
              <w:bottom w:val="nil"/>
              <w:right w:val="nil"/>
            </w:tcBorders>
            <w:shd w:val="clear" w:color="auto" w:fill="auto"/>
            <w:vAlign w:val="center"/>
          </w:tcPr>
          <w:p w14:paraId="462CBBAF"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1.109</w:t>
            </w:r>
          </w:p>
        </w:tc>
        <w:tc>
          <w:tcPr>
            <w:tcW w:w="1140" w:type="dxa"/>
            <w:tcBorders>
              <w:top w:val="nil"/>
              <w:left w:val="nil"/>
              <w:bottom w:val="nil"/>
              <w:right w:val="single" w:sz="4" w:space="0" w:color="808080"/>
            </w:tcBorders>
            <w:shd w:val="clear" w:color="auto" w:fill="auto"/>
            <w:vAlign w:val="center"/>
          </w:tcPr>
          <w:p w14:paraId="3D28F95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1.757</w:t>
            </w:r>
          </w:p>
        </w:tc>
      </w:tr>
      <w:tr w:rsidR="00B22E86" w:rsidRPr="00B22E86" w14:paraId="17302E57" w14:textId="77777777" w:rsidTr="00B22E86">
        <w:trPr>
          <w:cantSplit/>
          <w:jc w:val="center"/>
        </w:trPr>
        <w:tc>
          <w:tcPr>
            <w:tcW w:w="6640" w:type="dxa"/>
            <w:shd w:val="clear" w:color="auto" w:fill="auto"/>
            <w:vAlign w:val="center"/>
            <w:hideMark/>
          </w:tcPr>
          <w:p w14:paraId="619DA754"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ι.</w:t>
            </w:r>
            <w:r w:rsidRPr="00B22E86">
              <w:rPr>
                <w:rFonts w:ascii="Arial" w:eastAsia="Times New Roman" w:hAnsi="Arial" w:cs="Arial"/>
                <w:b/>
                <w:bCs/>
                <w:sz w:val="15"/>
                <w:szCs w:val="15"/>
                <w:lang w:eastAsia="el-GR"/>
              </w:rPr>
              <w:tab/>
              <w:t xml:space="preserve">Τιμαλφή </w:t>
            </w:r>
          </w:p>
        </w:tc>
        <w:tc>
          <w:tcPr>
            <w:tcW w:w="1120" w:type="dxa"/>
            <w:tcBorders>
              <w:top w:val="nil"/>
              <w:left w:val="nil"/>
              <w:bottom w:val="nil"/>
              <w:right w:val="nil"/>
            </w:tcBorders>
            <w:shd w:val="clear" w:color="auto" w:fill="auto"/>
            <w:vAlign w:val="center"/>
          </w:tcPr>
          <w:p w14:paraId="78292F22"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0</w:t>
            </w:r>
          </w:p>
        </w:tc>
        <w:tc>
          <w:tcPr>
            <w:tcW w:w="1177" w:type="dxa"/>
            <w:tcBorders>
              <w:top w:val="nil"/>
              <w:left w:val="nil"/>
              <w:bottom w:val="nil"/>
              <w:right w:val="nil"/>
            </w:tcBorders>
            <w:shd w:val="clear" w:color="auto" w:fill="auto"/>
            <w:vAlign w:val="center"/>
          </w:tcPr>
          <w:p w14:paraId="5F022196"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0</w:t>
            </w:r>
          </w:p>
        </w:tc>
        <w:tc>
          <w:tcPr>
            <w:tcW w:w="1120" w:type="dxa"/>
            <w:tcBorders>
              <w:top w:val="nil"/>
              <w:left w:val="nil"/>
              <w:bottom w:val="nil"/>
              <w:right w:val="nil"/>
            </w:tcBorders>
            <w:shd w:val="clear" w:color="auto" w:fill="auto"/>
            <w:vAlign w:val="center"/>
          </w:tcPr>
          <w:p w14:paraId="6FCF699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0</w:t>
            </w:r>
          </w:p>
        </w:tc>
        <w:tc>
          <w:tcPr>
            <w:tcW w:w="1140" w:type="dxa"/>
            <w:tcBorders>
              <w:top w:val="nil"/>
              <w:left w:val="nil"/>
              <w:bottom w:val="nil"/>
              <w:right w:val="single" w:sz="4" w:space="0" w:color="808080"/>
            </w:tcBorders>
            <w:shd w:val="clear" w:color="auto" w:fill="auto"/>
            <w:vAlign w:val="center"/>
          </w:tcPr>
          <w:p w14:paraId="031351A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0</w:t>
            </w:r>
          </w:p>
        </w:tc>
      </w:tr>
      <w:tr w:rsidR="00B22E86" w:rsidRPr="00B22E86" w14:paraId="7C383FF7" w14:textId="77777777" w:rsidTr="00B22E86">
        <w:trPr>
          <w:cantSplit/>
          <w:jc w:val="center"/>
        </w:trPr>
        <w:tc>
          <w:tcPr>
            <w:tcW w:w="6640" w:type="dxa"/>
            <w:shd w:val="clear" w:color="auto" w:fill="auto"/>
            <w:vAlign w:val="center"/>
            <w:hideMark/>
          </w:tcPr>
          <w:p w14:paraId="2E6E7BB4" w14:textId="77777777" w:rsidR="00B22E86" w:rsidRPr="00B22E86" w:rsidRDefault="00B22E86" w:rsidP="00B22E86">
            <w:pPr>
              <w:spacing w:after="0" w:line="240" w:lineRule="auto"/>
              <w:rPr>
                <w:rFonts w:ascii="Arial" w:eastAsia="Times New Roman" w:hAnsi="Arial" w:cs="Arial"/>
                <w:b/>
                <w:bCs/>
                <w:sz w:val="15"/>
                <w:szCs w:val="15"/>
                <w:lang w:eastAsia="el-GR"/>
              </w:rPr>
            </w:pPr>
          </w:p>
        </w:tc>
        <w:tc>
          <w:tcPr>
            <w:tcW w:w="1120" w:type="dxa"/>
            <w:shd w:val="clear" w:color="auto" w:fill="auto"/>
            <w:vAlign w:val="center"/>
          </w:tcPr>
          <w:p w14:paraId="5F8C666E"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77" w:type="dxa"/>
            <w:shd w:val="clear" w:color="auto" w:fill="auto"/>
            <w:vAlign w:val="center"/>
          </w:tcPr>
          <w:p w14:paraId="28427316"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20" w:type="dxa"/>
            <w:shd w:val="clear" w:color="auto" w:fill="auto"/>
            <w:vAlign w:val="center"/>
          </w:tcPr>
          <w:p w14:paraId="1845E6C4"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40" w:type="dxa"/>
            <w:tcBorders>
              <w:top w:val="nil"/>
              <w:bottom w:val="nil"/>
            </w:tcBorders>
            <w:shd w:val="clear" w:color="auto" w:fill="auto"/>
            <w:vAlign w:val="center"/>
          </w:tcPr>
          <w:p w14:paraId="4CB2A387"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r>
      <w:tr w:rsidR="00B22E86" w:rsidRPr="00B22E86" w14:paraId="00AE63E9" w14:textId="77777777" w:rsidTr="00B22E86">
        <w:trPr>
          <w:cantSplit/>
          <w:jc w:val="center"/>
        </w:trPr>
        <w:tc>
          <w:tcPr>
            <w:tcW w:w="6640" w:type="dxa"/>
            <w:shd w:val="clear" w:color="auto" w:fill="auto"/>
            <w:vAlign w:val="center"/>
            <w:hideMark/>
          </w:tcPr>
          <w:p w14:paraId="14FAE357"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Πληροφοριακά στοιχεία:</w:t>
            </w:r>
          </w:p>
        </w:tc>
        <w:tc>
          <w:tcPr>
            <w:tcW w:w="1120" w:type="dxa"/>
            <w:shd w:val="clear" w:color="auto" w:fill="auto"/>
            <w:vAlign w:val="center"/>
          </w:tcPr>
          <w:p w14:paraId="77F036C7"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77" w:type="dxa"/>
            <w:shd w:val="clear" w:color="auto" w:fill="auto"/>
            <w:vAlign w:val="center"/>
          </w:tcPr>
          <w:p w14:paraId="557256A5"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20" w:type="dxa"/>
            <w:shd w:val="clear" w:color="auto" w:fill="auto"/>
            <w:vAlign w:val="center"/>
          </w:tcPr>
          <w:p w14:paraId="1E72D694"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40" w:type="dxa"/>
            <w:tcBorders>
              <w:top w:val="nil"/>
              <w:bottom w:val="nil"/>
            </w:tcBorders>
            <w:shd w:val="clear" w:color="auto" w:fill="auto"/>
            <w:vAlign w:val="center"/>
          </w:tcPr>
          <w:p w14:paraId="369EAF0D"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r>
      <w:tr w:rsidR="00B22E86" w:rsidRPr="00B22E86" w14:paraId="2B9ED54B" w14:textId="77777777" w:rsidTr="00B22E86">
        <w:trPr>
          <w:cantSplit/>
          <w:jc w:val="center"/>
        </w:trPr>
        <w:tc>
          <w:tcPr>
            <w:tcW w:w="6640" w:type="dxa"/>
            <w:tcBorders>
              <w:bottom w:val="nil"/>
            </w:tcBorders>
            <w:shd w:val="clear" w:color="auto" w:fill="auto"/>
            <w:vAlign w:val="center"/>
            <w:hideMark/>
          </w:tcPr>
          <w:p w14:paraId="3D3BA17C" w14:textId="77777777" w:rsidR="00B22E86" w:rsidRPr="00B22E86" w:rsidRDefault="00B22E86" w:rsidP="00B22E86">
            <w:pPr>
              <w:spacing w:after="0" w:line="240" w:lineRule="auto"/>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ΑΠΔΕ εκτός ΤΑΑ</w:t>
            </w:r>
            <w:r w:rsidRPr="00B22E86">
              <w:rPr>
                <w:rFonts w:ascii="Arial" w:eastAsia="Times New Roman" w:hAnsi="Arial" w:cs="Arial"/>
                <w:i/>
                <w:iCs/>
                <w:sz w:val="15"/>
                <w:szCs w:val="15"/>
                <w:vertAlign w:val="superscript"/>
                <w:lang w:eastAsia="el-GR"/>
              </w:rPr>
              <w:t>1</w:t>
            </w:r>
          </w:p>
        </w:tc>
        <w:tc>
          <w:tcPr>
            <w:tcW w:w="1120" w:type="dxa"/>
            <w:tcBorders>
              <w:top w:val="nil"/>
              <w:left w:val="nil"/>
              <w:bottom w:val="nil"/>
              <w:right w:val="nil"/>
            </w:tcBorders>
            <w:shd w:val="clear" w:color="auto" w:fill="auto"/>
            <w:vAlign w:val="center"/>
          </w:tcPr>
          <w:p w14:paraId="33AEE299"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9.112</w:t>
            </w:r>
          </w:p>
        </w:tc>
        <w:tc>
          <w:tcPr>
            <w:tcW w:w="1177" w:type="dxa"/>
            <w:tcBorders>
              <w:top w:val="nil"/>
              <w:left w:val="nil"/>
              <w:bottom w:val="nil"/>
              <w:right w:val="nil"/>
            </w:tcBorders>
            <w:shd w:val="clear" w:color="auto" w:fill="auto"/>
            <w:vAlign w:val="center"/>
          </w:tcPr>
          <w:p w14:paraId="5737D0A3"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8.550</w:t>
            </w:r>
          </w:p>
        </w:tc>
        <w:tc>
          <w:tcPr>
            <w:tcW w:w="1120" w:type="dxa"/>
            <w:tcBorders>
              <w:top w:val="nil"/>
              <w:left w:val="nil"/>
              <w:bottom w:val="nil"/>
              <w:right w:val="nil"/>
            </w:tcBorders>
            <w:shd w:val="clear" w:color="auto" w:fill="auto"/>
            <w:vAlign w:val="center"/>
          </w:tcPr>
          <w:p w14:paraId="134BDAE1"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9.850</w:t>
            </w:r>
          </w:p>
        </w:tc>
        <w:tc>
          <w:tcPr>
            <w:tcW w:w="1140" w:type="dxa"/>
            <w:tcBorders>
              <w:top w:val="nil"/>
              <w:left w:val="nil"/>
              <w:bottom w:val="nil"/>
              <w:right w:val="single" w:sz="4" w:space="0" w:color="808080"/>
            </w:tcBorders>
            <w:shd w:val="clear" w:color="auto" w:fill="auto"/>
            <w:vAlign w:val="center"/>
          </w:tcPr>
          <w:p w14:paraId="60189F29"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9.200</w:t>
            </w:r>
          </w:p>
        </w:tc>
      </w:tr>
      <w:tr w:rsidR="00B22E86" w:rsidRPr="00B22E86" w14:paraId="4CD705CF" w14:textId="77777777" w:rsidTr="00B22E86">
        <w:trPr>
          <w:cantSplit/>
          <w:jc w:val="center"/>
        </w:trPr>
        <w:tc>
          <w:tcPr>
            <w:tcW w:w="6640" w:type="dxa"/>
            <w:tcBorders>
              <w:top w:val="nil"/>
              <w:left w:val="single" w:sz="4" w:space="0" w:color="808080"/>
              <w:bottom w:val="nil"/>
            </w:tcBorders>
            <w:shd w:val="clear" w:color="auto" w:fill="auto"/>
            <w:vAlign w:val="center"/>
            <w:hideMark/>
          </w:tcPr>
          <w:p w14:paraId="07695938" w14:textId="77777777" w:rsidR="00B22E86" w:rsidRPr="00B22E86" w:rsidRDefault="00B22E86" w:rsidP="00B22E86">
            <w:pPr>
              <w:spacing w:after="0" w:line="240" w:lineRule="auto"/>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ΤΑΑ</w:t>
            </w:r>
            <w:r w:rsidRPr="00B22E86">
              <w:rPr>
                <w:rFonts w:ascii="Arial" w:eastAsia="Times New Roman" w:hAnsi="Arial" w:cs="Arial"/>
                <w:i/>
                <w:iCs/>
                <w:sz w:val="15"/>
                <w:szCs w:val="15"/>
                <w:vertAlign w:val="superscript"/>
                <w:lang w:eastAsia="el-GR"/>
              </w:rPr>
              <w:t>2</w:t>
            </w:r>
          </w:p>
        </w:tc>
        <w:tc>
          <w:tcPr>
            <w:tcW w:w="1120" w:type="dxa"/>
            <w:tcBorders>
              <w:top w:val="nil"/>
              <w:left w:val="nil"/>
              <w:bottom w:val="nil"/>
              <w:right w:val="nil"/>
            </w:tcBorders>
            <w:shd w:val="clear" w:color="auto" w:fill="auto"/>
            <w:vAlign w:val="center"/>
          </w:tcPr>
          <w:p w14:paraId="6F906AF2"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2.089</w:t>
            </w:r>
          </w:p>
        </w:tc>
        <w:tc>
          <w:tcPr>
            <w:tcW w:w="1177" w:type="dxa"/>
            <w:tcBorders>
              <w:top w:val="nil"/>
              <w:left w:val="nil"/>
              <w:bottom w:val="nil"/>
              <w:right w:val="nil"/>
            </w:tcBorders>
            <w:shd w:val="clear" w:color="auto" w:fill="auto"/>
            <w:vAlign w:val="center"/>
          </w:tcPr>
          <w:p w14:paraId="1263A932"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3.617</w:t>
            </w:r>
          </w:p>
        </w:tc>
        <w:tc>
          <w:tcPr>
            <w:tcW w:w="1120" w:type="dxa"/>
            <w:tcBorders>
              <w:top w:val="nil"/>
              <w:left w:val="nil"/>
              <w:bottom w:val="nil"/>
              <w:right w:val="nil"/>
            </w:tcBorders>
            <w:shd w:val="clear" w:color="auto" w:fill="auto"/>
            <w:vAlign w:val="center"/>
          </w:tcPr>
          <w:p w14:paraId="145EB091"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3.300</w:t>
            </w:r>
          </w:p>
        </w:tc>
        <w:tc>
          <w:tcPr>
            <w:tcW w:w="1140" w:type="dxa"/>
            <w:tcBorders>
              <w:top w:val="nil"/>
              <w:left w:val="nil"/>
              <w:bottom w:val="nil"/>
              <w:right w:val="single" w:sz="4" w:space="0" w:color="808080"/>
            </w:tcBorders>
            <w:shd w:val="clear" w:color="auto" w:fill="auto"/>
            <w:vAlign w:val="center"/>
          </w:tcPr>
          <w:p w14:paraId="0FA87682" w14:textId="77777777" w:rsidR="00B22E86" w:rsidRPr="00B22E86" w:rsidRDefault="00B22E86" w:rsidP="00B22E86">
            <w:pPr>
              <w:spacing w:after="0" w:line="240" w:lineRule="auto"/>
              <w:jc w:val="right"/>
              <w:rPr>
                <w:rFonts w:ascii="Arial" w:eastAsia="Times New Roman" w:hAnsi="Arial" w:cs="Arial"/>
                <w:i/>
                <w:iCs/>
                <w:sz w:val="15"/>
                <w:szCs w:val="15"/>
                <w:lang w:eastAsia="el-GR"/>
              </w:rPr>
            </w:pPr>
            <w:r w:rsidRPr="00B22E86">
              <w:rPr>
                <w:rFonts w:ascii="Arial" w:eastAsia="Times New Roman" w:hAnsi="Arial" w:cs="Arial"/>
                <w:i/>
                <w:iCs/>
                <w:sz w:val="15"/>
                <w:szCs w:val="15"/>
                <w:lang w:eastAsia="el-GR"/>
              </w:rPr>
              <w:t>4.900</w:t>
            </w:r>
          </w:p>
        </w:tc>
      </w:tr>
      <w:tr w:rsidR="00B22E86" w:rsidRPr="00B22E86" w14:paraId="3880C7D1" w14:textId="77777777" w:rsidTr="00B22E86">
        <w:trPr>
          <w:cantSplit/>
          <w:trHeight w:val="198"/>
          <w:jc w:val="center"/>
        </w:trPr>
        <w:tc>
          <w:tcPr>
            <w:tcW w:w="6640" w:type="dxa"/>
            <w:tcBorders>
              <w:top w:val="nil"/>
            </w:tcBorders>
            <w:shd w:val="clear" w:color="auto" w:fill="D5DCE4"/>
            <w:vAlign w:val="center"/>
            <w:hideMark/>
          </w:tcPr>
          <w:p w14:paraId="7006B2F5"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III.</w:t>
            </w:r>
            <w:r w:rsidRPr="00B22E86">
              <w:rPr>
                <w:rFonts w:ascii="Arial" w:eastAsia="Times New Roman" w:hAnsi="Arial" w:cs="Arial"/>
                <w:b/>
                <w:bCs/>
                <w:sz w:val="15"/>
                <w:szCs w:val="15"/>
                <w:lang w:eastAsia="el-GR"/>
              </w:rPr>
              <w:tab/>
              <w:t xml:space="preserve">Ισοζύγιο κρατικού προϋπολογισμού κατά ESA (Ι-ΙI) </w:t>
            </w:r>
          </w:p>
        </w:tc>
        <w:tc>
          <w:tcPr>
            <w:tcW w:w="1120" w:type="dxa"/>
            <w:tcBorders>
              <w:top w:val="nil"/>
              <w:left w:val="nil"/>
              <w:bottom w:val="nil"/>
              <w:right w:val="nil"/>
            </w:tcBorders>
            <w:shd w:val="clear" w:color="auto" w:fill="D5DCE4"/>
            <w:vAlign w:val="center"/>
          </w:tcPr>
          <w:p w14:paraId="4C0C5C4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-6.049</w:t>
            </w:r>
          </w:p>
        </w:tc>
        <w:tc>
          <w:tcPr>
            <w:tcW w:w="1177" w:type="dxa"/>
            <w:tcBorders>
              <w:top w:val="nil"/>
              <w:left w:val="nil"/>
              <w:bottom w:val="nil"/>
              <w:right w:val="nil"/>
            </w:tcBorders>
            <w:shd w:val="clear" w:color="auto" w:fill="D5DCE4"/>
            <w:vAlign w:val="center"/>
          </w:tcPr>
          <w:p w14:paraId="113C488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-6.253</w:t>
            </w:r>
          </w:p>
        </w:tc>
        <w:tc>
          <w:tcPr>
            <w:tcW w:w="1120" w:type="dxa"/>
            <w:tcBorders>
              <w:top w:val="nil"/>
              <w:left w:val="nil"/>
              <w:bottom w:val="nil"/>
              <w:right w:val="nil"/>
            </w:tcBorders>
            <w:shd w:val="clear" w:color="auto" w:fill="D5DCE4"/>
            <w:vAlign w:val="center"/>
          </w:tcPr>
          <w:p w14:paraId="50B7939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-5.361</w:t>
            </w:r>
          </w:p>
        </w:tc>
        <w:tc>
          <w:tcPr>
            <w:tcW w:w="1140" w:type="dxa"/>
            <w:tcBorders>
              <w:top w:val="nil"/>
              <w:left w:val="nil"/>
              <w:bottom w:val="nil"/>
              <w:right w:val="single" w:sz="4" w:space="0" w:color="808080"/>
            </w:tcBorders>
            <w:shd w:val="clear" w:color="auto" w:fill="D5DCE4"/>
            <w:vAlign w:val="center"/>
          </w:tcPr>
          <w:p w14:paraId="2DA5462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-5.930</w:t>
            </w:r>
          </w:p>
        </w:tc>
      </w:tr>
      <w:tr w:rsidR="00B22E86" w:rsidRPr="00B22E86" w14:paraId="5F59BCAF" w14:textId="77777777" w:rsidTr="00B22E86">
        <w:trPr>
          <w:cantSplit/>
          <w:trHeight w:val="198"/>
          <w:jc w:val="center"/>
        </w:trPr>
        <w:tc>
          <w:tcPr>
            <w:tcW w:w="6640" w:type="dxa"/>
            <w:shd w:val="clear" w:color="auto" w:fill="D5DCE4"/>
            <w:vAlign w:val="center"/>
            <w:hideMark/>
          </w:tcPr>
          <w:p w14:paraId="3F7E769E"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 ΑΕΠ</w:t>
            </w:r>
          </w:p>
        </w:tc>
        <w:tc>
          <w:tcPr>
            <w:tcW w:w="1120" w:type="dxa"/>
            <w:tcBorders>
              <w:top w:val="nil"/>
              <w:left w:val="nil"/>
              <w:bottom w:val="nil"/>
              <w:right w:val="nil"/>
            </w:tcBorders>
            <w:shd w:val="clear" w:color="auto" w:fill="D5DCE4"/>
            <w:vAlign w:val="center"/>
          </w:tcPr>
          <w:p w14:paraId="71994F22"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-2,7%</w:t>
            </w:r>
          </w:p>
        </w:tc>
        <w:tc>
          <w:tcPr>
            <w:tcW w:w="1177" w:type="dxa"/>
            <w:tcBorders>
              <w:top w:val="nil"/>
              <w:left w:val="nil"/>
              <w:bottom w:val="nil"/>
              <w:right w:val="nil"/>
            </w:tcBorders>
            <w:shd w:val="clear" w:color="auto" w:fill="D5DCE4"/>
            <w:vAlign w:val="center"/>
          </w:tcPr>
          <w:p w14:paraId="217DACFC"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-2,7%</w:t>
            </w:r>
          </w:p>
        </w:tc>
        <w:tc>
          <w:tcPr>
            <w:tcW w:w="1120" w:type="dxa"/>
            <w:tcBorders>
              <w:top w:val="nil"/>
              <w:left w:val="nil"/>
              <w:bottom w:val="nil"/>
              <w:right w:val="nil"/>
            </w:tcBorders>
            <w:shd w:val="clear" w:color="auto" w:fill="D5DCE4"/>
            <w:vAlign w:val="center"/>
          </w:tcPr>
          <w:p w14:paraId="6D620D1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-2,3%</w:t>
            </w:r>
          </w:p>
        </w:tc>
        <w:tc>
          <w:tcPr>
            <w:tcW w:w="1140" w:type="dxa"/>
            <w:tcBorders>
              <w:top w:val="nil"/>
              <w:left w:val="nil"/>
              <w:bottom w:val="nil"/>
              <w:right w:val="single" w:sz="4" w:space="0" w:color="808080"/>
            </w:tcBorders>
            <w:shd w:val="clear" w:color="auto" w:fill="D5DCE4"/>
            <w:vAlign w:val="center"/>
          </w:tcPr>
          <w:p w14:paraId="659D51D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-2,4%</w:t>
            </w:r>
          </w:p>
        </w:tc>
      </w:tr>
      <w:tr w:rsidR="00B22E86" w:rsidRPr="00B22E86" w14:paraId="29398D27" w14:textId="77777777" w:rsidTr="00B22E86">
        <w:trPr>
          <w:cantSplit/>
          <w:trHeight w:val="198"/>
          <w:jc w:val="center"/>
        </w:trPr>
        <w:tc>
          <w:tcPr>
            <w:tcW w:w="6640" w:type="dxa"/>
            <w:tcBorders>
              <w:bottom w:val="nil"/>
            </w:tcBorders>
            <w:shd w:val="clear" w:color="auto" w:fill="D5DCE4"/>
            <w:vAlign w:val="center"/>
            <w:hideMark/>
          </w:tcPr>
          <w:p w14:paraId="10A87106"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IV.</w:t>
            </w:r>
            <w:r w:rsidRPr="00B22E86">
              <w:rPr>
                <w:rFonts w:ascii="Arial" w:eastAsia="Times New Roman" w:hAnsi="Arial" w:cs="Arial"/>
                <w:b/>
                <w:bCs/>
                <w:sz w:val="15"/>
                <w:szCs w:val="15"/>
                <w:lang w:eastAsia="el-GR"/>
              </w:rPr>
              <w:tab/>
              <w:t>Πρωτογενές αποτέλεσμα κρατικού προϋπολογισμού κατά ESA (III+II.στ-I.ε1)</w:t>
            </w:r>
          </w:p>
        </w:tc>
        <w:tc>
          <w:tcPr>
            <w:tcW w:w="1120" w:type="dxa"/>
            <w:tcBorders>
              <w:top w:val="nil"/>
              <w:left w:val="nil"/>
              <w:bottom w:val="nil"/>
              <w:right w:val="nil"/>
            </w:tcBorders>
            <w:shd w:val="clear" w:color="auto" w:fill="D5DCE4"/>
            <w:vAlign w:val="center"/>
          </w:tcPr>
          <w:p w14:paraId="2904B8C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3.026</w:t>
            </w:r>
          </w:p>
        </w:tc>
        <w:tc>
          <w:tcPr>
            <w:tcW w:w="1177" w:type="dxa"/>
            <w:tcBorders>
              <w:top w:val="nil"/>
              <w:left w:val="nil"/>
              <w:bottom w:val="nil"/>
              <w:right w:val="nil"/>
            </w:tcBorders>
            <w:shd w:val="clear" w:color="auto" w:fill="D5DCE4"/>
            <w:vAlign w:val="center"/>
          </w:tcPr>
          <w:p w14:paraId="3531ED6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2.547</w:t>
            </w:r>
          </w:p>
        </w:tc>
        <w:tc>
          <w:tcPr>
            <w:tcW w:w="1120" w:type="dxa"/>
            <w:tcBorders>
              <w:top w:val="nil"/>
              <w:left w:val="nil"/>
              <w:bottom w:val="nil"/>
              <w:right w:val="nil"/>
            </w:tcBorders>
            <w:shd w:val="clear" w:color="auto" w:fill="D5DCE4"/>
            <w:vAlign w:val="center"/>
          </w:tcPr>
          <w:p w14:paraId="576D8852"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4.494</w:t>
            </w:r>
          </w:p>
        </w:tc>
        <w:tc>
          <w:tcPr>
            <w:tcW w:w="1140" w:type="dxa"/>
            <w:tcBorders>
              <w:top w:val="nil"/>
              <w:left w:val="nil"/>
              <w:bottom w:val="nil"/>
              <w:right w:val="single" w:sz="4" w:space="0" w:color="808080"/>
            </w:tcBorders>
            <w:shd w:val="clear" w:color="auto" w:fill="D5DCE4"/>
            <w:vAlign w:val="center"/>
          </w:tcPr>
          <w:p w14:paraId="20138DF4"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3.470</w:t>
            </w:r>
          </w:p>
        </w:tc>
      </w:tr>
      <w:tr w:rsidR="00B22E86" w:rsidRPr="00B22E86" w14:paraId="3407413B" w14:textId="77777777" w:rsidTr="00B22E86">
        <w:trPr>
          <w:cantSplit/>
          <w:trHeight w:val="198"/>
          <w:jc w:val="center"/>
        </w:trPr>
        <w:tc>
          <w:tcPr>
            <w:tcW w:w="6640" w:type="dxa"/>
            <w:tcBorders>
              <w:top w:val="nil"/>
              <w:bottom w:val="single" w:sz="4" w:space="0" w:color="808080"/>
            </w:tcBorders>
            <w:shd w:val="clear" w:color="auto" w:fill="D5DCE4"/>
            <w:vAlign w:val="center"/>
            <w:hideMark/>
          </w:tcPr>
          <w:p w14:paraId="1FE8DDE6"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 ΑΕΠ</w:t>
            </w:r>
          </w:p>
        </w:tc>
        <w:tc>
          <w:tcPr>
            <w:tcW w:w="1120" w:type="dxa"/>
            <w:tcBorders>
              <w:top w:val="nil"/>
              <w:left w:val="nil"/>
              <w:bottom w:val="single" w:sz="4" w:space="0" w:color="808080"/>
              <w:right w:val="nil"/>
            </w:tcBorders>
            <w:shd w:val="clear" w:color="auto" w:fill="D5DCE4"/>
            <w:vAlign w:val="center"/>
          </w:tcPr>
          <w:p w14:paraId="4395740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1,3%</w:t>
            </w:r>
          </w:p>
        </w:tc>
        <w:tc>
          <w:tcPr>
            <w:tcW w:w="1177" w:type="dxa"/>
            <w:tcBorders>
              <w:top w:val="nil"/>
              <w:left w:val="nil"/>
              <w:bottom w:val="single" w:sz="4" w:space="0" w:color="808080"/>
              <w:right w:val="nil"/>
            </w:tcBorders>
            <w:shd w:val="clear" w:color="auto" w:fill="D5DCE4"/>
            <w:vAlign w:val="center"/>
          </w:tcPr>
          <w:p w14:paraId="57912894"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1,1%</w:t>
            </w:r>
          </w:p>
        </w:tc>
        <w:tc>
          <w:tcPr>
            <w:tcW w:w="1120" w:type="dxa"/>
            <w:tcBorders>
              <w:top w:val="nil"/>
              <w:left w:val="nil"/>
              <w:bottom w:val="single" w:sz="4" w:space="0" w:color="808080"/>
              <w:right w:val="nil"/>
            </w:tcBorders>
            <w:shd w:val="clear" w:color="auto" w:fill="D5DCE4"/>
            <w:vAlign w:val="center"/>
          </w:tcPr>
          <w:p w14:paraId="76CE8F2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1,9%</w:t>
            </w:r>
          </w:p>
        </w:tc>
        <w:tc>
          <w:tcPr>
            <w:tcW w:w="1140" w:type="dxa"/>
            <w:tcBorders>
              <w:top w:val="nil"/>
              <w:left w:val="nil"/>
              <w:bottom w:val="single" w:sz="4" w:space="0" w:color="808080"/>
              <w:right w:val="single" w:sz="4" w:space="0" w:color="808080"/>
            </w:tcBorders>
            <w:shd w:val="clear" w:color="auto" w:fill="D5DCE4"/>
            <w:vAlign w:val="center"/>
          </w:tcPr>
          <w:p w14:paraId="6D56BFC1"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1,4%</w:t>
            </w:r>
          </w:p>
        </w:tc>
      </w:tr>
      <w:tr w:rsidR="00B22E86" w:rsidRPr="00B22E86" w14:paraId="7B0AF97E" w14:textId="77777777" w:rsidTr="00B22E86">
        <w:trPr>
          <w:cantSplit/>
          <w:trHeight w:val="198"/>
          <w:jc w:val="center"/>
        </w:trPr>
        <w:tc>
          <w:tcPr>
            <w:tcW w:w="6640" w:type="dxa"/>
            <w:tcBorders>
              <w:top w:val="nil"/>
            </w:tcBorders>
            <w:shd w:val="clear" w:color="auto" w:fill="D5DCE4"/>
            <w:vAlign w:val="center"/>
            <w:hideMark/>
          </w:tcPr>
          <w:p w14:paraId="3E1EC96F"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V.</w:t>
            </w:r>
            <w:r w:rsidRPr="00B22E86">
              <w:rPr>
                <w:rFonts w:ascii="Arial" w:eastAsia="Times New Roman" w:hAnsi="Arial" w:cs="Arial"/>
                <w:b/>
                <w:bCs/>
                <w:sz w:val="15"/>
                <w:szCs w:val="15"/>
                <w:lang w:eastAsia="el-GR"/>
              </w:rPr>
              <w:tab/>
              <w:t>Ισοζύγιο νομικών προσώπων Κεντρικής Κυβέρνησης κατά ESA</w:t>
            </w:r>
          </w:p>
        </w:tc>
        <w:tc>
          <w:tcPr>
            <w:tcW w:w="1120" w:type="dxa"/>
            <w:tcBorders>
              <w:top w:val="nil"/>
              <w:left w:val="nil"/>
              <w:bottom w:val="nil"/>
              <w:right w:val="nil"/>
            </w:tcBorders>
            <w:shd w:val="clear" w:color="auto" w:fill="D5DCE4"/>
            <w:vAlign w:val="center"/>
          </w:tcPr>
          <w:p w14:paraId="3E2285BC"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3.022</w:t>
            </w:r>
          </w:p>
        </w:tc>
        <w:tc>
          <w:tcPr>
            <w:tcW w:w="1177" w:type="dxa"/>
            <w:tcBorders>
              <w:top w:val="nil"/>
              <w:left w:val="nil"/>
              <w:bottom w:val="nil"/>
              <w:right w:val="nil"/>
            </w:tcBorders>
            <w:shd w:val="clear" w:color="auto" w:fill="D5DCE4"/>
            <w:vAlign w:val="center"/>
          </w:tcPr>
          <w:p w14:paraId="4D71520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2.691</w:t>
            </w:r>
          </w:p>
        </w:tc>
        <w:tc>
          <w:tcPr>
            <w:tcW w:w="1120" w:type="dxa"/>
            <w:tcBorders>
              <w:top w:val="nil"/>
              <w:left w:val="nil"/>
              <w:bottom w:val="nil"/>
              <w:right w:val="nil"/>
            </w:tcBorders>
            <w:shd w:val="clear" w:color="auto" w:fill="D5DCE4"/>
            <w:vAlign w:val="center"/>
          </w:tcPr>
          <w:p w14:paraId="0F65342F"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2.517</w:t>
            </w:r>
          </w:p>
        </w:tc>
        <w:tc>
          <w:tcPr>
            <w:tcW w:w="1140" w:type="dxa"/>
            <w:tcBorders>
              <w:top w:val="nil"/>
              <w:left w:val="nil"/>
              <w:bottom w:val="nil"/>
              <w:right w:val="single" w:sz="4" w:space="0" w:color="808080"/>
            </w:tcBorders>
            <w:shd w:val="clear" w:color="auto" w:fill="D5DCE4"/>
            <w:vAlign w:val="center"/>
          </w:tcPr>
          <w:p w14:paraId="388FADC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3.535</w:t>
            </w:r>
          </w:p>
        </w:tc>
      </w:tr>
      <w:tr w:rsidR="00B22E86" w:rsidRPr="00B22E86" w14:paraId="317E8003" w14:textId="77777777" w:rsidTr="00B22E86">
        <w:trPr>
          <w:cantSplit/>
          <w:jc w:val="center"/>
        </w:trPr>
        <w:tc>
          <w:tcPr>
            <w:tcW w:w="6640" w:type="dxa"/>
            <w:shd w:val="clear" w:color="auto" w:fill="auto"/>
            <w:vAlign w:val="center"/>
            <w:hideMark/>
          </w:tcPr>
          <w:p w14:paraId="6F12522E"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 xml:space="preserve">Έσοδα </w:t>
            </w:r>
          </w:p>
        </w:tc>
        <w:tc>
          <w:tcPr>
            <w:tcW w:w="1120" w:type="dxa"/>
            <w:tcBorders>
              <w:top w:val="nil"/>
              <w:left w:val="nil"/>
              <w:bottom w:val="nil"/>
              <w:right w:val="nil"/>
            </w:tcBorders>
            <w:shd w:val="clear" w:color="auto" w:fill="auto"/>
            <w:vAlign w:val="center"/>
          </w:tcPr>
          <w:p w14:paraId="2CE78ED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15.276</w:t>
            </w:r>
          </w:p>
        </w:tc>
        <w:tc>
          <w:tcPr>
            <w:tcW w:w="1177" w:type="dxa"/>
            <w:tcBorders>
              <w:top w:val="nil"/>
              <w:left w:val="nil"/>
              <w:bottom w:val="nil"/>
              <w:right w:val="nil"/>
            </w:tcBorders>
            <w:shd w:val="clear" w:color="auto" w:fill="auto"/>
            <w:vAlign w:val="center"/>
          </w:tcPr>
          <w:p w14:paraId="4A5FD01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13.132</w:t>
            </w:r>
          </w:p>
        </w:tc>
        <w:tc>
          <w:tcPr>
            <w:tcW w:w="1120" w:type="dxa"/>
            <w:tcBorders>
              <w:top w:val="nil"/>
              <w:left w:val="nil"/>
              <w:bottom w:val="nil"/>
              <w:right w:val="nil"/>
            </w:tcBorders>
            <w:shd w:val="clear" w:color="auto" w:fill="auto"/>
            <w:vAlign w:val="center"/>
          </w:tcPr>
          <w:p w14:paraId="58BF7B44"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14.965</w:t>
            </w:r>
          </w:p>
        </w:tc>
        <w:tc>
          <w:tcPr>
            <w:tcW w:w="1140" w:type="dxa"/>
            <w:tcBorders>
              <w:top w:val="nil"/>
              <w:left w:val="nil"/>
              <w:bottom w:val="nil"/>
              <w:right w:val="single" w:sz="4" w:space="0" w:color="808080"/>
            </w:tcBorders>
            <w:shd w:val="clear" w:color="auto" w:fill="auto"/>
            <w:vAlign w:val="center"/>
          </w:tcPr>
          <w:p w14:paraId="44E8C94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15.233</w:t>
            </w:r>
          </w:p>
        </w:tc>
      </w:tr>
      <w:tr w:rsidR="00B22E86" w:rsidRPr="00B22E86" w14:paraId="6DA524A8" w14:textId="77777777" w:rsidTr="00B22E86">
        <w:trPr>
          <w:cantSplit/>
          <w:jc w:val="center"/>
        </w:trPr>
        <w:tc>
          <w:tcPr>
            <w:tcW w:w="6640" w:type="dxa"/>
            <w:shd w:val="clear" w:color="auto" w:fill="auto"/>
            <w:vAlign w:val="center"/>
            <w:hideMark/>
          </w:tcPr>
          <w:p w14:paraId="5D01B70C"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Τρέχουσες και λοιπές κεφαλαιακές μεταβιβάσεις</w:t>
            </w:r>
          </w:p>
        </w:tc>
        <w:tc>
          <w:tcPr>
            <w:tcW w:w="1120" w:type="dxa"/>
            <w:tcBorders>
              <w:top w:val="nil"/>
              <w:left w:val="nil"/>
              <w:bottom w:val="nil"/>
              <w:right w:val="nil"/>
            </w:tcBorders>
            <w:shd w:val="clear" w:color="auto" w:fill="auto"/>
            <w:vAlign w:val="center"/>
          </w:tcPr>
          <w:p w14:paraId="25D83DE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5.889</w:t>
            </w:r>
          </w:p>
        </w:tc>
        <w:tc>
          <w:tcPr>
            <w:tcW w:w="1177" w:type="dxa"/>
            <w:tcBorders>
              <w:top w:val="nil"/>
              <w:left w:val="nil"/>
              <w:bottom w:val="nil"/>
              <w:right w:val="nil"/>
            </w:tcBorders>
            <w:shd w:val="clear" w:color="auto" w:fill="auto"/>
            <w:vAlign w:val="center"/>
          </w:tcPr>
          <w:p w14:paraId="73CB61A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5.196</w:t>
            </w:r>
          </w:p>
        </w:tc>
        <w:tc>
          <w:tcPr>
            <w:tcW w:w="1120" w:type="dxa"/>
            <w:tcBorders>
              <w:top w:val="nil"/>
              <w:left w:val="nil"/>
              <w:bottom w:val="nil"/>
              <w:right w:val="nil"/>
            </w:tcBorders>
            <w:shd w:val="clear" w:color="auto" w:fill="auto"/>
            <w:vAlign w:val="center"/>
          </w:tcPr>
          <w:p w14:paraId="5C6EB10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5.688</w:t>
            </w:r>
          </w:p>
        </w:tc>
        <w:tc>
          <w:tcPr>
            <w:tcW w:w="1140" w:type="dxa"/>
            <w:tcBorders>
              <w:top w:val="nil"/>
              <w:left w:val="nil"/>
              <w:bottom w:val="nil"/>
              <w:right w:val="single" w:sz="4" w:space="0" w:color="808080"/>
            </w:tcBorders>
            <w:shd w:val="clear" w:color="auto" w:fill="auto"/>
            <w:vAlign w:val="center"/>
          </w:tcPr>
          <w:p w14:paraId="1D8AB74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6.343</w:t>
            </w:r>
          </w:p>
        </w:tc>
      </w:tr>
      <w:tr w:rsidR="00B22E86" w:rsidRPr="00B22E86" w14:paraId="668B6EE4" w14:textId="77777777" w:rsidTr="00B22E86">
        <w:trPr>
          <w:cantSplit/>
          <w:jc w:val="center"/>
        </w:trPr>
        <w:tc>
          <w:tcPr>
            <w:tcW w:w="6640" w:type="dxa"/>
            <w:shd w:val="clear" w:color="auto" w:fill="auto"/>
            <w:vAlign w:val="center"/>
            <w:hideMark/>
          </w:tcPr>
          <w:p w14:paraId="737C3E62"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Τόκοι πιστωτικοί</w:t>
            </w:r>
          </w:p>
        </w:tc>
        <w:tc>
          <w:tcPr>
            <w:tcW w:w="1120" w:type="dxa"/>
            <w:tcBorders>
              <w:top w:val="nil"/>
              <w:left w:val="nil"/>
              <w:bottom w:val="nil"/>
              <w:right w:val="nil"/>
            </w:tcBorders>
            <w:shd w:val="clear" w:color="auto" w:fill="auto"/>
            <w:vAlign w:val="center"/>
          </w:tcPr>
          <w:p w14:paraId="0072317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1.234</w:t>
            </w:r>
          </w:p>
        </w:tc>
        <w:tc>
          <w:tcPr>
            <w:tcW w:w="1177" w:type="dxa"/>
            <w:tcBorders>
              <w:top w:val="nil"/>
              <w:left w:val="nil"/>
              <w:bottom w:val="nil"/>
              <w:right w:val="nil"/>
            </w:tcBorders>
            <w:shd w:val="clear" w:color="auto" w:fill="auto"/>
            <w:vAlign w:val="center"/>
          </w:tcPr>
          <w:p w14:paraId="37E0391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947</w:t>
            </w:r>
          </w:p>
        </w:tc>
        <w:tc>
          <w:tcPr>
            <w:tcW w:w="1120" w:type="dxa"/>
            <w:tcBorders>
              <w:top w:val="nil"/>
              <w:left w:val="nil"/>
              <w:bottom w:val="nil"/>
              <w:right w:val="nil"/>
            </w:tcBorders>
            <w:shd w:val="clear" w:color="auto" w:fill="auto"/>
            <w:vAlign w:val="center"/>
          </w:tcPr>
          <w:p w14:paraId="2FFAC3D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1.539</w:t>
            </w:r>
          </w:p>
        </w:tc>
        <w:tc>
          <w:tcPr>
            <w:tcW w:w="1140" w:type="dxa"/>
            <w:tcBorders>
              <w:top w:val="nil"/>
              <w:left w:val="nil"/>
              <w:bottom w:val="nil"/>
              <w:right w:val="single" w:sz="4" w:space="0" w:color="808080"/>
            </w:tcBorders>
            <w:shd w:val="clear" w:color="auto" w:fill="auto"/>
            <w:vAlign w:val="center"/>
          </w:tcPr>
          <w:p w14:paraId="4237823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1.431</w:t>
            </w:r>
          </w:p>
        </w:tc>
      </w:tr>
      <w:tr w:rsidR="00B22E86" w:rsidRPr="00B22E86" w14:paraId="4778C18E" w14:textId="77777777" w:rsidTr="00B22E86">
        <w:trPr>
          <w:cantSplit/>
          <w:jc w:val="center"/>
        </w:trPr>
        <w:tc>
          <w:tcPr>
            <w:tcW w:w="6640" w:type="dxa"/>
            <w:shd w:val="clear" w:color="auto" w:fill="auto"/>
            <w:vAlign w:val="center"/>
            <w:hideMark/>
          </w:tcPr>
          <w:p w14:paraId="0E2A04C9"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Φόροι</w:t>
            </w:r>
          </w:p>
        </w:tc>
        <w:tc>
          <w:tcPr>
            <w:tcW w:w="1120" w:type="dxa"/>
            <w:tcBorders>
              <w:top w:val="nil"/>
              <w:left w:val="nil"/>
              <w:bottom w:val="nil"/>
              <w:right w:val="nil"/>
            </w:tcBorders>
            <w:shd w:val="clear" w:color="auto" w:fill="auto"/>
            <w:vAlign w:val="center"/>
          </w:tcPr>
          <w:p w14:paraId="7D06525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4.098</w:t>
            </w:r>
          </w:p>
        </w:tc>
        <w:tc>
          <w:tcPr>
            <w:tcW w:w="1177" w:type="dxa"/>
            <w:tcBorders>
              <w:top w:val="nil"/>
              <w:left w:val="nil"/>
              <w:bottom w:val="nil"/>
              <w:right w:val="nil"/>
            </w:tcBorders>
            <w:shd w:val="clear" w:color="auto" w:fill="auto"/>
            <w:vAlign w:val="center"/>
          </w:tcPr>
          <w:p w14:paraId="7691735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3.277</w:t>
            </w:r>
          </w:p>
        </w:tc>
        <w:tc>
          <w:tcPr>
            <w:tcW w:w="1120" w:type="dxa"/>
            <w:tcBorders>
              <w:top w:val="nil"/>
              <w:left w:val="nil"/>
              <w:bottom w:val="nil"/>
              <w:right w:val="nil"/>
            </w:tcBorders>
            <w:shd w:val="clear" w:color="auto" w:fill="auto"/>
            <w:vAlign w:val="center"/>
          </w:tcPr>
          <w:p w14:paraId="4504045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3.546</w:t>
            </w:r>
          </w:p>
        </w:tc>
        <w:tc>
          <w:tcPr>
            <w:tcW w:w="1140" w:type="dxa"/>
            <w:tcBorders>
              <w:top w:val="nil"/>
              <w:left w:val="nil"/>
              <w:bottom w:val="nil"/>
              <w:right w:val="single" w:sz="4" w:space="0" w:color="808080"/>
            </w:tcBorders>
            <w:shd w:val="clear" w:color="auto" w:fill="auto"/>
            <w:vAlign w:val="center"/>
          </w:tcPr>
          <w:p w14:paraId="4626543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3.147</w:t>
            </w:r>
          </w:p>
        </w:tc>
      </w:tr>
      <w:tr w:rsidR="00B22E86" w:rsidRPr="00B22E86" w14:paraId="3A4F1D90" w14:textId="77777777" w:rsidTr="00B22E86">
        <w:trPr>
          <w:cantSplit/>
          <w:jc w:val="center"/>
        </w:trPr>
        <w:tc>
          <w:tcPr>
            <w:tcW w:w="6640" w:type="dxa"/>
            <w:shd w:val="clear" w:color="auto" w:fill="auto"/>
            <w:vAlign w:val="center"/>
            <w:hideMark/>
          </w:tcPr>
          <w:p w14:paraId="7EA631AF" w14:textId="77777777" w:rsidR="00B22E86" w:rsidRPr="00B22E86" w:rsidRDefault="00B22E86" w:rsidP="00B22E86">
            <w:pPr>
              <w:spacing w:after="0" w:line="240" w:lineRule="auto"/>
              <w:rPr>
                <w:rFonts w:ascii="Arial" w:eastAsia="Times New Roman" w:hAnsi="Arial" w:cs="Arial"/>
                <w:sz w:val="15"/>
                <w:szCs w:val="15"/>
                <w:lang w:eastAsia="el-GR"/>
              </w:rPr>
            </w:pPr>
            <w:proofErr w:type="spellStart"/>
            <w:r w:rsidRPr="00B22E86">
              <w:rPr>
                <w:rFonts w:ascii="Arial" w:eastAsia="Times New Roman" w:hAnsi="Arial" w:cs="Arial"/>
                <w:sz w:val="15"/>
                <w:szCs w:val="15"/>
                <w:lang w:eastAsia="el-GR"/>
              </w:rPr>
              <w:t>Αντικριζόμενα</w:t>
            </w:r>
            <w:proofErr w:type="spellEnd"/>
            <w:r w:rsidRPr="00B22E86">
              <w:rPr>
                <w:rFonts w:ascii="Arial" w:eastAsia="Times New Roman" w:hAnsi="Arial" w:cs="Arial"/>
                <w:sz w:val="15"/>
                <w:szCs w:val="15"/>
                <w:lang w:eastAsia="el-GR"/>
              </w:rPr>
              <w:t xml:space="preserve"> έσοδα (καθαρά)</w:t>
            </w:r>
          </w:p>
        </w:tc>
        <w:tc>
          <w:tcPr>
            <w:tcW w:w="1120" w:type="dxa"/>
            <w:tcBorders>
              <w:top w:val="nil"/>
              <w:left w:val="nil"/>
              <w:bottom w:val="nil"/>
              <w:right w:val="nil"/>
            </w:tcBorders>
            <w:shd w:val="clear" w:color="auto" w:fill="auto"/>
            <w:vAlign w:val="center"/>
          </w:tcPr>
          <w:p w14:paraId="48CD034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-11</w:t>
            </w:r>
          </w:p>
        </w:tc>
        <w:tc>
          <w:tcPr>
            <w:tcW w:w="1177" w:type="dxa"/>
            <w:tcBorders>
              <w:top w:val="nil"/>
              <w:left w:val="nil"/>
              <w:bottom w:val="nil"/>
              <w:right w:val="nil"/>
            </w:tcBorders>
            <w:shd w:val="clear" w:color="auto" w:fill="auto"/>
            <w:vAlign w:val="center"/>
          </w:tcPr>
          <w:p w14:paraId="7C02B80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-10</w:t>
            </w:r>
          </w:p>
        </w:tc>
        <w:tc>
          <w:tcPr>
            <w:tcW w:w="1120" w:type="dxa"/>
            <w:tcBorders>
              <w:top w:val="nil"/>
              <w:left w:val="nil"/>
              <w:bottom w:val="nil"/>
              <w:right w:val="nil"/>
            </w:tcBorders>
            <w:shd w:val="clear" w:color="auto" w:fill="auto"/>
            <w:vAlign w:val="center"/>
          </w:tcPr>
          <w:p w14:paraId="0F5B594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c>
          <w:tcPr>
            <w:tcW w:w="1140" w:type="dxa"/>
            <w:tcBorders>
              <w:top w:val="nil"/>
              <w:left w:val="nil"/>
              <w:bottom w:val="nil"/>
              <w:right w:val="single" w:sz="4" w:space="0" w:color="808080"/>
            </w:tcBorders>
            <w:shd w:val="clear" w:color="auto" w:fill="auto"/>
            <w:vAlign w:val="center"/>
          </w:tcPr>
          <w:p w14:paraId="3E7C1C1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r>
      <w:tr w:rsidR="00B22E86" w:rsidRPr="00B22E86" w14:paraId="0103FA05" w14:textId="77777777" w:rsidTr="00B22E86">
        <w:trPr>
          <w:cantSplit/>
          <w:jc w:val="center"/>
        </w:trPr>
        <w:tc>
          <w:tcPr>
            <w:tcW w:w="6640" w:type="dxa"/>
            <w:shd w:val="clear" w:color="auto" w:fill="auto"/>
            <w:vAlign w:val="center"/>
            <w:hideMark/>
          </w:tcPr>
          <w:p w14:paraId="082DEA6B"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Λοιπά έσοδα</w:t>
            </w:r>
          </w:p>
        </w:tc>
        <w:tc>
          <w:tcPr>
            <w:tcW w:w="1120" w:type="dxa"/>
            <w:tcBorders>
              <w:top w:val="nil"/>
              <w:left w:val="nil"/>
              <w:bottom w:val="nil"/>
              <w:right w:val="nil"/>
            </w:tcBorders>
            <w:shd w:val="clear" w:color="auto" w:fill="auto"/>
            <w:vAlign w:val="center"/>
          </w:tcPr>
          <w:p w14:paraId="6486BAD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4.067</w:t>
            </w:r>
          </w:p>
        </w:tc>
        <w:tc>
          <w:tcPr>
            <w:tcW w:w="1177" w:type="dxa"/>
            <w:tcBorders>
              <w:top w:val="nil"/>
              <w:left w:val="nil"/>
              <w:bottom w:val="nil"/>
              <w:right w:val="nil"/>
            </w:tcBorders>
            <w:shd w:val="clear" w:color="auto" w:fill="auto"/>
            <w:vAlign w:val="center"/>
          </w:tcPr>
          <w:p w14:paraId="1FBA141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3.722</w:t>
            </w:r>
          </w:p>
        </w:tc>
        <w:tc>
          <w:tcPr>
            <w:tcW w:w="1120" w:type="dxa"/>
            <w:tcBorders>
              <w:top w:val="nil"/>
              <w:left w:val="nil"/>
              <w:bottom w:val="nil"/>
              <w:right w:val="nil"/>
            </w:tcBorders>
            <w:shd w:val="clear" w:color="auto" w:fill="auto"/>
            <w:vAlign w:val="center"/>
          </w:tcPr>
          <w:p w14:paraId="40A144E4"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4.193</w:t>
            </w:r>
          </w:p>
        </w:tc>
        <w:tc>
          <w:tcPr>
            <w:tcW w:w="1140" w:type="dxa"/>
            <w:tcBorders>
              <w:top w:val="nil"/>
              <w:left w:val="nil"/>
              <w:bottom w:val="nil"/>
              <w:right w:val="single" w:sz="4" w:space="0" w:color="808080"/>
            </w:tcBorders>
            <w:shd w:val="clear" w:color="auto" w:fill="auto"/>
            <w:vAlign w:val="center"/>
          </w:tcPr>
          <w:p w14:paraId="05DCC1D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4.312</w:t>
            </w:r>
          </w:p>
        </w:tc>
      </w:tr>
      <w:tr w:rsidR="00B22E86" w:rsidRPr="00B22E86" w14:paraId="2A41283E" w14:textId="77777777" w:rsidTr="00B22E86">
        <w:trPr>
          <w:cantSplit/>
          <w:jc w:val="center"/>
        </w:trPr>
        <w:tc>
          <w:tcPr>
            <w:tcW w:w="6640" w:type="dxa"/>
            <w:shd w:val="clear" w:color="auto" w:fill="auto"/>
            <w:vAlign w:val="center"/>
            <w:hideMark/>
          </w:tcPr>
          <w:p w14:paraId="109B40CD"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Έξοδα</w:t>
            </w:r>
          </w:p>
        </w:tc>
        <w:tc>
          <w:tcPr>
            <w:tcW w:w="1120" w:type="dxa"/>
            <w:tcBorders>
              <w:top w:val="nil"/>
              <w:left w:val="nil"/>
              <w:bottom w:val="nil"/>
              <w:right w:val="nil"/>
            </w:tcBorders>
            <w:shd w:val="clear" w:color="auto" w:fill="auto"/>
            <w:vAlign w:val="center"/>
          </w:tcPr>
          <w:p w14:paraId="2F11A7AE"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12.254</w:t>
            </w:r>
          </w:p>
        </w:tc>
        <w:tc>
          <w:tcPr>
            <w:tcW w:w="1177" w:type="dxa"/>
            <w:tcBorders>
              <w:top w:val="nil"/>
              <w:left w:val="nil"/>
              <w:bottom w:val="nil"/>
              <w:right w:val="nil"/>
            </w:tcBorders>
            <w:shd w:val="clear" w:color="auto" w:fill="auto"/>
            <w:vAlign w:val="center"/>
          </w:tcPr>
          <w:p w14:paraId="535A8DD2"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10.441</w:t>
            </w:r>
          </w:p>
        </w:tc>
        <w:tc>
          <w:tcPr>
            <w:tcW w:w="1120" w:type="dxa"/>
            <w:tcBorders>
              <w:top w:val="nil"/>
              <w:left w:val="nil"/>
              <w:bottom w:val="nil"/>
              <w:right w:val="nil"/>
            </w:tcBorders>
            <w:shd w:val="clear" w:color="auto" w:fill="auto"/>
            <w:vAlign w:val="center"/>
          </w:tcPr>
          <w:p w14:paraId="53FF9E0C"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12.448</w:t>
            </w:r>
          </w:p>
        </w:tc>
        <w:tc>
          <w:tcPr>
            <w:tcW w:w="1140" w:type="dxa"/>
            <w:tcBorders>
              <w:top w:val="nil"/>
              <w:left w:val="nil"/>
              <w:bottom w:val="nil"/>
              <w:right w:val="single" w:sz="4" w:space="0" w:color="808080"/>
            </w:tcBorders>
            <w:shd w:val="clear" w:color="auto" w:fill="auto"/>
            <w:vAlign w:val="center"/>
          </w:tcPr>
          <w:p w14:paraId="105F11F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11.698</w:t>
            </w:r>
          </w:p>
        </w:tc>
      </w:tr>
      <w:tr w:rsidR="00B22E86" w:rsidRPr="00B22E86" w14:paraId="5EB6EDAB" w14:textId="77777777" w:rsidTr="00B22E86">
        <w:trPr>
          <w:cantSplit/>
          <w:jc w:val="center"/>
        </w:trPr>
        <w:tc>
          <w:tcPr>
            <w:tcW w:w="6640" w:type="dxa"/>
            <w:shd w:val="clear" w:color="auto" w:fill="auto"/>
            <w:vAlign w:val="center"/>
            <w:hideMark/>
          </w:tcPr>
          <w:p w14:paraId="20B1A180"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Παροχές σε εργαζόμενους</w:t>
            </w:r>
          </w:p>
        </w:tc>
        <w:tc>
          <w:tcPr>
            <w:tcW w:w="1120" w:type="dxa"/>
            <w:tcBorders>
              <w:top w:val="nil"/>
              <w:left w:val="nil"/>
              <w:bottom w:val="nil"/>
              <w:right w:val="nil"/>
            </w:tcBorders>
            <w:shd w:val="clear" w:color="auto" w:fill="auto"/>
            <w:vAlign w:val="center"/>
          </w:tcPr>
          <w:p w14:paraId="598D703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1.428</w:t>
            </w:r>
          </w:p>
        </w:tc>
        <w:tc>
          <w:tcPr>
            <w:tcW w:w="1177" w:type="dxa"/>
            <w:tcBorders>
              <w:top w:val="nil"/>
              <w:left w:val="nil"/>
              <w:bottom w:val="nil"/>
              <w:right w:val="nil"/>
            </w:tcBorders>
            <w:shd w:val="clear" w:color="auto" w:fill="auto"/>
            <w:vAlign w:val="center"/>
          </w:tcPr>
          <w:p w14:paraId="221690C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1.485</w:t>
            </w:r>
          </w:p>
        </w:tc>
        <w:tc>
          <w:tcPr>
            <w:tcW w:w="1120" w:type="dxa"/>
            <w:tcBorders>
              <w:top w:val="nil"/>
              <w:left w:val="nil"/>
              <w:bottom w:val="nil"/>
              <w:right w:val="nil"/>
            </w:tcBorders>
            <w:shd w:val="clear" w:color="auto" w:fill="auto"/>
            <w:vAlign w:val="center"/>
          </w:tcPr>
          <w:p w14:paraId="56BBD404"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1.510</w:t>
            </w:r>
          </w:p>
        </w:tc>
        <w:tc>
          <w:tcPr>
            <w:tcW w:w="1140" w:type="dxa"/>
            <w:tcBorders>
              <w:top w:val="nil"/>
              <w:left w:val="nil"/>
              <w:bottom w:val="nil"/>
              <w:right w:val="single" w:sz="4" w:space="0" w:color="808080"/>
            </w:tcBorders>
            <w:shd w:val="clear" w:color="auto" w:fill="auto"/>
            <w:vAlign w:val="center"/>
          </w:tcPr>
          <w:p w14:paraId="7EC1751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1.518</w:t>
            </w:r>
          </w:p>
        </w:tc>
      </w:tr>
      <w:tr w:rsidR="00B22E86" w:rsidRPr="00B22E86" w14:paraId="52053196" w14:textId="77777777" w:rsidTr="00B22E86">
        <w:trPr>
          <w:cantSplit/>
          <w:jc w:val="center"/>
        </w:trPr>
        <w:tc>
          <w:tcPr>
            <w:tcW w:w="6640" w:type="dxa"/>
            <w:shd w:val="clear" w:color="auto" w:fill="auto"/>
            <w:vAlign w:val="center"/>
            <w:hideMark/>
          </w:tcPr>
          <w:p w14:paraId="2AC89702"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Τόκοι χρεωστικοί</w:t>
            </w:r>
          </w:p>
        </w:tc>
        <w:tc>
          <w:tcPr>
            <w:tcW w:w="1120" w:type="dxa"/>
            <w:tcBorders>
              <w:top w:val="nil"/>
              <w:left w:val="nil"/>
              <w:bottom w:val="nil"/>
              <w:right w:val="nil"/>
            </w:tcBorders>
            <w:shd w:val="clear" w:color="auto" w:fill="auto"/>
            <w:vAlign w:val="center"/>
          </w:tcPr>
          <w:p w14:paraId="6C55F20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395</w:t>
            </w:r>
          </w:p>
        </w:tc>
        <w:tc>
          <w:tcPr>
            <w:tcW w:w="1177" w:type="dxa"/>
            <w:tcBorders>
              <w:top w:val="nil"/>
              <w:left w:val="nil"/>
              <w:bottom w:val="nil"/>
              <w:right w:val="nil"/>
            </w:tcBorders>
            <w:shd w:val="clear" w:color="auto" w:fill="auto"/>
            <w:vAlign w:val="center"/>
          </w:tcPr>
          <w:p w14:paraId="3833E41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372</w:t>
            </w:r>
          </w:p>
        </w:tc>
        <w:tc>
          <w:tcPr>
            <w:tcW w:w="1120" w:type="dxa"/>
            <w:tcBorders>
              <w:top w:val="nil"/>
              <w:left w:val="nil"/>
              <w:bottom w:val="nil"/>
              <w:right w:val="nil"/>
            </w:tcBorders>
            <w:shd w:val="clear" w:color="auto" w:fill="auto"/>
            <w:vAlign w:val="center"/>
          </w:tcPr>
          <w:p w14:paraId="39C3356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390</w:t>
            </w:r>
          </w:p>
        </w:tc>
        <w:tc>
          <w:tcPr>
            <w:tcW w:w="1140" w:type="dxa"/>
            <w:tcBorders>
              <w:top w:val="nil"/>
              <w:left w:val="nil"/>
              <w:bottom w:val="nil"/>
              <w:right w:val="single" w:sz="4" w:space="0" w:color="808080"/>
            </w:tcBorders>
            <w:shd w:val="clear" w:color="auto" w:fill="auto"/>
            <w:vAlign w:val="center"/>
          </w:tcPr>
          <w:p w14:paraId="10E5915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396</w:t>
            </w:r>
          </w:p>
        </w:tc>
      </w:tr>
      <w:tr w:rsidR="00B22E86" w:rsidRPr="00B22E86" w14:paraId="46E3539E" w14:textId="77777777" w:rsidTr="00B22E86">
        <w:trPr>
          <w:cantSplit/>
          <w:jc w:val="center"/>
        </w:trPr>
        <w:tc>
          <w:tcPr>
            <w:tcW w:w="6640" w:type="dxa"/>
            <w:shd w:val="clear" w:color="auto" w:fill="auto"/>
            <w:vAlign w:val="center"/>
            <w:hideMark/>
          </w:tcPr>
          <w:p w14:paraId="2C4C1AD0"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Λοιπά έξοδα</w:t>
            </w:r>
          </w:p>
        </w:tc>
        <w:tc>
          <w:tcPr>
            <w:tcW w:w="1120" w:type="dxa"/>
            <w:tcBorders>
              <w:top w:val="nil"/>
              <w:left w:val="nil"/>
              <w:bottom w:val="nil"/>
              <w:right w:val="nil"/>
            </w:tcBorders>
            <w:shd w:val="clear" w:color="auto" w:fill="auto"/>
            <w:vAlign w:val="center"/>
          </w:tcPr>
          <w:p w14:paraId="7EAD76C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3.877</w:t>
            </w:r>
          </w:p>
        </w:tc>
        <w:tc>
          <w:tcPr>
            <w:tcW w:w="1177" w:type="dxa"/>
            <w:tcBorders>
              <w:top w:val="nil"/>
              <w:left w:val="nil"/>
              <w:bottom w:val="nil"/>
              <w:right w:val="nil"/>
            </w:tcBorders>
            <w:shd w:val="clear" w:color="auto" w:fill="auto"/>
            <w:vAlign w:val="center"/>
          </w:tcPr>
          <w:p w14:paraId="5FB37D1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3.260</w:t>
            </w:r>
          </w:p>
        </w:tc>
        <w:tc>
          <w:tcPr>
            <w:tcW w:w="1120" w:type="dxa"/>
            <w:tcBorders>
              <w:top w:val="nil"/>
              <w:left w:val="nil"/>
              <w:bottom w:val="nil"/>
              <w:right w:val="nil"/>
            </w:tcBorders>
            <w:shd w:val="clear" w:color="auto" w:fill="auto"/>
            <w:vAlign w:val="center"/>
          </w:tcPr>
          <w:p w14:paraId="03D408C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3.769</w:t>
            </w:r>
          </w:p>
        </w:tc>
        <w:tc>
          <w:tcPr>
            <w:tcW w:w="1140" w:type="dxa"/>
            <w:tcBorders>
              <w:top w:val="nil"/>
              <w:left w:val="nil"/>
              <w:bottom w:val="nil"/>
              <w:right w:val="single" w:sz="4" w:space="0" w:color="808080"/>
            </w:tcBorders>
            <w:shd w:val="clear" w:color="auto" w:fill="auto"/>
            <w:vAlign w:val="center"/>
          </w:tcPr>
          <w:p w14:paraId="786146B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3.815</w:t>
            </w:r>
          </w:p>
        </w:tc>
      </w:tr>
      <w:tr w:rsidR="00B22E86" w:rsidRPr="00B22E86" w14:paraId="3FCD4F89" w14:textId="77777777" w:rsidTr="00B22E86">
        <w:trPr>
          <w:cantSplit/>
          <w:jc w:val="center"/>
        </w:trPr>
        <w:tc>
          <w:tcPr>
            <w:tcW w:w="6640" w:type="dxa"/>
            <w:shd w:val="clear" w:color="auto" w:fill="auto"/>
            <w:vAlign w:val="center"/>
            <w:hideMark/>
          </w:tcPr>
          <w:p w14:paraId="1A0BAC97"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Επενδυτικές δαπάνες</w:t>
            </w:r>
          </w:p>
        </w:tc>
        <w:tc>
          <w:tcPr>
            <w:tcW w:w="1120" w:type="dxa"/>
            <w:tcBorders>
              <w:top w:val="nil"/>
              <w:left w:val="nil"/>
              <w:bottom w:val="nil"/>
              <w:right w:val="nil"/>
            </w:tcBorders>
            <w:shd w:val="clear" w:color="auto" w:fill="auto"/>
            <w:vAlign w:val="center"/>
          </w:tcPr>
          <w:p w14:paraId="4CE8EEA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1.256</w:t>
            </w:r>
          </w:p>
        </w:tc>
        <w:tc>
          <w:tcPr>
            <w:tcW w:w="1177" w:type="dxa"/>
            <w:tcBorders>
              <w:top w:val="nil"/>
              <w:left w:val="nil"/>
              <w:bottom w:val="nil"/>
              <w:right w:val="nil"/>
            </w:tcBorders>
            <w:shd w:val="clear" w:color="auto" w:fill="auto"/>
            <w:vAlign w:val="center"/>
          </w:tcPr>
          <w:p w14:paraId="1F194A2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1.898</w:t>
            </w:r>
          </w:p>
        </w:tc>
        <w:tc>
          <w:tcPr>
            <w:tcW w:w="1120" w:type="dxa"/>
            <w:tcBorders>
              <w:top w:val="nil"/>
              <w:left w:val="nil"/>
              <w:bottom w:val="nil"/>
              <w:right w:val="nil"/>
            </w:tcBorders>
            <w:shd w:val="clear" w:color="auto" w:fill="auto"/>
            <w:vAlign w:val="center"/>
          </w:tcPr>
          <w:p w14:paraId="283F665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1.963</w:t>
            </w:r>
          </w:p>
        </w:tc>
        <w:tc>
          <w:tcPr>
            <w:tcW w:w="1140" w:type="dxa"/>
            <w:tcBorders>
              <w:top w:val="nil"/>
              <w:left w:val="nil"/>
              <w:bottom w:val="nil"/>
              <w:right w:val="single" w:sz="4" w:space="0" w:color="808080"/>
            </w:tcBorders>
            <w:shd w:val="clear" w:color="auto" w:fill="auto"/>
            <w:vAlign w:val="center"/>
          </w:tcPr>
          <w:p w14:paraId="2345976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2.571</w:t>
            </w:r>
          </w:p>
        </w:tc>
      </w:tr>
      <w:tr w:rsidR="00B22E86" w:rsidRPr="00B22E86" w14:paraId="5F953C43" w14:textId="77777777" w:rsidTr="00B22E86">
        <w:trPr>
          <w:cantSplit/>
          <w:jc w:val="center"/>
        </w:trPr>
        <w:tc>
          <w:tcPr>
            <w:tcW w:w="6640" w:type="dxa"/>
            <w:shd w:val="clear" w:color="auto" w:fill="auto"/>
            <w:vAlign w:val="center"/>
            <w:hideMark/>
          </w:tcPr>
          <w:p w14:paraId="427118CE"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Λοιπές μεταβιβάσεις</w:t>
            </w:r>
          </w:p>
        </w:tc>
        <w:tc>
          <w:tcPr>
            <w:tcW w:w="1120" w:type="dxa"/>
            <w:tcBorders>
              <w:top w:val="nil"/>
              <w:left w:val="nil"/>
              <w:bottom w:val="nil"/>
              <w:right w:val="nil"/>
            </w:tcBorders>
            <w:shd w:val="clear" w:color="auto" w:fill="auto"/>
            <w:vAlign w:val="center"/>
          </w:tcPr>
          <w:p w14:paraId="07D16F1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1.800</w:t>
            </w:r>
          </w:p>
        </w:tc>
        <w:tc>
          <w:tcPr>
            <w:tcW w:w="1177" w:type="dxa"/>
            <w:tcBorders>
              <w:top w:val="nil"/>
              <w:left w:val="nil"/>
              <w:bottom w:val="nil"/>
              <w:right w:val="nil"/>
            </w:tcBorders>
            <w:shd w:val="clear" w:color="auto" w:fill="auto"/>
            <w:vAlign w:val="center"/>
          </w:tcPr>
          <w:p w14:paraId="08A0113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808</w:t>
            </w:r>
          </w:p>
        </w:tc>
        <w:tc>
          <w:tcPr>
            <w:tcW w:w="1120" w:type="dxa"/>
            <w:tcBorders>
              <w:top w:val="nil"/>
              <w:left w:val="nil"/>
              <w:bottom w:val="nil"/>
              <w:right w:val="nil"/>
            </w:tcBorders>
            <w:shd w:val="clear" w:color="auto" w:fill="auto"/>
            <w:vAlign w:val="center"/>
          </w:tcPr>
          <w:p w14:paraId="7FC20E0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1.602</w:t>
            </w:r>
          </w:p>
        </w:tc>
        <w:tc>
          <w:tcPr>
            <w:tcW w:w="1140" w:type="dxa"/>
            <w:tcBorders>
              <w:top w:val="nil"/>
              <w:left w:val="nil"/>
              <w:bottom w:val="nil"/>
              <w:right w:val="single" w:sz="4" w:space="0" w:color="808080"/>
            </w:tcBorders>
            <w:shd w:val="clear" w:color="auto" w:fill="auto"/>
            <w:vAlign w:val="center"/>
          </w:tcPr>
          <w:p w14:paraId="52A002B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685</w:t>
            </w:r>
          </w:p>
        </w:tc>
      </w:tr>
      <w:tr w:rsidR="00B22E86" w:rsidRPr="00B22E86" w14:paraId="38617C06" w14:textId="77777777" w:rsidTr="00B22E86">
        <w:trPr>
          <w:cantSplit/>
          <w:jc w:val="center"/>
        </w:trPr>
        <w:tc>
          <w:tcPr>
            <w:tcW w:w="6640" w:type="dxa"/>
            <w:shd w:val="clear" w:color="auto" w:fill="auto"/>
            <w:vAlign w:val="center"/>
            <w:hideMark/>
          </w:tcPr>
          <w:p w14:paraId="7B35B3FF"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Επιδοτήσεις</w:t>
            </w:r>
          </w:p>
        </w:tc>
        <w:tc>
          <w:tcPr>
            <w:tcW w:w="1120" w:type="dxa"/>
            <w:tcBorders>
              <w:top w:val="nil"/>
              <w:left w:val="nil"/>
              <w:bottom w:val="nil"/>
              <w:right w:val="nil"/>
            </w:tcBorders>
            <w:shd w:val="clear" w:color="auto" w:fill="auto"/>
            <w:vAlign w:val="center"/>
          </w:tcPr>
          <w:p w14:paraId="56473FC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3.498</w:t>
            </w:r>
          </w:p>
        </w:tc>
        <w:tc>
          <w:tcPr>
            <w:tcW w:w="1177" w:type="dxa"/>
            <w:tcBorders>
              <w:top w:val="nil"/>
              <w:left w:val="nil"/>
              <w:bottom w:val="nil"/>
              <w:right w:val="nil"/>
            </w:tcBorders>
            <w:shd w:val="clear" w:color="auto" w:fill="auto"/>
            <w:vAlign w:val="center"/>
          </w:tcPr>
          <w:p w14:paraId="0666EF7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2.618</w:t>
            </w:r>
          </w:p>
        </w:tc>
        <w:tc>
          <w:tcPr>
            <w:tcW w:w="1120" w:type="dxa"/>
            <w:tcBorders>
              <w:top w:val="nil"/>
              <w:left w:val="nil"/>
              <w:bottom w:val="nil"/>
              <w:right w:val="nil"/>
            </w:tcBorders>
            <w:shd w:val="clear" w:color="auto" w:fill="auto"/>
            <w:vAlign w:val="center"/>
          </w:tcPr>
          <w:p w14:paraId="35FE76B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3.213</w:t>
            </w:r>
          </w:p>
        </w:tc>
        <w:tc>
          <w:tcPr>
            <w:tcW w:w="1140" w:type="dxa"/>
            <w:tcBorders>
              <w:top w:val="nil"/>
              <w:left w:val="nil"/>
              <w:bottom w:val="nil"/>
              <w:right w:val="single" w:sz="4" w:space="0" w:color="808080"/>
            </w:tcBorders>
            <w:shd w:val="clear" w:color="auto" w:fill="auto"/>
            <w:vAlign w:val="center"/>
          </w:tcPr>
          <w:p w14:paraId="7E1CF7F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2.713</w:t>
            </w:r>
          </w:p>
        </w:tc>
      </w:tr>
      <w:tr w:rsidR="00B22E86" w:rsidRPr="00B22E86" w14:paraId="78161977" w14:textId="77777777" w:rsidTr="00B22E86">
        <w:trPr>
          <w:cantSplit/>
          <w:jc w:val="center"/>
        </w:trPr>
        <w:tc>
          <w:tcPr>
            <w:tcW w:w="6640" w:type="dxa"/>
            <w:shd w:val="clear" w:color="auto" w:fill="auto"/>
            <w:vAlign w:val="center"/>
            <w:hideMark/>
          </w:tcPr>
          <w:p w14:paraId="0EDFBC23" w14:textId="77777777" w:rsidR="00B22E86" w:rsidRPr="00B22E86" w:rsidRDefault="00B22E86" w:rsidP="00B22E86">
            <w:pPr>
              <w:spacing w:after="0" w:line="240" w:lineRule="auto"/>
              <w:rPr>
                <w:rFonts w:ascii="Arial" w:eastAsia="Times New Roman" w:hAnsi="Arial" w:cs="Arial"/>
                <w:sz w:val="15"/>
                <w:szCs w:val="15"/>
                <w:lang w:eastAsia="el-GR"/>
              </w:rPr>
            </w:pPr>
          </w:p>
        </w:tc>
        <w:tc>
          <w:tcPr>
            <w:tcW w:w="1120" w:type="dxa"/>
            <w:shd w:val="clear" w:color="auto" w:fill="auto"/>
            <w:vAlign w:val="center"/>
            <w:hideMark/>
          </w:tcPr>
          <w:p w14:paraId="384148E8"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77" w:type="dxa"/>
            <w:shd w:val="clear" w:color="auto" w:fill="auto"/>
            <w:vAlign w:val="center"/>
            <w:hideMark/>
          </w:tcPr>
          <w:p w14:paraId="3B96BCFB"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20" w:type="dxa"/>
            <w:shd w:val="clear" w:color="auto" w:fill="auto"/>
            <w:vAlign w:val="center"/>
            <w:hideMark/>
          </w:tcPr>
          <w:p w14:paraId="20DCB4B7"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c>
          <w:tcPr>
            <w:tcW w:w="1140" w:type="dxa"/>
            <w:tcBorders>
              <w:top w:val="nil"/>
              <w:bottom w:val="nil"/>
              <w:right w:val="single" w:sz="4" w:space="0" w:color="808080"/>
            </w:tcBorders>
            <w:shd w:val="clear" w:color="auto" w:fill="auto"/>
            <w:vAlign w:val="center"/>
            <w:hideMark/>
          </w:tcPr>
          <w:p w14:paraId="4E0D878D" w14:textId="77777777" w:rsidR="00B22E86" w:rsidRPr="00B22E86" w:rsidRDefault="00B22E86" w:rsidP="00B22E86">
            <w:pPr>
              <w:spacing w:after="0" w:line="240" w:lineRule="auto"/>
              <w:jc w:val="right"/>
              <w:rPr>
                <w:rFonts w:ascii="Arial" w:eastAsia="Times New Roman" w:hAnsi="Arial" w:cs="Arial"/>
                <w:sz w:val="15"/>
                <w:szCs w:val="15"/>
                <w:lang w:eastAsia="el-GR"/>
              </w:rPr>
            </w:pPr>
          </w:p>
        </w:tc>
      </w:tr>
      <w:tr w:rsidR="00B22E86" w:rsidRPr="00B22E86" w14:paraId="7C4C9B6E" w14:textId="77777777" w:rsidTr="00B22E86">
        <w:trPr>
          <w:cantSplit/>
          <w:trHeight w:val="198"/>
          <w:jc w:val="center"/>
        </w:trPr>
        <w:tc>
          <w:tcPr>
            <w:tcW w:w="6640" w:type="dxa"/>
            <w:shd w:val="clear" w:color="auto" w:fill="D5DCE4"/>
            <w:vAlign w:val="center"/>
            <w:hideMark/>
          </w:tcPr>
          <w:p w14:paraId="02DBE3FE"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VΙ.</w:t>
            </w:r>
            <w:r w:rsidRPr="00B22E86">
              <w:rPr>
                <w:rFonts w:ascii="Arial" w:eastAsia="Times New Roman" w:hAnsi="Arial" w:cs="Arial"/>
                <w:b/>
                <w:bCs/>
                <w:sz w:val="15"/>
                <w:szCs w:val="15"/>
                <w:lang w:eastAsia="el-GR"/>
              </w:rPr>
              <w:tab/>
              <w:t>Ισοζύγιο Νοσοκομείων - ΠΦΥ κατά ESA</w:t>
            </w:r>
          </w:p>
        </w:tc>
        <w:tc>
          <w:tcPr>
            <w:tcW w:w="1120" w:type="dxa"/>
            <w:tcBorders>
              <w:top w:val="nil"/>
              <w:left w:val="nil"/>
              <w:bottom w:val="nil"/>
              <w:right w:val="nil"/>
            </w:tcBorders>
            <w:shd w:val="clear" w:color="auto" w:fill="D5DCE4"/>
            <w:vAlign w:val="center"/>
          </w:tcPr>
          <w:p w14:paraId="48C64131"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-277</w:t>
            </w:r>
          </w:p>
        </w:tc>
        <w:tc>
          <w:tcPr>
            <w:tcW w:w="1177" w:type="dxa"/>
            <w:tcBorders>
              <w:top w:val="nil"/>
              <w:left w:val="nil"/>
              <w:bottom w:val="nil"/>
              <w:right w:val="nil"/>
            </w:tcBorders>
            <w:shd w:val="clear" w:color="auto" w:fill="D5DCE4"/>
            <w:vAlign w:val="center"/>
          </w:tcPr>
          <w:p w14:paraId="78BFDE4D"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219</w:t>
            </w:r>
          </w:p>
        </w:tc>
        <w:tc>
          <w:tcPr>
            <w:tcW w:w="1120" w:type="dxa"/>
            <w:tcBorders>
              <w:top w:val="nil"/>
              <w:left w:val="nil"/>
              <w:bottom w:val="nil"/>
              <w:right w:val="nil"/>
            </w:tcBorders>
            <w:shd w:val="clear" w:color="auto" w:fill="D5DCE4"/>
            <w:vAlign w:val="center"/>
          </w:tcPr>
          <w:p w14:paraId="73C0173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218</w:t>
            </w:r>
          </w:p>
        </w:tc>
        <w:tc>
          <w:tcPr>
            <w:tcW w:w="1140" w:type="dxa"/>
            <w:tcBorders>
              <w:top w:val="nil"/>
              <w:left w:val="nil"/>
              <w:bottom w:val="nil"/>
              <w:right w:val="single" w:sz="4" w:space="0" w:color="808080"/>
            </w:tcBorders>
            <w:shd w:val="clear" w:color="auto" w:fill="D5DCE4"/>
            <w:vAlign w:val="center"/>
          </w:tcPr>
          <w:p w14:paraId="2B47CB3D"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273</w:t>
            </w:r>
          </w:p>
        </w:tc>
      </w:tr>
      <w:tr w:rsidR="00B22E86" w:rsidRPr="00B22E86" w14:paraId="02D2E6CA" w14:textId="77777777" w:rsidTr="00B22E86">
        <w:trPr>
          <w:cantSplit/>
          <w:jc w:val="center"/>
        </w:trPr>
        <w:tc>
          <w:tcPr>
            <w:tcW w:w="6640" w:type="dxa"/>
            <w:shd w:val="clear" w:color="auto" w:fill="auto"/>
            <w:vAlign w:val="center"/>
            <w:hideMark/>
          </w:tcPr>
          <w:p w14:paraId="21F3B49D"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 xml:space="preserve">Έσοδα </w:t>
            </w:r>
          </w:p>
        </w:tc>
        <w:tc>
          <w:tcPr>
            <w:tcW w:w="1120" w:type="dxa"/>
            <w:tcBorders>
              <w:top w:val="nil"/>
              <w:left w:val="nil"/>
              <w:bottom w:val="nil"/>
              <w:right w:val="nil"/>
            </w:tcBorders>
            <w:shd w:val="clear" w:color="auto" w:fill="auto"/>
            <w:vAlign w:val="center"/>
          </w:tcPr>
          <w:p w14:paraId="1D64A302"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3.461</w:t>
            </w:r>
          </w:p>
        </w:tc>
        <w:tc>
          <w:tcPr>
            <w:tcW w:w="1177" w:type="dxa"/>
            <w:tcBorders>
              <w:top w:val="nil"/>
              <w:left w:val="nil"/>
              <w:bottom w:val="nil"/>
              <w:right w:val="nil"/>
            </w:tcBorders>
            <w:shd w:val="clear" w:color="auto" w:fill="auto"/>
            <w:vAlign w:val="center"/>
          </w:tcPr>
          <w:p w14:paraId="38CE5181"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3.926</w:t>
            </w:r>
          </w:p>
        </w:tc>
        <w:tc>
          <w:tcPr>
            <w:tcW w:w="1120" w:type="dxa"/>
            <w:tcBorders>
              <w:top w:val="nil"/>
              <w:left w:val="nil"/>
              <w:bottom w:val="nil"/>
              <w:right w:val="nil"/>
            </w:tcBorders>
            <w:shd w:val="clear" w:color="auto" w:fill="auto"/>
            <w:vAlign w:val="center"/>
          </w:tcPr>
          <w:p w14:paraId="5E198A2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3.897</w:t>
            </w:r>
          </w:p>
        </w:tc>
        <w:tc>
          <w:tcPr>
            <w:tcW w:w="1140" w:type="dxa"/>
            <w:tcBorders>
              <w:top w:val="nil"/>
              <w:left w:val="nil"/>
              <w:bottom w:val="nil"/>
              <w:right w:val="single" w:sz="4" w:space="0" w:color="808080"/>
            </w:tcBorders>
            <w:shd w:val="clear" w:color="auto" w:fill="auto"/>
            <w:vAlign w:val="center"/>
          </w:tcPr>
          <w:p w14:paraId="14D67854"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4.254</w:t>
            </w:r>
          </w:p>
        </w:tc>
      </w:tr>
      <w:tr w:rsidR="00B22E86" w:rsidRPr="00B22E86" w14:paraId="54B3B230" w14:textId="77777777" w:rsidTr="00B22E86">
        <w:trPr>
          <w:cantSplit/>
          <w:jc w:val="center"/>
        </w:trPr>
        <w:tc>
          <w:tcPr>
            <w:tcW w:w="6640" w:type="dxa"/>
            <w:shd w:val="clear" w:color="auto" w:fill="auto"/>
            <w:vAlign w:val="center"/>
            <w:hideMark/>
          </w:tcPr>
          <w:p w14:paraId="6FEC96AA"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Τρέχουσες και λοιπές κεφαλαιακές μεταβιβάσεις</w:t>
            </w:r>
          </w:p>
        </w:tc>
        <w:tc>
          <w:tcPr>
            <w:tcW w:w="1120" w:type="dxa"/>
            <w:tcBorders>
              <w:top w:val="nil"/>
              <w:left w:val="nil"/>
              <w:bottom w:val="nil"/>
              <w:right w:val="nil"/>
            </w:tcBorders>
            <w:shd w:val="clear" w:color="auto" w:fill="auto"/>
            <w:vAlign w:val="center"/>
          </w:tcPr>
          <w:p w14:paraId="625CFC4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2.405</w:t>
            </w:r>
          </w:p>
        </w:tc>
        <w:tc>
          <w:tcPr>
            <w:tcW w:w="1177" w:type="dxa"/>
            <w:tcBorders>
              <w:top w:val="nil"/>
              <w:left w:val="nil"/>
              <w:bottom w:val="nil"/>
              <w:right w:val="nil"/>
            </w:tcBorders>
            <w:shd w:val="clear" w:color="auto" w:fill="auto"/>
            <w:vAlign w:val="center"/>
          </w:tcPr>
          <w:p w14:paraId="2448398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2.860</w:t>
            </w:r>
          </w:p>
        </w:tc>
        <w:tc>
          <w:tcPr>
            <w:tcW w:w="1120" w:type="dxa"/>
            <w:tcBorders>
              <w:top w:val="nil"/>
              <w:left w:val="nil"/>
              <w:bottom w:val="nil"/>
              <w:right w:val="nil"/>
            </w:tcBorders>
            <w:shd w:val="clear" w:color="auto" w:fill="auto"/>
            <w:vAlign w:val="center"/>
          </w:tcPr>
          <w:p w14:paraId="01D450F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2.845</w:t>
            </w:r>
          </w:p>
        </w:tc>
        <w:tc>
          <w:tcPr>
            <w:tcW w:w="1140" w:type="dxa"/>
            <w:tcBorders>
              <w:top w:val="nil"/>
              <w:left w:val="nil"/>
              <w:bottom w:val="nil"/>
              <w:right w:val="single" w:sz="4" w:space="0" w:color="808080"/>
            </w:tcBorders>
            <w:shd w:val="clear" w:color="auto" w:fill="auto"/>
            <w:vAlign w:val="center"/>
          </w:tcPr>
          <w:p w14:paraId="49336B9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3.191</w:t>
            </w:r>
          </w:p>
        </w:tc>
      </w:tr>
      <w:tr w:rsidR="00B22E86" w:rsidRPr="00B22E86" w14:paraId="3D0E1D52" w14:textId="77777777" w:rsidTr="00B22E86">
        <w:trPr>
          <w:cantSplit/>
          <w:jc w:val="center"/>
        </w:trPr>
        <w:tc>
          <w:tcPr>
            <w:tcW w:w="6640" w:type="dxa"/>
            <w:shd w:val="clear" w:color="auto" w:fill="auto"/>
            <w:vAlign w:val="center"/>
            <w:hideMark/>
          </w:tcPr>
          <w:p w14:paraId="0CC7B19C"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Μεταβιβάσεις από ΕΟΠΥΥ</w:t>
            </w:r>
          </w:p>
        </w:tc>
        <w:tc>
          <w:tcPr>
            <w:tcW w:w="1120" w:type="dxa"/>
            <w:tcBorders>
              <w:top w:val="nil"/>
              <w:left w:val="nil"/>
              <w:bottom w:val="nil"/>
              <w:right w:val="nil"/>
            </w:tcBorders>
            <w:shd w:val="clear" w:color="auto" w:fill="auto"/>
            <w:vAlign w:val="center"/>
          </w:tcPr>
          <w:p w14:paraId="63F55CC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938</w:t>
            </w:r>
          </w:p>
        </w:tc>
        <w:tc>
          <w:tcPr>
            <w:tcW w:w="1177" w:type="dxa"/>
            <w:tcBorders>
              <w:top w:val="nil"/>
              <w:left w:val="nil"/>
              <w:bottom w:val="nil"/>
              <w:right w:val="nil"/>
            </w:tcBorders>
            <w:shd w:val="clear" w:color="auto" w:fill="auto"/>
            <w:vAlign w:val="center"/>
          </w:tcPr>
          <w:p w14:paraId="56F607F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902</w:t>
            </w:r>
          </w:p>
        </w:tc>
        <w:tc>
          <w:tcPr>
            <w:tcW w:w="1120" w:type="dxa"/>
            <w:tcBorders>
              <w:top w:val="nil"/>
              <w:left w:val="nil"/>
              <w:bottom w:val="nil"/>
              <w:right w:val="nil"/>
            </w:tcBorders>
            <w:shd w:val="clear" w:color="auto" w:fill="auto"/>
            <w:vAlign w:val="center"/>
          </w:tcPr>
          <w:p w14:paraId="379CE40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902</w:t>
            </w:r>
          </w:p>
        </w:tc>
        <w:tc>
          <w:tcPr>
            <w:tcW w:w="1140" w:type="dxa"/>
            <w:tcBorders>
              <w:top w:val="nil"/>
              <w:left w:val="nil"/>
              <w:bottom w:val="nil"/>
              <w:right w:val="single" w:sz="4" w:space="0" w:color="808080"/>
            </w:tcBorders>
            <w:shd w:val="clear" w:color="auto" w:fill="auto"/>
            <w:vAlign w:val="center"/>
          </w:tcPr>
          <w:p w14:paraId="18E5A59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911</w:t>
            </w:r>
          </w:p>
        </w:tc>
      </w:tr>
      <w:tr w:rsidR="00B22E86" w:rsidRPr="00B22E86" w14:paraId="3E6FEAF0" w14:textId="77777777" w:rsidTr="00B22E86">
        <w:trPr>
          <w:cantSplit/>
          <w:jc w:val="center"/>
        </w:trPr>
        <w:tc>
          <w:tcPr>
            <w:tcW w:w="6640" w:type="dxa"/>
            <w:shd w:val="clear" w:color="auto" w:fill="auto"/>
            <w:vAlign w:val="center"/>
            <w:hideMark/>
          </w:tcPr>
          <w:p w14:paraId="6187A49C" w14:textId="77777777" w:rsidR="00B22E86" w:rsidRPr="00B22E86" w:rsidRDefault="00B22E86" w:rsidP="00B22E86">
            <w:pPr>
              <w:spacing w:after="0" w:line="240" w:lineRule="auto"/>
              <w:rPr>
                <w:rFonts w:ascii="Arial" w:eastAsia="Times New Roman" w:hAnsi="Arial" w:cs="Arial"/>
                <w:sz w:val="15"/>
                <w:szCs w:val="15"/>
                <w:lang w:eastAsia="el-GR"/>
              </w:rPr>
            </w:pPr>
            <w:proofErr w:type="spellStart"/>
            <w:r w:rsidRPr="00B22E86">
              <w:rPr>
                <w:rFonts w:ascii="Arial" w:eastAsia="Times New Roman" w:hAnsi="Arial" w:cs="Arial"/>
                <w:sz w:val="15"/>
                <w:szCs w:val="15"/>
                <w:lang w:eastAsia="el-GR"/>
              </w:rPr>
              <w:t>Αντικριζόμενα</w:t>
            </w:r>
            <w:proofErr w:type="spellEnd"/>
            <w:r w:rsidRPr="00B22E86">
              <w:rPr>
                <w:rFonts w:ascii="Arial" w:eastAsia="Times New Roman" w:hAnsi="Arial" w:cs="Arial"/>
                <w:sz w:val="15"/>
                <w:szCs w:val="15"/>
                <w:lang w:eastAsia="el-GR"/>
              </w:rPr>
              <w:t xml:space="preserve"> έσοδα (καθαρά)</w:t>
            </w:r>
          </w:p>
        </w:tc>
        <w:tc>
          <w:tcPr>
            <w:tcW w:w="1120" w:type="dxa"/>
            <w:tcBorders>
              <w:top w:val="nil"/>
              <w:left w:val="nil"/>
              <w:bottom w:val="nil"/>
              <w:right w:val="nil"/>
            </w:tcBorders>
            <w:shd w:val="clear" w:color="auto" w:fill="auto"/>
            <w:vAlign w:val="center"/>
          </w:tcPr>
          <w:p w14:paraId="2BC2DC0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-18</w:t>
            </w:r>
          </w:p>
        </w:tc>
        <w:tc>
          <w:tcPr>
            <w:tcW w:w="1177" w:type="dxa"/>
            <w:tcBorders>
              <w:top w:val="nil"/>
              <w:left w:val="nil"/>
              <w:bottom w:val="nil"/>
              <w:right w:val="nil"/>
            </w:tcBorders>
            <w:shd w:val="clear" w:color="auto" w:fill="auto"/>
            <w:vAlign w:val="center"/>
          </w:tcPr>
          <w:p w14:paraId="6D7EB1F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c>
          <w:tcPr>
            <w:tcW w:w="1120" w:type="dxa"/>
            <w:tcBorders>
              <w:top w:val="nil"/>
              <w:left w:val="nil"/>
              <w:bottom w:val="nil"/>
              <w:right w:val="nil"/>
            </w:tcBorders>
            <w:shd w:val="clear" w:color="auto" w:fill="auto"/>
            <w:vAlign w:val="center"/>
          </w:tcPr>
          <w:p w14:paraId="307EDD0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c>
          <w:tcPr>
            <w:tcW w:w="1140" w:type="dxa"/>
            <w:tcBorders>
              <w:top w:val="nil"/>
              <w:left w:val="nil"/>
              <w:bottom w:val="nil"/>
              <w:right w:val="single" w:sz="4" w:space="0" w:color="808080"/>
            </w:tcBorders>
            <w:shd w:val="clear" w:color="auto" w:fill="auto"/>
            <w:vAlign w:val="center"/>
          </w:tcPr>
          <w:p w14:paraId="0DF300B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r>
      <w:tr w:rsidR="00B22E86" w:rsidRPr="00B22E86" w14:paraId="45C9037C" w14:textId="77777777" w:rsidTr="00B22E86">
        <w:trPr>
          <w:cantSplit/>
          <w:jc w:val="center"/>
        </w:trPr>
        <w:tc>
          <w:tcPr>
            <w:tcW w:w="6640" w:type="dxa"/>
            <w:shd w:val="clear" w:color="auto" w:fill="auto"/>
            <w:vAlign w:val="center"/>
            <w:hideMark/>
          </w:tcPr>
          <w:p w14:paraId="6694CD54"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Λοιπά έσοδα</w:t>
            </w:r>
          </w:p>
        </w:tc>
        <w:tc>
          <w:tcPr>
            <w:tcW w:w="1120" w:type="dxa"/>
            <w:tcBorders>
              <w:top w:val="nil"/>
              <w:left w:val="nil"/>
              <w:bottom w:val="nil"/>
              <w:right w:val="nil"/>
            </w:tcBorders>
            <w:shd w:val="clear" w:color="auto" w:fill="auto"/>
            <w:vAlign w:val="center"/>
          </w:tcPr>
          <w:p w14:paraId="75960F0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136</w:t>
            </w:r>
          </w:p>
        </w:tc>
        <w:tc>
          <w:tcPr>
            <w:tcW w:w="1177" w:type="dxa"/>
            <w:tcBorders>
              <w:top w:val="nil"/>
              <w:left w:val="nil"/>
              <w:bottom w:val="nil"/>
              <w:right w:val="nil"/>
            </w:tcBorders>
            <w:shd w:val="clear" w:color="auto" w:fill="auto"/>
            <w:vAlign w:val="center"/>
          </w:tcPr>
          <w:p w14:paraId="18CBF8A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164</w:t>
            </w:r>
          </w:p>
        </w:tc>
        <w:tc>
          <w:tcPr>
            <w:tcW w:w="1120" w:type="dxa"/>
            <w:tcBorders>
              <w:top w:val="nil"/>
              <w:left w:val="nil"/>
              <w:bottom w:val="nil"/>
              <w:right w:val="nil"/>
            </w:tcBorders>
            <w:shd w:val="clear" w:color="auto" w:fill="auto"/>
            <w:vAlign w:val="center"/>
          </w:tcPr>
          <w:p w14:paraId="6410036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150</w:t>
            </w:r>
          </w:p>
        </w:tc>
        <w:tc>
          <w:tcPr>
            <w:tcW w:w="1140" w:type="dxa"/>
            <w:tcBorders>
              <w:top w:val="nil"/>
              <w:left w:val="nil"/>
              <w:bottom w:val="nil"/>
              <w:right w:val="single" w:sz="4" w:space="0" w:color="808080"/>
            </w:tcBorders>
            <w:shd w:val="clear" w:color="auto" w:fill="auto"/>
            <w:vAlign w:val="center"/>
          </w:tcPr>
          <w:p w14:paraId="555F583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152</w:t>
            </w:r>
          </w:p>
        </w:tc>
      </w:tr>
      <w:tr w:rsidR="00B22E86" w:rsidRPr="00B22E86" w14:paraId="1CEA2A0D" w14:textId="77777777" w:rsidTr="00B22E86">
        <w:trPr>
          <w:cantSplit/>
          <w:jc w:val="center"/>
        </w:trPr>
        <w:tc>
          <w:tcPr>
            <w:tcW w:w="6640" w:type="dxa"/>
            <w:shd w:val="clear" w:color="auto" w:fill="auto"/>
            <w:vAlign w:val="center"/>
            <w:hideMark/>
          </w:tcPr>
          <w:p w14:paraId="4B979865"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Έξοδα</w:t>
            </w:r>
          </w:p>
        </w:tc>
        <w:tc>
          <w:tcPr>
            <w:tcW w:w="1120" w:type="dxa"/>
            <w:tcBorders>
              <w:top w:val="nil"/>
              <w:left w:val="nil"/>
              <w:bottom w:val="nil"/>
              <w:right w:val="nil"/>
            </w:tcBorders>
            <w:shd w:val="clear" w:color="auto" w:fill="auto"/>
            <w:vAlign w:val="center"/>
          </w:tcPr>
          <w:p w14:paraId="11BE2732"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3.738</w:t>
            </w:r>
          </w:p>
        </w:tc>
        <w:tc>
          <w:tcPr>
            <w:tcW w:w="1177" w:type="dxa"/>
            <w:tcBorders>
              <w:top w:val="nil"/>
              <w:left w:val="nil"/>
              <w:bottom w:val="nil"/>
              <w:right w:val="nil"/>
            </w:tcBorders>
            <w:shd w:val="clear" w:color="auto" w:fill="auto"/>
            <w:vAlign w:val="center"/>
          </w:tcPr>
          <w:p w14:paraId="46F26E1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3.707</w:t>
            </w:r>
          </w:p>
        </w:tc>
        <w:tc>
          <w:tcPr>
            <w:tcW w:w="1120" w:type="dxa"/>
            <w:tcBorders>
              <w:top w:val="nil"/>
              <w:left w:val="nil"/>
              <w:bottom w:val="nil"/>
              <w:right w:val="nil"/>
            </w:tcBorders>
            <w:shd w:val="clear" w:color="auto" w:fill="auto"/>
            <w:vAlign w:val="center"/>
          </w:tcPr>
          <w:p w14:paraId="5D76931E"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3.678</w:t>
            </w:r>
          </w:p>
        </w:tc>
        <w:tc>
          <w:tcPr>
            <w:tcW w:w="1140" w:type="dxa"/>
            <w:tcBorders>
              <w:top w:val="nil"/>
              <w:left w:val="nil"/>
              <w:bottom w:val="nil"/>
              <w:right w:val="single" w:sz="4" w:space="0" w:color="808080"/>
            </w:tcBorders>
            <w:shd w:val="clear" w:color="auto" w:fill="auto"/>
            <w:vAlign w:val="center"/>
          </w:tcPr>
          <w:p w14:paraId="28F6BE2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3.981</w:t>
            </w:r>
          </w:p>
        </w:tc>
      </w:tr>
      <w:tr w:rsidR="00B22E86" w:rsidRPr="00B22E86" w14:paraId="56900B86" w14:textId="77777777" w:rsidTr="00B22E86">
        <w:trPr>
          <w:cantSplit/>
          <w:jc w:val="center"/>
        </w:trPr>
        <w:tc>
          <w:tcPr>
            <w:tcW w:w="6640" w:type="dxa"/>
            <w:shd w:val="clear" w:color="auto" w:fill="auto"/>
            <w:vAlign w:val="center"/>
            <w:hideMark/>
          </w:tcPr>
          <w:p w14:paraId="5E5BF190"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Παροχές σε εργαζόμενους</w:t>
            </w:r>
          </w:p>
        </w:tc>
        <w:tc>
          <w:tcPr>
            <w:tcW w:w="1120" w:type="dxa"/>
            <w:tcBorders>
              <w:top w:val="nil"/>
              <w:left w:val="nil"/>
              <w:bottom w:val="nil"/>
              <w:right w:val="nil"/>
            </w:tcBorders>
            <w:shd w:val="clear" w:color="auto" w:fill="auto"/>
            <w:vAlign w:val="center"/>
          </w:tcPr>
          <w:p w14:paraId="084F0E0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786</w:t>
            </w:r>
          </w:p>
        </w:tc>
        <w:tc>
          <w:tcPr>
            <w:tcW w:w="1177" w:type="dxa"/>
            <w:tcBorders>
              <w:top w:val="nil"/>
              <w:left w:val="nil"/>
              <w:bottom w:val="nil"/>
              <w:right w:val="nil"/>
            </w:tcBorders>
            <w:shd w:val="clear" w:color="auto" w:fill="auto"/>
            <w:vAlign w:val="center"/>
          </w:tcPr>
          <w:p w14:paraId="5BDA384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791</w:t>
            </w:r>
          </w:p>
        </w:tc>
        <w:tc>
          <w:tcPr>
            <w:tcW w:w="1120" w:type="dxa"/>
            <w:tcBorders>
              <w:top w:val="nil"/>
              <w:left w:val="nil"/>
              <w:bottom w:val="nil"/>
              <w:right w:val="nil"/>
            </w:tcBorders>
            <w:shd w:val="clear" w:color="auto" w:fill="auto"/>
            <w:vAlign w:val="center"/>
          </w:tcPr>
          <w:p w14:paraId="5DACC5F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878</w:t>
            </w:r>
          </w:p>
        </w:tc>
        <w:tc>
          <w:tcPr>
            <w:tcW w:w="1140" w:type="dxa"/>
            <w:tcBorders>
              <w:top w:val="nil"/>
              <w:left w:val="nil"/>
              <w:bottom w:val="nil"/>
              <w:right w:val="single" w:sz="4" w:space="0" w:color="808080"/>
            </w:tcBorders>
            <w:shd w:val="clear" w:color="auto" w:fill="auto"/>
            <w:vAlign w:val="center"/>
          </w:tcPr>
          <w:p w14:paraId="48328E7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898</w:t>
            </w:r>
          </w:p>
        </w:tc>
      </w:tr>
      <w:tr w:rsidR="00B22E86" w:rsidRPr="00B22E86" w14:paraId="576E4095" w14:textId="77777777" w:rsidTr="00B22E86">
        <w:trPr>
          <w:cantSplit/>
          <w:jc w:val="center"/>
        </w:trPr>
        <w:tc>
          <w:tcPr>
            <w:tcW w:w="6640" w:type="dxa"/>
            <w:shd w:val="clear" w:color="auto" w:fill="auto"/>
            <w:vAlign w:val="center"/>
            <w:hideMark/>
          </w:tcPr>
          <w:p w14:paraId="6F16F888"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Τόκοι χρεωστικοί</w:t>
            </w:r>
          </w:p>
        </w:tc>
        <w:tc>
          <w:tcPr>
            <w:tcW w:w="1120" w:type="dxa"/>
            <w:tcBorders>
              <w:top w:val="nil"/>
              <w:left w:val="nil"/>
              <w:bottom w:val="nil"/>
              <w:right w:val="nil"/>
            </w:tcBorders>
            <w:shd w:val="clear" w:color="auto" w:fill="auto"/>
            <w:vAlign w:val="center"/>
          </w:tcPr>
          <w:p w14:paraId="5F4965F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c>
          <w:tcPr>
            <w:tcW w:w="1177" w:type="dxa"/>
            <w:tcBorders>
              <w:top w:val="nil"/>
              <w:left w:val="nil"/>
              <w:bottom w:val="nil"/>
              <w:right w:val="nil"/>
            </w:tcBorders>
            <w:shd w:val="clear" w:color="auto" w:fill="auto"/>
            <w:vAlign w:val="center"/>
          </w:tcPr>
          <w:p w14:paraId="1DDA094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c>
          <w:tcPr>
            <w:tcW w:w="1120" w:type="dxa"/>
            <w:tcBorders>
              <w:top w:val="nil"/>
              <w:left w:val="nil"/>
              <w:bottom w:val="nil"/>
              <w:right w:val="nil"/>
            </w:tcBorders>
            <w:shd w:val="clear" w:color="auto" w:fill="auto"/>
            <w:vAlign w:val="center"/>
          </w:tcPr>
          <w:p w14:paraId="50A3B4E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c>
          <w:tcPr>
            <w:tcW w:w="1140" w:type="dxa"/>
            <w:tcBorders>
              <w:top w:val="nil"/>
              <w:left w:val="nil"/>
              <w:bottom w:val="nil"/>
              <w:right w:val="single" w:sz="4" w:space="0" w:color="808080"/>
            </w:tcBorders>
            <w:shd w:val="clear" w:color="auto" w:fill="auto"/>
            <w:vAlign w:val="center"/>
          </w:tcPr>
          <w:p w14:paraId="335ED06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r>
      <w:tr w:rsidR="00B22E86" w:rsidRPr="00B22E86" w14:paraId="5C6A5E94" w14:textId="77777777" w:rsidTr="00B22E86">
        <w:trPr>
          <w:cantSplit/>
          <w:jc w:val="center"/>
        </w:trPr>
        <w:tc>
          <w:tcPr>
            <w:tcW w:w="6640" w:type="dxa"/>
            <w:shd w:val="clear" w:color="auto" w:fill="auto"/>
            <w:vAlign w:val="center"/>
            <w:hideMark/>
          </w:tcPr>
          <w:p w14:paraId="3BB0784F"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Λοιπά έξοδα</w:t>
            </w:r>
          </w:p>
        </w:tc>
        <w:tc>
          <w:tcPr>
            <w:tcW w:w="1120" w:type="dxa"/>
            <w:tcBorders>
              <w:top w:val="nil"/>
              <w:left w:val="nil"/>
              <w:bottom w:val="nil"/>
              <w:right w:val="nil"/>
            </w:tcBorders>
            <w:shd w:val="clear" w:color="auto" w:fill="auto"/>
            <w:vAlign w:val="center"/>
          </w:tcPr>
          <w:p w14:paraId="7C0442E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2.749</w:t>
            </w:r>
          </w:p>
        </w:tc>
        <w:tc>
          <w:tcPr>
            <w:tcW w:w="1177" w:type="dxa"/>
            <w:tcBorders>
              <w:top w:val="nil"/>
              <w:left w:val="nil"/>
              <w:bottom w:val="nil"/>
              <w:right w:val="nil"/>
            </w:tcBorders>
            <w:shd w:val="clear" w:color="auto" w:fill="auto"/>
            <w:vAlign w:val="center"/>
          </w:tcPr>
          <w:p w14:paraId="4A88118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2.656</w:t>
            </w:r>
          </w:p>
        </w:tc>
        <w:tc>
          <w:tcPr>
            <w:tcW w:w="1120" w:type="dxa"/>
            <w:tcBorders>
              <w:top w:val="nil"/>
              <w:left w:val="nil"/>
              <w:bottom w:val="nil"/>
              <w:right w:val="nil"/>
            </w:tcBorders>
            <w:shd w:val="clear" w:color="auto" w:fill="auto"/>
            <w:vAlign w:val="center"/>
          </w:tcPr>
          <w:p w14:paraId="61145D8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2.635</w:t>
            </w:r>
          </w:p>
        </w:tc>
        <w:tc>
          <w:tcPr>
            <w:tcW w:w="1140" w:type="dxa"/>
            <w:tcBorders>
              <w:top w:val="nil"/>
              <w:left w:val="nil"/>
              <w:bottom w:val="nil"/>
              <w:right w:val="single" w:sz="4" w:space="0" w:color="808080"/>
            </w:tcBorders>
            <w:shd w:val="clear" w:color="auto" w:fill="auto"/>
            <w:vAlign w:val="center"/>
          </w:tcPr>
          <w:p w14:paraId="6553D6F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2.784</w:t>
            </w:r>
          </w:p>
        </w:tc>
      </w:tr>
      <w:tr w:rsidR="00B22E86" w:rsidRPr="00B22E86" w14:paraId="22CE42FC" w14:textId="77777777" w:rsidTr="00B22E86">
        <w:trPr>
          <w:cantSplit/>
          <w:jc w:val="center"/>
        </w:trPr>
        <w:tc>
          <w:tcPr>
            <w:tcW w:w="6640" w:type="dxa"/>
            <w:shd w:val="clear" w:color="auto" w:fill="auto"/>
            <w:vAlign w:val="center"/>
            <w:hideMark/>
          </w:tcPr>
          <w:p w14:paraId="77BB2AFB"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Επενδυτικές δαπάνες</w:t>
            </w:r>
          </w:p>
        </w:tc>
        <w:tc>
          <w:tcPr>
            <w:tcW w:w="1120" w:type="dxa"/>
            <w:tcBorders>
              <w:top w:val="nil"/>
              <w:left w:val="nil"/>
              <w:bottom w:val="nil"/>
              <w:right w:val="nil"/>
            </w:tcBorders>
            <w:shd w:val="clear" w:color="auto" w:fill="auto"/>
            <w:vAlign w:val="center"/>
          </w:tcPr>
          <w:p w14:paraId="626CC98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203</w:t>
            </w:r>
          </w:p>
        </w:tc>
        <w:tc>
          <w:tcPr>
            <w:tcW w:w="1177" w:type="dxa"/>
            <w:tcBorders>
              <w:top w:val="nil"/>
              <w:left w:val="nil"/>
              <w:bottom w:val="nil"/>
              <w:right w:val="nil"/>
            </w:tcBorders>
            <w:shd w:val="clear" w:color="auto" w:fill="auto"/>
            <w:vAlign w:val="center"/>
          </w:tcPr>
          <w:p w14:paraId="027B507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260</w:t>
            </w:r>
          </w:p>
        </w:tc>
        <w:tc>
          <w:tcPr>
            <w:tcW w:w="1120" w:type="dxa"/>
            <w:tcBorders>
              <w:top w:val="nil"/>
              <w:left w:val="nil"/>
              <w:bottom w:val="nil"/>
              <w:right w:val="nil"/>
            </w:tcBorders>
            <w:shd w:val="clear" w:color="auto" w:fill="auto"/>
            <w:vAlign w:val="center"/>
          </w:tcPr>
          <w:p w14:paraId="4FCB2067"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165</w:t>
            </w:r>
          </w:p>
        </w:tc>
        <w:tc>
          <w:tcPr>
            <w:tcW w:w="1140" w:type="dxa"/>
            <w:tcBorders>
              <w:top w:val="nil"/>
              <w:left w:val="nil"/>
              <w:bottom w:val="nil"/>
              <w:right w:val="single" w:sz="4" w:space="0" w:color="808080"/>
            </w:tcBorders>
            <w:shd w:val="clear" w:color="auto" w:fill="auto"/>
            <w:vAlign w:val="center"/>
          </w:tcPr>
          <w:p w14:paraId="3EA6DF3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299</w:t>
            </w:r>
          </w:p>
        </w:tc>
      </w:tr>
      <w:tr w:rsidR="00B22E86" w:rsidRPr="00B22E86" w14:paraId="024A998C" w14:textId="77777777" w:rsidTr="00B22E86">
        <w:trPr>
          <w:cantSplit/>
          <w:trHeight w:val="198"/>
          <w:jc w:val="center"/>
        </w:trPr>
        <w:tc>
          <w:tcPr>
            <w:tcW w:w="6640" w:type="dxa"/>
            <w:shd w:val="clear" w:color="auto" w:fill="D5DCE4"/>
            <w:vAlign w:val="center"/>
            <w:hideMark/>
          </w:tcPr>
          <w:p w14:paraId="5DEC76A4"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VΙΙ.</w:t>
            </w:r>
            <w:r w:rsidRPr="00B22E86">
              <w:rPr>
                <w:rFonts w:ascii="Arial" w:eastAsia="Times New Roman" w:hAnsi="Arial" w:cs="Arial"/>
                <w:b/>
                <w:bCs/>
                <w:sz w:val="15"/>
                <w:szCs w:val="15"/>
                <w:lang w:eastAsia="el-GR"/>
              </w:rPr>
              <w:tab/>
              <w:t>Ισοζύγιο Κεντρικής Κυβέρνησης κατά ESA (ΙII+V+VΙ)</w:t>
            </w:r>
          </w:p>
        </w:tc>
        <w:tc>
          <w:tcPr>
            <w:tcW w:w="1120" w:type="dxa"/>
            <w:tcBorders>
              <w:top w:val="nil"/>
              <w:left w:val="nil"/>
              <w:bottom w:val="nil"/>
              <w:right w:val="nil"/>
            </w:tcBorders>
            <w:shd w:val="clear" w:color="auto" w:fill="D5DCE4"/>
            <w:vAlign w:val="center"/>
          </w:tcPr>
          <w:p w14:paraId="53905B2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-3.304</w:t>
            </w:r>
          </w:p>
        </w:tc>
        <w:tc>
          <w:tcPr>
            <w:tcW w:w="1177" w:type="dxa"/>
            <w:tcBorders>
              <w:top w:val="nil"/>
              <w:left w:val="nil"/>
              <w:bottom w:val="nil"/>
              <w:right w:val="nil"/>
            </w:tcBorders>
            <w:shd w:val="clear" w:color="auto" w:fill="D5DCE4"/>
            <w:vAlign w:val="center"/>
          </w:tcPr>
          <w:p w14:paraId="6405BE62"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-3.343</w:t>
            </w:r>
          </w:p>
        </w:tc>
        <w:tc>
          <w:tcPr>
            <w:tcW w:w="1120" w:type="dxa"/>
            <w:tcBorders>
              <w:top w:val="nil"/>
              <w:left w:val="nil"/>
              <w:bottom w:val="nil"/>
              <w:right w:val="nil"/>
            </w:tcBorders>
            <w:shd w:val="clear" w:color="auto" w:fill="D5DCE4"/>
            <w:vAlign w:val="center"/>
          </w:tcPr>
          <w:p w14:paraId="4B659FED"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-2.625</w:t>
            </w:r>
          </w:p>
        </w:tc>
        <w:tc>
          <w:tcPr>
            <w:tcW w:w="1140" w:type="dxa"/>
            <w:tcBorders>
              <w:top w:val="nil"/>
              <w:left w:val="nil"/>
              <w:bottom w:val="nil"/>
              <w:right w:val="single" w:sz="4" w:space="0" w:color="808080"/>
            </w:tcBorders>
            <w:shd w:val="clear" w:color="auto" w:fill="D5DCE4"/>
            <w:vAlign w:val="center"/>
          </w:tcPr>
          <w:p w14:paraId="14B51746"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-2.121</w:t>
            </w:r>
          </w:p>
        </w:tc>
      </w:tr>
      <w:tr w:rsidR="00B22E86" w:rsidRPr="00B22E86" w14:paraId="6CF86D49" w14:textId="77777777" w:rsidTr="00B22E86">
        <w:trPr>
          <w:cantSplit/>
          <w:trHeight w:val="198"/>
          <w:jc w:val="center"/>
        </w:trPr>
        <w:tc>
          <w:tcPr>
            <w:tcW w:w="6640" w:type="dxa"/>
            <w:shd w:val="clear" w:color="auto" w:fill="D5DCE4"/>
            <w:vAlign w:val="center"/>
            <w:hideMark/>
          </w:tcPr>
          <w:p w14:paraId="02F13D6B"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VIII. Ισοζύγιο OΤΑ κατά ESA</w:t>
            </w:r>
          </w:p>
        </w:tc>
        <w:tc>
          <w:tcPr>
            <w:tcW w:w="1120" w:type="dxa"/>
            <w:tcBorders>
              <w:top w:val="nil"/>
              <w:left w:val="nil"/>
              <w:bottom w:val="nil"/>
              <w:right w:val="nil"/>
            </w:tcBorders>
            <w:shd w:val="clear" w:color="auto" w:fill="D5DCE4"/>
            <w:vAlign w:val="center"/>
          </w:tcPr>
          <w:p w14:paraId="7BCDF621"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-595</w:t>
            </w:r>
          </w:p>
        </w:tc>
        <w:tc>
          <w:tcPr>
            <w:tcW w:w="1177" w:type="dxa"/>
            <w:tcBorders>
              <w:top w:val="nil"/>
              <w:left w:val="nil"/>
              <w:bottom w:val="nil"/>
              <w:right w:val="nil"/>
            </w:tcBorders>
            <w:shd w:val="clear" w:color="auto" w:fill="D5DCE4"/>
            <w:vAlign w:val="center"/>
          </w:tcPr>
          <w:p w14:paraId="2768530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-297</w:t>
            </w:r>
          </w:p>
        </w:tc>
        <w:tc>
          <w:tcPr>
            <w:tcW w:w="1120" w:type="dxa"/>
            <w:tcBorders>
              <w:top w:val="nil"/>
              <w:left w:val="nil"/>
              <w:bottom w:val="nil"/>
              <w:right w:val="nil"/>
            </w:tcBorders>
            <w:shd w:val="clear" w:color="auto" w:fill="D5DCE4"/>
            <w:vAlign w:val="center"/>
          </w:tcPr>
          <w:p w14:paraId="684646A0"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-249</w:t>
            </w:r>
          </w:p>
        </w:tc>
        <w:tc>
          <w:tcPr>
            <w:tcW w:w="1140" w:type="dxa"/>
            <w:tcBorders>
              <w:top w:val="nil"/>
              <w:left w:val="nil"/>
              <w:bottom w:val="nil"/>
              <w:right w:val="single" w:sz="4" w:space="0" w:color="808080"/>
            </w:tcBorders>
            <w:shd w:val="clear" w:color="auto" w:fill="D5DCE4"/>
            <w:vAlign w:val="center"/>
          </w:tcPr>
          <w:p w14:paraId="6B10577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-300</w:t>
            </w:r>
          </w:p>
        </w:tc>
      </w:tr>
      <w:tr w:rsidR="00B22E86" w:rsidRPr="00B22E86" w14:paraId="26BAC6E0" w14:textId="77777777" w:rsidTr="00B22E86">
        <w:trPr>
          <w:cantSplit/>
          <w:jc w:val="center"/>
        </w:trPr>
        <w:tc>
          <w:tcPr>
            <w:tcW w:w="6640" w:type="dxa"/>
            <w:shd w:val="clear" w:color="auto" w:fill="auto"/>
            <w:vAlign w:val="center"/>
            <w:hideMark/>
          </w:tcPr>
          <w:p w14:paraId="11856981"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Έσοδα</w:t>
            </w:r>
          </w:p>
        </w:tc>
        <w:tc>
          <w:tcPr>
            <w:tcW w:w="1120" w:type="dxa"/>
            <w:tcBorders>
              <w:top w:val="nil"/>
              <w:left w:val="nil"/>
              <w:bottom w:val="nil"/>
              <w:right w:val="nil"/>
            </w:tcBorders>
            <w:shd w:val="clear" w:color="auto" w:fill="auto"/>
            <w:vAlign w:val="center"/>
          </w:tcPr>
          <w:p w14:paraId="462D4790"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8.417</w:t>
            </w:r>
          </w:p>
        </w:tc>
        <w:tc>
          <w:tcPr>
            <w:tcW w:w="1177" w:type="dxa"/>
            <w:tcBorders>
              <w:top w:val="nil"/>
              <w:left w:val="nil"/>
              <w:bottom w:val="nil"/>
              <w:right w:val="nil"/>
            </w:tcBorders>
            <w:shd w:val="clear" w:color="auto" w:fill="auto"/>
            <w:vAlign w:val="center"/>
          </w:tcPr>
          <w:p w14:paraId="521F470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8.505</w:t>
            </w:r>
          </w:p>
        </w:tc>
        <w:tc>
          <w:tcPr>
            <w:tcW w:w="1120" w:type="dxa"/>
            <w:tcBorders>
              <w:top w:val="nil"/>
              <w:left w:val="nil"/>
              <w:bottom w:val="nil"/>
              <w:right w:val="nil"/>
            </w:tcBorders>
            <w:shd w:val="clear" w:color="auto" w:fill="auto"/>
            <w:vAlign w:val="center"/>
          </w:tcPr>
          <w:p w14:paraId="14F426E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9.086</w:t>
            </w:r>
          </w:p>
        </w:tc>
        <w:tc>
          <w:tcPr>
            <w:tcW w:w="1140" w:type="dxa"/>
            <w:tcBorders>
              <w:top w:val="nil"/>
              <w:left w:val="nil"/>
              <w:bottom w:val="nil"/>
              <w:right w:val="single" w:sz="4" w:space="0" w:color="808080"/>
            </w:tcBorders>
            <w:shd w:val="clear" w:color="auto" w:fill="auto"/>
            <w:vAlign w:val="center"/>
          </w:tcPr>
          <w:p w14:paraId="7585BD44"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9.217</w:t>
            </w:r>
          </w:p>
        </w:tc>
      </w:tr>
      <w:tr w:rsidR="00B22E86" w:rsidRPr="00B22E86" w14:paraId="04766B95" w14:textId="77777777" w:rsidTr="00B22E86">
        <w:trPr>
          <w:cantSplit/>
          <w:jc w:val="center"/>
        </w:trPr>
        <w:tc>
          <w:tcPr>
            <w:tcW w:w="6640" w:type="dxa"/>
            <w:shd w:val="clear" w:color="auto" w:fill="auto"/>
            <w:vAlign w:val="center"/>
            <w:hideMark/>
          </w:tcPr>
          <w:p w14:paraId="666C4BE0"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Τρέχουσες και λοιπές κεφαλαιακές μεταβιβάσεις</w:t>
            </w:r>
          </w:p>
        </w:tc>
        <w:tc>
          <w:tcPr>
            <w:tcW w:w="1120" w:type="dxa"/>
            <w:tcBorders>
              <w:top w:val="nil"/>
              <w:left w:val="nil"/>
              <w:bottom w:val="nil"/>
              <w:right w:val="nil"/>
            </w:tcBorders>
            <w:shd w:val="clear" w:color="auto" w:fill="auto"/>
            <w:vAlign w:val="center"/>
          </w:tcPr>
          <w:p w14:paraId="63A7BBA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5.426</w:t>
            </w:r>
          </w:p>
        </w:tc>
        <w:tc>
          <w:tcPr>
            <w:tcW w:w="1177" w:type="dxa"/>
            <w:tcBorders>
              <w:top w:val="nil"/>
              <w:left w:val="nil"/>
              <w:bottom w:val="nil"/>
              <w:right w:val="nil"/>
            </w:tcBorders>
            <w:shd w:val="clear" w:color="auto" w:fill="auto"/>
            <w:vAlign w:val="center"/>
          </w:tcPr>
          <w:p w14:paraId="34D7938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5.475</w:t>
            </w:r>
          </w:p>
        </w:tc>
        <w:tc>
          <w:tcPr>
            <w:tcW w:w="1120" w:type="dxa"/>
            <w:tcBorders>
              <w:top w:val="nil"/>
              <w:left w:val="nil"/>
              <w:bottom w:val="nil"/>
              <w:right w:val="nil"/>
            </w:tcBorders>
            <w:shd w:val="clear" w:color="auto" w:fill="auto"/>
            <w:vAlign w:val="center"/>
          </w:tcPr>
          <w:p w14:paraId="4D432D9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5.970</w:t>
            </w:r>
          </w:p>
        </w:tc>
        <w:tc>
          <w:tcPr>
            <w:tcW w:w="1140" w:type="dxa"/>
            <w:tcBorders>
              <w:top w:val="nil"/>
              <w:left w:val="nil"/>
              <w:bottom w:val="nil"/>
              <w:right w:val="single" w:sz="4" w:space="0" w:color="808080"/>
            </w:tcBorders>
            <w:shd w:val="clear" w:color="auto" w:fill="auto"/>
            <w:vAlign w:val="center"/>
          </w:tcPr>
          <w:p w14:paraId="253885E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6.015</w:t>
            </w:r>
          </w:p>
        </w:tc>
      </w:tr>
      <w:tr w:rsidR="00B22E86" w:rsidRPr="00B22E86" w14:paraId="725E52D3" w14:textId="77777777" w:rsidTr="00B22E86">
        <w:trPr>
          <w:cantSplit/>
          <w:jc w:val="center"/>
        </w:trPr>
        <w:tc>
          <w:tcPr>
            <w:tcW w:w="6640" w:type="dxa"/>
            <w:shd w:val="clear" w:color="auto" w:fill="auto"/>
            <w:vAlign w:val="center"/>
            <w:hideMark/>
          </w:tcPr>
          <w:p w14:paraId="4E09D31F"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Τόκοι πιστωτικοί</w:t>
            </w:r>
          </w:p>
        </w:tc>
        <w:tc>
          <w:tcPr>
            <w:tcW w:w="1120" w:type="dxa"/>
            <w:tcBorders>
              <w:top w:val="nil"/>
              <w:left w:val="nil"/>
              <w:bottom w:val="nil"/>
              <w:right w:val="nil"/>
            </w:tcBorders>
            <w:shd w:val="clear" w:color="auto" w:fill="auto"/>
            <w:vAlign w:val="center"/>
          </w:tcPr>
          <w:p w14:paraId="69F53B9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56</w:t>
            </w:r>
          </w:p>
        </w:tc>
        <w:tc>
          <w:tcPr>
            <w:tcW w:w="1177" w:type="dxa"/>
            <w:tcBorders>
              <w:top w:val="nil"/>
              <w:left w:val="nil"/>
              <w:bottom w:val="nil"/>
              <w:right w:val="nil"/>
            </w:tcBorders>
            <w:shd w:val="clear" w:color="auto" w:fill="auto"/>
            <w:vAlign w:val="center"/>
          </w:tcPr>
          <w:p w14:paraId="7FFC7FF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50</w:t>
            </w:r>
          </w:p>
        </w:tc>
        <w:tc>
          <w:tcPr>
            <w:tcW w:w="1120" w:type="dxa"/>
            <w:tcBorders>
              <w:top w:val="nil"/>
              <w:left w:val="nil"/>
              <w:bottom w:val="nil"/>
              <w:right w:val="nil"/>
            </w:tcBorders>
            <w:shd w:val="clear" w:color="auto" w:fill="auto"/>
            <w:vAlign w:val="center"/>
          </w:tcPr>
          <w:p w14:paraId="14C75FE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76</w:t>
            </w:r>
          </w:p>
        </w:tc>
        <w:tc>
          <w:tcPr>
            <w:tcW w:w="1140" w:type="dxa"/>
            <w:tcBorders>
              <w:top w:val="nil"/>
              <w:left w:val="nil"/>
              <w:bottom w:val="nil"/>
              <w:right w:val="single" w:sz="4" w:space="0" w:color="808080"/>
            </w:tcBorders>
            <w:shd w:val="clear" w:color="auto" w:fill="auto"/>
            <w:vAlign w:val="center"/>
          </w:tcPr>
          <w:p w14:paraId="3FB7344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76</w:t>
            </w:r>
          </w:p>
        </w:tc>
      </w:tr>
      <w:tr w:rsidR="00B22E86" w:rsidRPr="00B22E86" w14:paraId="33FC39A2" w14:textId="77777777" w:rsidTr="00B22E86">
        <w:trPr>
          <w:cantSplit/>
          <w:jc w:val="center"/>
        </w:trPr>
        <w:tc>
          <w:tcPr>
            <w:tcW w:w="6640" w:type="dxa"/>
            <w:shd w:val="clear" w:color="auto" w:fill="auto"/>
            <w:vAlign w:val="center"/>
            <w:hideMark/>
          </w:tcPr>
          <w:p w14:paraId="279C553A" w14:textId="77777777" w:rsidR="00B22E86" w:rsidRPr="00B22E86" w:rsidRDefault="00B22E86" w:rsidP="00B22E86">
            <w:pPr>
              <w:spacing w:after="0" w:line="240" w:lineRule="auto"/>
              <w:rPr>
                <w:rFonts w:ascii="Arial" w:eastAsia="Times New Roman" w:hAnsi="Arial" w:cs="Arial"/>
                <w:sz w:val="15"/>
                <w:szCs w:val="15"/>
                <w:lang w:eastAsia="el-GR"/>
              </w:rPr>
            </w:pPr>
            <w:proofErr w:type="spellStart"/>
            <w:r w:rsidRPr="00B22E86">
              <w:rPr>
                <w:rFonts w:ascii="Arial" w:eastAsia="Times New Roman" w:hAnsi="Arial" w:cs="Arial"/>
                <w:sz w:val="15"/>
                <w:szCs w:val="15"/>
                <w:lang w:eastAsia="el-GR"/>
              </w:rPr>
              <w:t>Αντικριζόμενα</w:t>
            </w:r>
            <w:proofErr w:type="spellEnd"/>
            <w:r w:rsidRPr="00B22E86">
              <w:rPr>
                <w:rFonts w:ascii="Arial" w:eastAsia="Times New Roman" w:hAnsi="Arial" w:cs="Arial"/>
                <w:sz w:val="15"/>
                <w:szCs w:val="15"/>
                <w:lang w:eastAsia="el-GR"/>
              </w:rPr>
              <w:t xml:space="preserve"> έσοδα (καθαρά)</w:t>
            </w:r>
          </w:p>
        </w:tc>
        <w:tc>
          <w:tcPr>
            <w:tcW w:w="1120" w:type="dxa"/>
            <w:tcBorders>
              <w:top w:val="nil"/>
              <w:left w:val="nil"/>
              <w:bottom w:val="nil"/>
              <w:right w:val="nil"/>
            </w:tcBorders>
            <w:shd w:val="clear" w:color="auto" w:fill="auto"/>
            <w:vAlign w:val="center"/>
          </w:tcPr>
          <w:p w14:paraId="337E4D3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-27</w:t>
            </w:r>
          </w:p>
        </w:tc>
        <w:tc>
          <w:tcPr>
            <w:tcW w:w="1177" w:type="dxa"/>
            <w:tcBorders>
              <w:top w:val="nil"/>
              <w:left w:val="nil"/>
              <w:bottom w:val="nil"/>
              <w:right w:val="nil"/>
            </w:tcBorders>
            <w:shd w:val="clear" w:color="auto" w:fill="auto"/>
            <w:vAlign w:val="center"/>
          </w:tcPr>
          <w:p w14:paraId="0F64105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-18</w:t>
            </w:r>
          </w:p>
        </w:tc>
        <w:tc>
          <w:tcPr>
            <w:tcW w:w="1120" w:type="dxa"/>
            <w:tcBorders>
              <w:top w:val="nil"/>
              <w:left w:val="nil"/>
              <w:bottom w:val="nil"/>
              <w:right w:val="nil"/>
            </w:tcBorders>
            <w:shd w:val="clear" w:color="auto" w:fill="auto"/>
            <w:vAlign w:val="center"/>
          </w:tcPr>
          <w:p w14:paraId="0CD3B4A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-18</w:t>
            </w:r>
          </w:p>
        </w:tc>
        <w:tc>
          <w:tcPr>
            <w:tcW w:w="1140" w:type="dxa"/>
            <w:tcBorders>
              <w:top w:val="nil"/>
              <w:left w:val="nil"/>
              <w:bottom w:val="nil"/>
              <w:right w:val="single" w:sz="4" w:space="0" w:color="808080"/>
            </w:tcBorders>
            <w:shd w:val="clear" w:color="auto" w:fill="auto"/>
            <w:vAlign w:val="center"/>
          </w:tcPr>
          <w:p w14:paraId="30C5EC0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-18</w:t>
            </w:r>
          </w:p>
        </w:tc>
      </w:tr>
      <w:tr w:rsidR="00B22E86" w:rsidRPr="00B22E86" w14:paraId="58537C16" w14:textId="77777777" w:rsidTr="00B22E86">
        <w:trPr>
          <w:cantSplit/>
          <w:jc w:val="center"/>
        </w:trPr>
        <w:tc>
          <w:tcPr>
            <w:tcW w:w="6640" w:type="dxa"/>
            <w:shd w:val="clear" w:color="auto" w:fill="auto"/>
            <w:vAlign w:val="center"/>
            <w:hideMark/>
          </w:tcPr>
          <w:p w14:paraId="6E3BD012"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Φόροι</w:t>
            </w:r>
          </w:p>
        </w:tc>
        <w:tc>
          <w:tcPr>
            <w:tcW w:w="1120" w:type="dxa"/>
            <w:tcBorders>
              <w:top w:val="nil"/>
              <w:left w:val="nil"/>
              <w:bottom w:val="nil"/>
              <w:right w:val="nil"/>
            </w:tcBorders>
            <w:shd w:val="clear" w:color="auto" w:fill="auto"/>
            <w:vAlign w:val="center"/>
          </w:tcPr>
          <w:p w14:paraId="07AA22A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1.950</w:t>
            </w:r>
          </w:p>
        </w:tc>
        <w:tc>
          <w:tcPr>
            <w:tcW w:w="1177" w:type="dxa"/>
            <w:tcBorders>
              <w:top w:val="nil"/>
              <w:left w:val="nil"/>
              <w:bottom w:val="nil"/>
              <w:right w:val="nil"/>
            </w:tcBorders>
            <w:shd w:val="clear" w:color="auto" w:fill="auto"/>
            <w:vAlign w:val="center"/>
          </w:tcPr>
          <w:p w14:paraId="2500FC2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1.990</w:t>
            </w:r>
          </w:p>
        </w:tc>
        <w:tc>
          <w:tcPr>
            <w:tcW w:w="1120" w:type="dxa"/>
            <w:tcBorders>
              <w:top w:val="nil"/>
              <w:left w:val="nil"/>
              <w:bottom w:val="nil"/>
              <w:right w:val="nil"/>
            </w:tcBorders>
            <w:shd w:val="clear" w:color="auto" w:fill="auto"/>
            <w:vAlign w:val="center"/>
          </w:tcPr>
          <w:p w14:paraId="31D510B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2.072</w:t>
            </w:r>
          </w:p>
        </w:tc>
        <w:tc>
          <w:tcPr>
            <w:tcW w:w="1140" w:type="dxa"/>
            <w:tcBorders>
              <w:top w:val="nil"/>
              <w:left w:val="nil"/>
              <w:bottom w:val="nil"/>
              <w:right w:val="single" w:sz="4" w:space="0" w:color="808080"/>
            </w:tcBorders>
            <w:shd w:val="clear" w:color="auto" w:fill="auto"/>
            <w:vAlign w:val="center"/>
          </w:tcPr>
          <w:p w14:paraId="55EF4C6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2.130</w:t>
            </w:r>
          </w:p>
        </w:tc>
      </w:tr>
      <w:tr w:rsidR="00B22E86" w:rsidRPr="00B22E86" w14:paraId="2BA6029D" w14:textId="77777777" w:rsidTr="00B22E86">
        <w:trPr>
          <w:cantSplit/>
          <w:jc w:val="center"/>
        </w:trPr>
        <w:tc>
          <w:tcPr>
            <w:tcW w:w="6640" w:type="dxa"/>
            <w:shd w:val="clear" w:color="auto" w:fill="auto"/>
            <w:vAlign w:val="center"/>
            <w:hideMark/>
          </w:tcPr>
          <w:p w14:paraId="15CC4251"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Λοιπά έσοδα</w:t>
            </w:r>
          </w:p>
        </w:tc>
        <w:tc>
          <w:tcPr>
            <w:tcW w:w="1120" w:type="dxa"/>
            <w:tcBorders>
              <w:top w:val="nil"/>
              <w:left w:val="nil"/>
              <w:bottom w:val="nil"/>
              <w:right w:val="nil"/>
            </w:tcBorders>
            <w:shd w:val="clear" w:color="auto" w:fill="auto"/>
            <w:vAlign w:val="center"/>
          </w:tcPr>
          <w:p w14:paraId="5818ED9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1.013</w:t>
            </w:r>
          </w:p>
        </w:tc>
        <w:tc>
          <w:tcPr>
            <w:tcW w:w="1177" w:type="dxa"/>
            <w:tcBorders>
              <w:top w:val="nil"/>
              <w:left w:val="nil"/>
              <w:bottom w:val="nil"/>
              <w:right w:val="nil"/>
            </w:tcBorders>
            <w:shd w:val="clear" w:color="auto" w:fill="auto"/>
            <w:vAlign w:val="center"/>
          </w:tcPr>
          <w:p w14:paraId="4F5FEE0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1.008</w:t>
            </w:r>
          </w:p>
        </w:tc>
        <w:tc>
          <w:tcPr>
            <w:tcW w:w="1120" w:type="dxa"/>
            <w:tcBorders>
              <w:top w:val="nil"/>
              <w:left w:val="nil"/>
              <w:bottom w:val="nil"/>
              <w:right w:val="nil"/>
            </w:tcBorders>
            <w:shd w:val="clear" w:color="auto" w:fill="auto"/>
            <w:vAlign w:val="center"/>
          </w:tcPr>
          <w:p w14:paraId="2E3C895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987</w:t>
            </w:r>
          </w:p>
        </w:tc>
        <w:tc>
          <w:tcPr>
            <w:tcW w:w="1140" w:type="dxa"/>
            <w:tcBorders>
              <w:top w:val="nil"/>
              <w:left w:val="nil"/>
              <w:bottom w:val="nil"/>
              <w:right w:val="single" w:sz="4" w:space="0" w:color="808080"/>
            </w:tcBorders>
            <w:shd w:val="clear" w:color="auto" w:fill="auto"/>
            <w:vAlign w:val="center"/>
          </w:tcPr>
          <w:p w14:paraId="636EC5C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1.015</w:t>
            </w:r>
          </w:p>
        </w:tc>
      </w:tr>
      <w:tr w:rsidR="00B22E86" w:rsidRPr="00B22E86" w14:paraId="5D1C27AD" w14:textId="77777777" w:rsidTr="00B22E86">
        <w:trPr>
          <w:cantSplit/>
          <w:jc w:val="center"/>
        </w:trPr>
        <w:tc>
          <w:tcPr>
            <w:tcW w:w="6640" w:type="dxa"/>
            <w:shd w:val="clear" w:color="auto" w:fill="auto"/>
            <w:vAlign w:val="center"/>
            <w:hideMark/>
          </w:tcPr>
          <w:p w14:paraId="1ABF1808"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Έξοδα</w:t>
            </w:r>
          </w:p>
        </w:tc>
        <w:tc>
          <w:tcPr>
            <w:tcW w:w="1120" w:type="dxa"/>
            <w:tcBorders>
              <w:top w:val="nil"/>
              <w:left w:val="nil"/>
              <w:bottom w:val="nil"/>
              <w:right w:val="nil"/>
            </w:tcBorders>
            <w:shd w:val="clear" w:color="auto" w:fill="auto"/>
            <w:vAlign w:val="center"/>
          </w:tcPr>
          <w:p w14:paraId="300999F6"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9.012</w:t>
            </w:r>
          </w:p>
        </w:tc>
        <w:tc>
          <w:tcPr>
            <w:tcW w:w="1177" w:type="dxa"/>
            <w:tcBorders>
              <w:top w:val="nil"/>
              <w:left w:val="nil"/>
              <w:bottom w:val="nil"/>
              <w:right w:val="nil"/>
            </w:tcBorders>
            <w:shd w:val="clear" w:color="auto" w:fill="auto"/>
            <w:vAlign w:val="center"/>
          </w:tcPr>
          <w:p w14:paraId="7B644EE6"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8.802</w:t>
            </w:r>
          </w:p>
        </w:tc>
        <w:tc>
          <w:tcPr>
            <w:tcW w:w="1120" w:type="dxa"/>
            <w:tcBorders>
              <w:top w:val="nil"/>
              <w:left w:val="nil"/>
              <w:bottom w:val="nil"/>
              <w:right w:val="nil"/>
            </w:tcBorders>
            <w:shd w:val="clear" w:color="auto" w:fill="auto"/>
            <w:vAlign w:val="center"/>
          </w:tcPr>
          <w:p w14:paraId="5233DA4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9.335</w:t>
            </w:r>
          </w:p>
        </w:tc>
        <w:tc>
          <w:tcPr>
            <w:tcW w:w="1140" w:type="dxa"/>
            <w:tcBorders>
              <w:top w:val="nil"/>
              <w:left w:val="nil"/>
              <w:bottom w:val="nil"/>
              <w:right w:val="single" w:sz="4" w:space="0" w:color="808080"/>
            </w:tcBorders>
            <w:shd w:val="clear" w:color="auto" w:fill="auto"/>
            <w:vAlign w:val="center"/>
          </w:tcPr>
          <w:p w14:paraId="2A4967B4"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9.517</w:t>
            </w:r>
          </w:p>
        </w:tc>
      </w:tr>
      <w:tr w:rsidR="00B22E86" w:rsidRPr="00B22E86" w14:paraId="57661D84" w14:textId="77777777" w:rsidTr="00B22E86">
        <w:trPr>
          <w:cantSplit/>
          <w:jc w:val="center"/>
        </w:trPr>
        <w:tc>
          <w:tcPr>
            <w:tcW w:w="6640" w:type="dxa"/>
            <w:shd w:val="clear" w:color="auto" w:fill="auto"/>
            <w:vAlign w:val="center"/>
            <w:hideMark/>
          </w:tcPr>
          <w:p w14:paraId="1C2AF609"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Παροχές σε εργαζόμενους</w:t>
            </w:r>
          </w:p>
        </w:tc>
        <w:tc>
          <w:tcPr>
            <w:tcW w:w="1120" w:type="dxa"/>
            <w:tcBorders>
              <w:top w:val="nil"/>
              <w:left w:val="nil"/>
              <w:bottom w:val="nil"/>
              <w:right w:val="nil"/>
            </w:tcBorders>
            <w:shd w:val="clear" w:color="auto" w:fill="auto"/>
            <w:vAlign w:val="center"/>
          </w:tcPr>
          <w:p w14:paraId="372D771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2.807</w:t>
            </w:r>
          </w:p>
        </w:tc>
        <w:tc>
          <w:tcPr>
            <w:tcW w:w="1177" w:type="dxa"/>
            <w:tcBorders>
              <w:top w:val="nil"/>
              <w:left w:val="nil"/>
              <w:bottom w:val="nil"/>
              <w:right w:val="nil"/>
            </w:tcBorders>
            <w:shd w:val="clear" w:color="auto" w:fill="auto"/>
            <w:vAlign w:val="center"/>
          </w:tcPr>
          <w:p w14:paraId="663F3DB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3.006</w:t>
            </w:r>
          </w:p>
        </w:tc>
        <w:tc>
          <w:tcPr>
            <w:tcW w:w="1120" w:type="dxa"/>
            <w:tcBorders>
              <w:top w:val="nil"/>
              <w:left w:val="nil"/>
              <w:bottom w:val="nil"/>
              <w:right w:val="nil"/>
            </w:tcBorders>
            <w:shd w:val="clear" w:color="auto" w:fill="auto"/>
            <w:vAlign w:val="center"/>
          </w:tcPr>
          <w:p w14:paraId="232F9FC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3.020</w:t>
            </w:r>
          </w:p>
        </w:tc>
        <w:tc>
          <w:tcPr>
            <w:tcW w:w="1140" w:type="dxa"/>
            <w:tcBorders>
              <w:top w:val="nil"/>
              <w:left w:val="nil"/>
              <w:bottom w:val="nil"/>
              <w:right w:val="single" w:sz="4" w:space="0" w:color="808080"/>
            </w:tcBorders>
            <w:shd w:val="clear" w:color="auto" w:fill="auto"/>
            <w:vAlign w:val="center"/>
          </w:tcPr>
          <w:p w14:paraId="75123AC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3.128</w:t>
            </w:r>
          </w:p>
        </w:tc>
      </w:tr>
      <w:tr w:rsidR="00B22E86" w:rsidRPr="00B22E86" w14:paraId="375E2815" w14:textId="77777777" w:rsidTr="00B22E86">
        <w:trPr>
          <w:cantSplit/>
          <w:jc w:val="center"/>
        </w:trPr>
        <w:tc>
          <w:tcPr>
            <w:tcW w:w="6640" w:type="dxa"/>
            <w:shd w:val="clear" w:color="auto" w:fill="auto"/>
            <w:vAlign w:val="center"/>
            <w:hideMark/>
          </w:tcPr>
          <w:p w14:paraId="03872B65"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Τόκοι χρεωστικοί</w:t>
            </w:r>
          </w:p>
        </w:tc>
        <w:tc>
          <w:tcPr>
            <w:tcW w:w="1120" w:type="dxa"/>
            <w:tcBorders>
              <w:top w:val="nil"/>
              <w:left w:val="nil"/>
              <w:bottom w:val="nil"/>
              <w:right w:val="nil"/>
            </w:tcBorders>
            <w:shd w:val="clear" w:color="auto" w:fill="auto"/>
            <w:vAlign w:val="center"/>
          </w:tcPr>
          <w:p w14:paraId="73987E6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21</w:t>
            </w:r>
          </w:p>
        </w:tc>
        <w:tc>
          <w:tcPr>
            <w:tcW w:w="1177" w:type="dxa"/>
            <w:tcBorders>
              <w:top w:val="nil"/>
              <w:left w:val="nil"/>
              <w:bottom w:val="nil"/>
              <w:right w:val="nil"/>
            </w:tcBorders>
            <w:shd w:val="clear" w:color="auto" w:fill="auto"/>
            <w:vAlign w:val="center"/>
          </w:tcPr>
          <w:p w14:paraId="3C35546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42</w:t>
            </w:r>
          </w:p>
        </w:tc>
        <w:tc>
          <w:tcPr>
            <w:tcW w:w="1120" w:type="dxa"/>
            <w:tcBorders>
              <w:top w:val="nil"/>
              <w:left w:val="nil"/>
              <w:bottom w:val="nil"/>
              <w:right w:val="nil"/>
            </w:tcBorders>
            <w:shd w:val="clear" w:color="auto" w:fill="auto"/>
            <w:vAlign w:val="center"/>
          </w:tcPr>
          <w:p w14:paraId="64F32B4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33</w:t>
            </w:r>
          </w:p>
        </w:tc>
        <w:tc>
          <w:tcPr>
            <w:tcW w:w="1140" w:type="dxa"/>
            <w:tcBorders>
              <w:top w:val="nil"/>
              <w:left w:val="nil"/>
              <w:bottom w:val="nil"/>
              <w:right w:val="single" w:sz="4" w:space="0" w:color="808080"/>
            </w:tcBorders>
            <w:shd w:val="clear" w:color="auto" w:fill="auto"/>
            <w:vAlign w:val="center"/>
          </w:tcPr>
          <w:p w14:paraId="5FCF864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45</w:t>
            </w:r>
          </w:p>
        </w:tc>
      </w:tr>
      <w:tr w:rsidR="00B22E86" w:rsidRPr="00B22E86" w14:paraId="39F3D407" w14:textId="77777777" w:rsidTr="00B22E86">
        <w:trPr>
          <w:cantSplit/>
          <w:jc w:val="center"/>
        </w:trPr>
        <w:tc>
          <w:tcPr>
            <w:tcW w:w="6640" w:type="dxa"/>
            <w:shd w:val="clear" w:color="auto" w:fill="auto"/>
            <w:vAlign w:val="center"/>
            <w:hideMark/>
          </w:tcPr>
          <w:p w14:paraId="32347782"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Κοινωνικές παροχές</w:t>
            </w:r>
          </w:p>
        </w:tc>
        <w:tc>
          <w:tcPr>
            <w:tcW w:w="1120" w:type="dxa"/>
            <w:tcBorders>
              <w:top w:val="nil"/>
              <w:left w:val="nil"/>
              <w:bottom w:val="nil"/>
              <w:right w:val="nil"/>
            </w:tcBorders>
            <w:shd w:val="clear" w:color="auto" w:fill="auto"/>
            <w:vAlign w:val="center"/>
          </w:tcPr>
          <w:p w14:paraId="21D993D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190</w:t>
            </w:r>
          </w:p>
        </w:tc>
        <w:tc>
          <w:tcPr>
            <w:tcW w:w="1177" w:type="dxa"/>
            <w:tcBorders>
              <w:top w:val="nil"/>
              <w:left w:val="nil"/>
              <w:bottom w:val="nil"/>
              <w:right w:val="nil"/>
            </w:tcBorders>
            <w:shd w:val="clear" w:color="auto" w:fill="auto"/>
            <w:vAlign w:val="center"/>
          </w:tcPr>
          <w:p w14:paraId="3308676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196</w:t>
            </w:r>
          </w:p>
        </w:tc>
        <w:tc>
          <w:tcPr>
            <w:tcW w:w="1120" w:type="dxa"/>
            <w:tcBorders>
              <w:top w:val="nil"/>
              <w:left w:val="nil"/>
              <w:bottom w:val="nil"/>
              <w:right w:val="nil"/>
            </w:tcBorders>
            <w:shd w:val="clear" w:color="auto" w:fill="auto"/>
            <w:vAlign w:val="center"/>
          </w:tcPr>
          <w:p w14:paraId="6472E5C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226</w:t>
            </w:r>
          </w:p>
        </w:tc>
        <w:tc>
          <w:tcPr>
            <w:tcW w:w="1140" w:type="dxa"/>
            <w:tcBorders>
              <w:top w:val="nil"/>
              <w:left w:val="nil"/>
              <w:bottom w:val="nil"/>
              <w:right w:val="single" w:sz="4" w:space="0" w:color="808080"/>
            </w:tcBorders>
            <w:shd w:val="clear" w:color="auto" w:fill="auto"/>
            <w:vAlign w:val="center"/>
          </w:tcPr>
          <w:p w14:paraId="26E4FE1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230</w:t>
            </w:r>
          </w:p>
        </w:tc>
      </w:tr>
      <w:tr w:rsidR="00B22E86" w:rsidRPr="00B22E86" w14:paraId="1BBEE71E" w14:textId="77777777" w:rsidTr="00B22E86">
        <w:trPr>
          <w:cantSplit/>
          <w:jc w:val="center"/>
        </w:trPr>
        <w:tc>
          <w:tcPr>
            <w:tcW w:w="6640" w:type="dxa"/>
            <w:shd w:val="clear" w:color="auto" w:fill="auto"/>
            <w:vAlign w:val="center"/>
            <w:hideMark/>
          </w:tcPr>
          <w:p w14:paraId="5A19E210"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Λοιπά έξοδα</w:t>
            </w:r>
          </w:p>
        </w:tc>
        <w:tc>
          <w:tcPr>
            <w:tcW w:w="1120" w:type="dxa"/>
            <w:tcBorders>
              <w:top w:val="nil"/>
              <w:left w:val="nil"/>
              <w:bottom w:val="nil"/>
              <w:right w:val="nil"/>
            </w:tcBorders>
            <w:shd w:val="clear" w:color="auto" w:fill="auto"/>
            <w:vAlign w:val="center"/>
          </w:tcPr>
          <w:p w14:paraId="2E0271A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2.913</w:t>
            </w:r>
          </w:p>
        </w:tc>
        <w:tc>
          <w:tcPr>
            <w:tcW w:w="1177" w:type="dxa"/>
            <w:tcBorders>
              <w:top w:val="nil"/>
              <w:left w:val="nil"/>
              <w:bottom w:val="nil"/>
              <w:right w:val="nil"/>
            </w:tcBorders>
            <w:shd w:val="clear" w:color="auto" w:fill="auto"/>
            <w:vAlign w:val="center"/>
          </w:tcPr>
          <w:p w14:paraId="2ECE03F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2.690</w:t>
            </w:r>
          </w:p>
        </w:tc>
        <w:tc>
          <w:tcPr>
            <w:tcW w:w="1120" w:type="dxa"/>
            <w:tcBorders>
              <w:top w:val="nil"/>
              <w:left w:val="nil"/>
              <w:bottom w:val="nil"/>
              <w:right w:val="nil"/>
            </w:tcBorders>
            <w:shd w:val="clear" w:color="auto" w:fill="auto"/>
            <w:vAlign w:val="center"/>
          </w:tcPr>
          <w:p w14:paraId="307A990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2.830</w:t>
            </w:r>
          </w:p>
        </w:tc>
        <w:tc>
          <w:tcPr>
            <w:tcW w:w="1140" w:type="dxa"/>
            <w:tcBorders>
              <w:top w:val="nil"/>
              <w:left w:val="nil"/>
              <w:bottom w:val="nil"/>
              <w:right w:val="single" w:sz="4" w:space="0" w:color="808080"/>
            </w:tcBorders>
            <w:shd w:val="clear" w:color="auto" w:fill="auto"/>
            <w:vAlign w:val="center"/>
          </w:tcPr>
          <w:p w14:paraId="6A4CB4B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2.925</w:t>
            </w:r>
          </w:p>
        </w:tc>
      </w:tr>
      <w:tr w:rsidR="00B22E86" w:rsidRPr="00B22E86" w14:paraId="130AD74D" w14:textId="77777777" w:rsidTr="00B22E86">
        <w:trPr>
          <w:cantSplit/>
          <w:jc w:val="center"/>
        </w:trPr>
        <w:tc>
          <w:tcPr>
            <w:tcW w:w="6640" w:type="dxa"/>
            <w:shd w:val="clear" w:color="auto" w:fill="auto"/>
            <w:vAlign w:val="center"/>
            <w:hideMark/>
          </w:tcPr>
          <w:p w14:paraId="05B53AAD"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Επενδυτικές δαπάνες</w:t>
            </w:r>
          </w:p>
        </w:tc>
        <w:tc>
          <w:tcPr>
            <w:tcW w:w="1120" w:type="dxa"/>
            <w:tcBorders>
              <w:top w:val="nil"/>
              <w:left w:val="nil"/>
              <w:bottom w:val="nil"/>
              <w:right w:val="nil"/>
            </w:tcBorders>
            <w:shd w:val="clear" w:color="auto" w:fill="auto"/>
            <w:vAlign w:val="center"/>
          </w:tcPr>
          <w:p w14:paraId="1498AAF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3.081</w:t>
            </w:r>
          </w:p>
        </w:tc>
        <w:tc>
          <w:tcPr>
            <w:tcW w:w="1177" w:type="dxa"/>
            <w:tcBorders>
              <w:top w:val="nil"/>
              <w:left w:val="nil"/>
              <w:bottom w:val="nil"/>
              <w:right w:val="nil"/>
            </w:tcBorders>
            <w:shd w:val="clear" w:color="auto" w:fill="auto"/>
            <w:vAlign w:val="center"/>
          </w:tcPr>
          <w:p w14:paraId="3FE4388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2.868</w:t>
            </w:r>
          </w:p>
        </w:tc>
        <w:tc>
          <w:tcPr>
            <w:tcW w:w="1120" w:type="dxa"/>
            <w:tcBorders>
              <w:top w:val="nil"/>
              <w:left w:val="nil"/>
              <w:bottom w:val="nil"/>
              <w:right w:val="nil"/>
            </w:tcBorders>
            <w:shd w:val="clear" w:color="auto" w:fill="auto"/>
            <w:vAlign w:val="center"/>
          </w:tcPr>
          <w:p w14:paraId="31584DC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3.227</w:t>
            </w:r>
          </w:p>
        </w:tc>
        <w:tc>
          <w:tcPr>
            <w:tcW w:w="1140" w:type="dxa"/>
            <w:tcBorders>
              <w:top w:val="nil"/>
              <w:left w:val="nil"/>
              <w:bottom w:val="nil"/>
              <w:right w:val="single" w:sz="4" w:space="0" w:color="808080"/>
            </w:tcBorders>
            <w:shd w:val="clear" w:color="auto" w:fill="auto"/>
            <w:vAlign w:val="center"/>
          </w:tcPr>
          <w:p w14:paraId="23ABDB5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3.189</w:t>
            </w:r>
          </w:p>
        </w:tc>
      </w:tr>
      <w:tr w:rsidR="00B22E86" w:rsidRPr="00B22E86" w14:paraId="51B5F935" w14:textId="77777777" w:rsidTr="00B22E86">
        <w:trPr>
          <w:cantSplit/>
          <w:trHeight w:val="198"/>
          <w:jc w:val="center"/>
        </w:trPr>
        <w:tc>
          <w:tcPr>
            <w:tcW w:w="6640" w:type="dxa"/>
            <w:shd w:val="clear" w:color="auto" w:fill="D5DCE4"/>
            <w:vAlign w:val="center"/>
            <w:hideMark/>
          </w:tcPr>
          <w:p w14:paraId="21F26304"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IΧ.</w:t>
            </w:r>
            <w:r w:rsidRPr="00B22E86">
              <w:rPr>
                <w:rFonts w:ascii="Arial" w:eastAsia="Times New Roman" w:hAnsi="Arial" w:cs="Arial"/>
                <w:b/>
                <w:bCs/>
                <w:sz w:val="15"/>
                <w:szCs w:val="15"/>
                <w:lang w:eastAsia="el-GR"/>
              </w:rPr>
              <w:tab/>
              <w:t>Ισοζύγιο OKA κατά ESA</w:t>
            </w:r>
          </w:p>
        </w:tc>
        <w:tc>
          <w:tcPr>
            <w:tcW w:w="1120" w:type="dxa"/>
            <w:tcBorders>
              <w:top w:val="nil"/>
              <w:left w:val="nil"/>
              <w:bottom w:val="nil"/>
              <w:right w:val="nil"/>
            </w:tcBorders>
            <w:shd w:val="clear" w:color="auto" w:fill="D5DCE4"/>
            <w:vAlign w:val="center"/>
          </w:tcPr>
          <w:p w14:paraId="6ACD5336"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937</w:t>
            </w:r>
          </w:p>
        </w:tc>
        <w:tc>
          <w:tcPr>
            <w:tcW w:w="1177" w:type="dxa"/>
            <w:tcBorders>
              <w:top w:val="nil"/>
              <w:left w:val="nil"/>
              <w:bottom w:val="nil"/>
              <w:right w:val="nil"/>
            </w:tcBorders>
            <w:shd w:val="clear" w:color="auto" w:fill="D5DCE4"/>
            <w:vAlign w:val="center"/>
          </w:tcPr>
          <w:p w14:paraId="61FE38C0"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1.153</w:t>
            </w:r>
          </w:p>
        </w:tc>
        <w:tc>
          <w:tcPr>
            <w:tcW w:w="1120" w:type="dxa"/>
            <w:tcBorders>
              <w:top w:val="nil"/>
              <w:left w:val="nil"/>
              <w:bottom w:val="nil"/>
              <w:right w:val="nil"/>
            </w:tcBorders>
            <w:shd w:val="clear" w:color="auto" w:fill="D5DCE4"/>
            <w:vAlign w:val="center"/>
          </w:tcPr>
          <w:p w14:paraId="70D3FA9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1.160</w:t>
            </w:r>
          </w:p>
        </w:tc>
        <w:tc>
          <w:tcPr>
            <w:tcW w:w="1140" w:type="dxa"/>
            <w:tcBorders>
              <w:top w:val="nil"/>
              <w:left w:val="nil"/>
              <w:bottom w:val="nil"/>
              <w:right w:val="single" w:sz="4" w:space="0" w:color="808080"/>
            </w:tcBorders>
            <w:shd w:val="clear" w:color="auto" w:fill="D5DCE4"/>
            <w:vAlign w:val="center"/>
          </w:tcPr>
          <w:p w14:paraId="0F41285C"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999</w:t>
            </w:r>
          </w:p>
        </w:tc>
      </w:tr>
      <w:tr w:rsidR="00B22E86" w:rsidRPr="00B22E86" w14:paraId="5D702A7B" w14:textId="77777777" w:rsidTr="00B22E86">
        <w:trPr>
          <w:cantSplit/>
          <w:jc w:val="center"/>
        </w:trPr>
        <w:tc>
          <w:tcPr>
            <w:tcW w:w="6640" w:type="dxa"/>
            <w:shd w:val="clear" w:color="auto" w:fill="auto"/>
            <w:vAlign w:val="center"/>
            <w:hideMark/>
          </w:tcPr>
          <w:p w14:paraId="4D265167"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lastRenderedPageBreak/>
              <w:t>Έσοδα</w:t>
            </w:r>
          </w:p>
        </w:tc>
        <w:tc>
          <w:tcPr>
            <w:tcW w:w="1120" w:type="dxa"/>
            <w:tcBorders>
              <w:top w:val="nil"/>
              <w:left w:val="nil"/>
              <w:bottom w:val="nil"/>
              <w:right w:val="nil"/>
            </w:tcBorders>
            <w:shd w:val="clear" w:color="auto" w:fill="auto"/>
            <w:vAlign w:val="center"/>
          </w:tcPr>
          <w:p w14:paraId="520DAC84"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48.814</w:t>
            </w:r>
          </w:p>
        </w:tc>
        <w:tc>
          <w:tcPr>
            <w:tcW w:w="1177" w:type="dxa"/>
            <w:tcBorders>
              <w:top w:val="nil"/>
              <w:left w:val="nil"/>
              <w:bottom w:val="nil"/>
              <w:right w:val="nil"/>
            </w:tcBorders>
            <w:shd w:val="clear" w:color="auto" w:fill="auto"/>
            <w:vAlign w:val="center"/>
          </w:tcPr>
          <w:p w14:paraId="71A0247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49.644</w:t>
            </w:r>
          </w:p>
        </w:tc>
        <w:tc>
          <w:tcPr>
            <w:tcW w:w="1120" w:type="dxa"/>
            <w:tcBorders>
              <w:top w:val="nil"/>
              <w:left w:val="nil"/>
              <w:bottom w:val="nil"/>
              <w:right w:val="nil"/>
            </w:tcBorders>
            <w:shd w:val="clear" w:color="auto" w:fill="auto"/>
            <w:vAlign w:val="center"/>
          </w:tcPr>
          <w:p w14:paraId="27A39AE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50.975</w:t>
            </w:r>
          </w:p>
        </w:tc>
        <w:tc>
          <w:tcPr>
            <w:tcW w:w="1140" w:type="dxa"/>
            <w:tcBorders>
              <w:top w:val="nil"/>
              <w:left w:val="nil"/>
              <w:bottom w:val="nil"/>
              <w:right w:val="single" w:sz="4" w:space="0" w:color="808080"/>
            </w:tcBorders>
            <w:shd w:val="clear" w:color="auto" w:fill="auto"/>
            <w:vAlign w:val="center"/>
          </w:tcPr>
          <w:p w14:paraId="4A7AA09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52.166</w:t>
            </w:r>
          </w:p>
        </w:tc>
      </w:tr>
      <w:tr w:rsidR="00B22E86" w:rsidRPr="00B22E86" w14:paraId="5075EBC6" w14:textId="77777777" w:rsidTr="00B22E86">
        <w:trPr>
          <w:cantSplit/>
          <w:jc w:val="center"/>
        </w:trPr>
        <w:tc>
          <w:tcPr>
            <w:tcW w:w="6640" w:type="dxa"/>
            <w:shd w:val="clear" w:color="auto" w:fill="auto"/>
            <w:vAlign w:val="center"/>
            <w:hideMark/>
          </w:tcPr>
          <w:p w14:paraId="331A9829"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Τρέχουσες και λοιπές κεφαλαιακές μεταβιβάσεις</w:t>
            </w:r>
          </w:p>
        </w:tc>
        <w:tc>
          <w:tcPr>
            <w:tcW w:w="1120" w:type="dxa"/>
            <w:tcBorders>
              <w:top w:val="nil"/>
              <w:left w:val="nil"/>
              <w:bottom w:val="nil"/>
              <w:right w:val="nil"/>
            </w:tcBorders>
            <w:shd w:val="clear" w:color="auto" w:fill="auto"/>
            <w:vAlign w:val="center"/>
          </w:tcPr>
          <w:p w14:paraId="1E4C30D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20.764</w:t>
            </w:r>
          </w:p>
        </w:tc>
        <w:tc>
          <w:tcPr>
            <w:tcW w:w="1177" w:type="dxa"/>
            <w:tcBorders>
              <w:top w:val="nil"/>
              <w:left w:val="nil"/>
              <w:bottom w:val="nil"/>
              <w:right w:val="nil"/>
            </w:tcBorders>
            <w:shd w:val="clear" w:color="auto" w:fill="auto"/>
            <w:vAlign w:val="center"/>
          </w:tcPr>
          <w:p w14:paraId="6BF9862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21.530</w:t>
            </w:r>
          </w:p>
        </w:tc>
        <w:tc>
          <w:tcPr>
            <w:tcW w:w="1120" w:type="dxa"/>
            <w:tcBorders>
              <w:top w:val="nil"/>
              <w:left w:val="nil"/>
              <w:bottom w:val="nil"/>
              <w:right w:val="nil"/>
            </w:tcBorders>
            <w:shd w:val="clear" w:color="auto" w:fill="auto"/>
            <w:vAlign w:val="center"/>
          </w:tcPr>
          <w:p w14:paraId="5E9DA51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21.548</w:t>
            </w:r>
          </w:p>
        </w:tc>
        <w:tc>
          <w:tcPr>
            <w:tcW w:w="1140" w:type="dxa"/>
            <w:tcBorders>
              <w:top w:val="nil"/>
              <w:left w:val="nil"/>
              <w:bottom w:val="nil"/>
              <w:right w:val="single" w:sz="4" w:space="0" w:color="808080"/>
            </w:tcBorders>
            <w:shd w:val="clear" w:color="auto" w:fill="auto"/>
            <w:vAlign w:val="center"/>
          </w:tcPr>
          <w:p w14:paraId="60D46D67"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22.315</w:t>
            </w:r>
          </w:p>
        </w:tc>
      </w:tr>
      <w:tr w:rsidR="00B22E86" w:rsidRPr="00B22E86" w14:paraId="02C11450" w14:textId="77777777" w:rsidTr="00B22E86">
        <w:trPr>
          <w:cantSplit/>
          <w:jc w:val="center"/>
        </w:trPr>
        <w:tc>
          <w:tcPr>
            <w:tcW w:w="6640" w:type="dxa"/>
            <w:shd w:val="clear" w:color="auto" w:fill="auto"/>
            <w:vAlign w:val="center"/>
            <w:hideMark/>
          </w:tcPr>
          <w:p w14:paraId="56E2DF39"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Αποδόσεις περιουσίας</w:t>
            </w:r>
          </w:p>
        </w:tc>
        <w:tc>
          <w:tcPr>
            <w:tcW w:w="1120" w:type="dxa"/>
            <w:tcBorders>
              <w:top w:val="nil"/>
              <w:left w:val="nil"/>
              <w:bottom w:val="nil"/>
              <w:right w:val="nil"/>
            </w:tcBorders>
            <w:shd w:val="clear" w:color="auto" w:fill="auto"/>
            <w:vAlign w:val="center"/>
          </w:tcPr>
          <w:p w14:paraId="589A74C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1.617</w:t>
            </w:r>
          </w:p>
        </w:tc>
        <w:tc>
          <w:tcPr>
            <w:tcW w:w="1177" w:type="dxa"/>
            <w:tcBorders>
              <w:top w:val="nil"/>
              <w:left w:val="nil"/>
              <w:bottom w:val="nil"/>
              <w:right w:val="nil"/>
            </w:tcBorders>
            <w:shd w:val="clear" w:color="auto" w:fill="auto"/>
            <w:vAlign w:val="center"/>
          </w:tcPr>
          <w:p w14:paraId="388000A4"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1.215</w:t>
            </w:r>
          </w:p>
        </w:tc>
        <w:tc>
          <w:tcPr>
            <w:tcW w:w="1120" w:type="dxa"/>
            <w:tcBorders>
              <w:top w:val="nil"/>
              <w:left w:val="nil"/>
              <w:bottom w:val="nil"/>
              <w:right w:val="nil"/>
            </w:tcBorders>
            <w:shd w:val="clear" w:color="auto" w:fill="auto"/>
            <w:vAlign w:val="center"/>
          </w:tcPr>
          <w:p w14:paraId="21A56C7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1.424</w:t>
            </w:r>
          </w:p>
        </w:tc>
        <w:tc>
          <w:tcPr>
            <w:tcW w:w="1140" w:type="dxa"/>
            <w:tcBorders>
              <w:top w:val="nil"/>
              <w:left w:val="nil"/>
              <w:bottom w:val="nil"/>
              <w:right w:val="single" w:sz="4" w:space="0" w:color="808080"/>
            </w:tcBorders>
            <w:shd w:val="clear" w:color="auto" w:fill="auto"/>
            <w:vAlign w:val="center"/>
          </w:tcPr>
          <w:p w14:paraId="623E153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1.439</w:t>
            </w:r>
          </w:p>
        </w:tc>
      </w:tr>
      <w:tr w:rsidR="00B22E86" w:rsidRPr="00B22E86" w14:paraId="62665F98" w14:textId="77777777" w:rsidTr="00B22E86">
        <w:trPr>
          <w:cantSplit/>
          <w:jc w:val="center"/>
        </w:trPr>
        <w:tc>
          <w:tcPr>
            <w:tcW w:w="6640" w:type="dxa"/>
            <w:shd w:val="clear" w:color="auto" w:fill="auto"/>
            <w:vAlign w:val="center"/>
            <w:hideMark/>
          </w:tcPr>
          <w:p w14:paraId="4434E40E"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Ασφαλιστικές εισφορές (πραγματικές)</w:t>
            </w:r>
          </w:p>
        </w:tc>
        <w:tc>
          <w:tcPr>
            <w:tcW w:w="1120" w:type="dxa"/>
            <w:tcBorders>
              <w:top w:val="nil"/>
              <w:left w:val="nil"/>
              <w:bottom w:val="nil"/>
              <w:right w:val="nil"/>
            </w:tcBorders>
            <w:shd w:val="clear" w:color="auto" w:fill="auto"/>
            <w:vAlign w:val="center"/>
          </w:tcPr>
          <w:p w14:paraId="3C1DC04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25.479</w:t>
            </w:r>
          </w:p>
        </w:tc>
        <w:tc>
          <w:tcPr>
            <w:tcW w:w="1177" w:type="dxa"/>
            <w:tcBorders>
              <w:top w:val="nil"/>
              <w:left w:val="nil"/>
              <w:bottom w:val="nil"/>
              <w:right w:val="nil"/>
            </w:tcBorders>
            <w:shd w:val="clear" w:color="auto" w:fill="auto"/>
            <w:vAlign w:val="center"/>
          </w:tcPr>
          <w:p w14:paraId="5C65864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26.057</w:t>
            </w:r>
          </w:p>
        </w:tc>
        <w:tc>
          <w:tcPr>
            <w:tcW w:w="1120" w:type="dxa"/>
            <w:tcBorders>
              <w:top w:val="nil"/>
              <w:left w:val="nil"/>
              <w:bottom w:val="nil"/>
              <w:right w:val="nil"/>
            </w:tcBorders>
            <w:shd w:val="clear" w:color="auto" w:fill="auto"/>
            <w:vAlign w:val="center"/>
          </w:tcPr>
          <w:p w14:paraId="3DDD5DF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26.949</w:t>
            </w:r>
          </w:p>
        </w:tc>
        <w:tc>
          <w:tcPr>
            <w:tcW w:w="1140" w:type="dxa"/>
            <w:tcBorders>
              <w:top w:val="nil"/>
              <w:left w:val="nil"/>
              <w:bottom w:val="nil"/>
              <w:right w:val="single" w:sz="4" w:space="0" w:color="808080"/>
            </w:tcBorders>
            <w:shd w:val="clear" w:color="auto" w:fill="auto"/>
            <w:vAlign w:val="center"/>
          </w:tcPr>
          <w:p w14:paraId="706B609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27.382</w:t>
            </w:r>
          </w:p>
        </w:tc>
      </w:tr>
      <w:tr w:rsidR="00B22E86" w:rsidRPr="00B22E86" w14:paraId="66CDCA3E" w14:textId="77777777" w:rsidTr="00B22E86">
        <w:trPr>
          <w:cantSplit/>
          <w:jc w:val="center"/>
        </w:trPr>
        <w:tc>
          <w:tcPr>
            <w:tcW w:w="6640" w:type="dxa"/>
            <w:shd w:val="clear" w:color="auto" w:fill="auto"/>
            <w:vAlign w:val="center"/>
            <w:hideMark/>
          </w:tcPr>
          <w:p w14:paraId="0C6E2E1A"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Κοινωνικοί πόροι</w:t>
            </w:r>
          </w:p>
        </w:tc>
        <w:tc>
          <w:tcPr>
            <w:tcW w:w="1120" w:type="dxa"/>
            <w:tcBorders>
              <w:top w:val="nil"/>
              <w:left w:val="nil"/>
              <w:bottom w:val="nil"/>
              <w:right w:val="nil"/>
            </w:tcBorders>
            <w:shd w:val="clear" w:color="auto" w:fill="auto"/>
            <w:vAlign w:val="center"/>
          </w:tcPr>
          <w:p w14:paraId="79EB53CA"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630</w:t>
            </w:r>
          </w:p>
        </w:tc>
        <w:tc>
          <w:tcPr>
            <w:tcW w:w="1177" w:type="dxa"/>
            <w:tcBorders>
              <w:top w:val="nil"/>
              <w:left w:val="nil"/>
              <w:bottom w:val="nil"/>
              <w:right w:val="nil"/>
            </w:tcBorders>
            <w:shd w:val="clear" w:color="auto" w:fill="auto"/>
            <w:vAlign w:val="center"/>
          </w:tcPr>
          <w:p w14:paraId="53FA5D0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577</w:t>
            </w:r>
          </w:p>
        </w:tc>
        <w:tc>
          <w:tcPr>
            <w:tcW w:w="1120" w:type="dxa"/>
            <w:tcBorders>
              <w:top w:val="nil"/>
              <w:left w:val="nil"/>
              <w:bottom w:val="nil"/>
              <w:right w:val="nil"/>
            </w:tcBorders>
            <w:shd w:val="clear" w:color="auto" w:fill="auto"/>
            <w:vAlign w:val="center"/>
          </w:tcPr>
          <w:p w14:paraId="46CEA32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742</w:t>
            </w:r>
          </w:p>
        </w:tc>
        <w:tc>
          <w:tcPr>
            <w:tcW w:w="1140" w:type="dxa"/>
            <w:tcBorders>
              <w:top w:val="nil"/>
              <w:left w:val="nil"/>
              <w:bottom w:val="nil"/>
              <w:right w:val="single" w:sz="4" w:space="0" w:color="808080"/>
            </w:tcBorders>
            <w:shd w:val="clear" w:color="auto" w:fill="auto"/>
            <w:vAlign w:val="center"/>
          </w:tcPr>
          <w:p w14:paraId="00556344"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717</w:t>
            </w:r>
          </w:p>
        </w:tc>
      </w:tr>
      <w:tr w:rsidR="00B22E86" w:rsidRPr="00B22E86" w14:paraId="528503E1" w14:textId="77777777" w:rsidTr="00B22E86">
        <w:trPr>
          <w:cantSplit/>
          <w:jc w:val="center"/>
        </w:trPr>
        <w:tc>
          <w:tcPr>
            <w:tcW w:w="6640" w:type="dxa"/>
            <w:shd w:val="clear" w:color="auto" w:fill="auto"/>
            <w:vAlign w:val="center"/>
            <w:hideMark/>
          </w:tcPr>
          <w:p w14:paraId="7FD4A29C" w14:textId="77777777" w:rsidR="00B22E86" w:rsidRPr="00B22E86" w:rsidRDefault="00B22E86" w:rsidP="00B22E86">
            <w:pPr>
              <w:spacing w:after="0" w:line="240" w:lineRule="auto"/>
              <w:rPr>
                <w:rFonts w:ascii="Arial" w:eastAsia="Times New Roman" w:hAnsi="Arial" w:cs="Arial"/>
                <w:sz w:val="15"/>
                <w:szCs w:val="15"/>
                <w:lang w:eastAsia="el-GR"/>
              </w:rPr>
            </w:pPr>
            <w:proofErr w:type="spellStart"/>
            <w:r w:rsidRPr="00B22E86">
              <w:rPr>
                <w:rFonts w:ascii="Arial" w:eastAsia="Times New Roman" w:hAnsi="Arial" w:cs="Arial"/>
                <w:sz w:val="15"/>
                <w:szCs w:val="15"/>
                <w:lang w:eastAsia="el-GR"/>
              </w:rPr>
              <w:t>Αντικριζόμενα</w:t>
            </w:r>
            <w:proofErr w:type="spellEnd"/>
            <w:r w:rsidRPr="00B22E86">
              <w:rPr>
                <w:rFonts w:ascii="Arial" w:eastAsia="Times New Roman" w:hAnsi="Arial" w:cs="Arial"/>
                <w:sz w:val="15"/>
                <w:szCs w:val="15"/>
                <w:lang w:eastAsia="el-GR"/>
              </w:rPr>
              <w:t xml:space="preserve"> έσοδα (καθαρά)</w:t>
            </w:r>
          </w:p>
        </w:tc>
        <w:tc>
          <w:tcPr>
            <w:tcW w:w="1120" w:type="dxa"/>
            <w:tcBorders>
              <w:top w:val="nil"/>
              <w:left w:val="nil"/>
              <w:bottom w:val="nil"/>
              <w:right w:val="nil"/>
            </w:tcBorders>
            <w:shd w:val="clear" w:color="auto" w:fill="auto"/>
            <w:vAlign w:val="center"/>
          </w:tcPr>
          <w:p w14:paraId="1B6F2D17"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14</w:t>
            </w:r>
          </w:p>
        </w:tc>
        <w:tc>
          <w:tcPr>
            <w:tcW w:w="1177" w:type="dxa"/>
            <w:tcBorders>
              <w:top w:val="nil"/>
              <w:left w:val="nil"/>
              <w:bottom w:val="nil"/>
              <w:right w:val="nil"/>
            </w:tcBorders>
            <w:shd w:val="clear" w:color="auto" w:fill="auto"/>
            <w:vAlign w:val="center"/>
          </w:tcPr>
          <w:p w14:paraId="13218CE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c>
          <w:tcPr>
            <w:tcW w:w="1120" w:type="dxa"/>
            <w:tcBorders>
              <w:top w:val="nil"/>
              <w:left w:val="nil"/>
              <w:bottom w:val="nil"/>
              <w:right w:val="nil"/>
            </w:tcBorders>
            <w:shd w:val="clear" w:color="auto" w:fill="auto"/>
            <w:vAlign w:val="center"/>
          </w:tcPr>
          <w:p w14:paraId="0927EAB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c>
          <w:tcPr>
            <w:tcW w:w="1140" w:type="dxa"/>
            <w:tcBorders>
              <w:top w:val="nil"/>
              <w:left w:val="nil"/>
              <w:bottom w:val="nil"/>
              <w:right w:val="single" w:sz="4" w:space="0" w:color="808080"/>
            </w:tcBorders>
            <w:shd w:val="clear" w:color="auto" w:fill="auto"/>
            <w:vAlign w:val="center"/>
          </w:tcPr>
          <w:p w14:paraId="5B65268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0</w:t>
            </w:r>
          </w:p>
        </w:tc>
      </w:tr>
      <w:tr w:rsidR="00B22E86" w:rsidRPr="00B22E86" w14:paraId="3E18E40F" w14:textId="77777777" w:rsidTr="00B22E86">
        <w:trPr>
          <w:cantSplit/>
          <w:jc w:val="center"/>
        </w:trPr>
        <w:tc>
          <w:tcPr>
            <w:tcW w:w="6640" w:type="dxa"/>
            <w:shd w:val="clear" w:color="auto" w:fill="auto"/>
            <w:vAlign w:val="center"/>
            <w:hideMark/>
          </w:tcPr>
          <w:p w14:paraId="53F2B6F6"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Λοιπά έσοδα</w:t>
            </w:r>
          </w:p>
        </w:tc>
        <w:tc>
          <w:tcPr>
            <w:tcW w:w="1120" w:type="dxa"/>
            <w:tcBorders>
              <w:top w:val="nil"/>
              <w:left w:val="nil"/>
              <w:bottom w:val="nil"/>
              <w:right w:val="nil"/>
            </w:tcBorders>
            <w:shd w:val="clear" w:color="auto" w:fill="auto"/>
            <w:vAlign w:val="center"/>
          </w:tcPr>
          <w:p w14:paraId="2161EE9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311</w:t>
            </w:r>
          </w:p>
        </w:tc>
        <w:tc>
          <w:tcPr>
            <w:tcW w:w="1177" w:type="dxa"/>
            <w:tcBorders>
              <w:top w:val="nil"/>
              <w:left w:val="nil"/>
              <w:bottom w:val="nil"/>
              <w:right w:val="nil"/>
            </w:tcBorders>
            <w:shd w:val="clear" w:color="auto" w:fill="auto"/>
            <w:vAlign w:val="center"/>
          </w:tcPr>
          <w:p w14:paraId="450B981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266</w:t>
            </w:r>
          </w:p>
        </w:tc>
        <w:tc>
          <w:tcPr>
            <w:tcW w:w="1120" w:type="dxa"/>
            <w:tcBorders>
              <w:top w:val="nil"/>
              <w:left w:val="nil"/>
              <w:bottom w:val="nil"/>
              <w:right w:val="nil"/>
            </w:tcBorders>
            <w:shd w:val="clear" w:color="auto" w:fill="auto"/>
            <w:vAlign w:val="center"/>
          </w:tcPr>
          <w:p w14:paraId="68D64D6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312</w:t>
            </w:r>
          </w:p>
        </w:tc>
        <w:tc>
          <w:tcPr>
            <w:tcW w:w="1140" w:type="dxa"/>
            <w:tcBorders>
              <w:top w:val="nil"/>
              <w:left w:val="nil"/>
              <w:bottom w:val="nil"/>
              <w:right w:val="single" w:sz="4" w:space="0" w:color="808080"/>
            </w:tcBorders>
            <w:shd w:val="clear" w:color="auto" w:fill="auto"/>
            <w:vAlign w:val="center"/>
          </w:tcPr>
          <w:p w14:paraId="00650261"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312</w:t>
            </w:r>
          </w:p>
        </w:tc>
      </w:tr>
      <w:tr w:rsidR="00B22E86" w:rsidRPr="00B22E86" w14:paraId="473D7094" w14:textId="77777777" w:rsidTr="00B22E86">
        <w:trPr>
          <w:cantSplit/>
          <w:jc w:val="center"/>
        </w:trPr>
        <w:tc>
          <w:tcPr>
            <w:tcW w:w="6640" w:type="dxa"/>
            <w:shd w:val="clear" w:color="auto" w:fill="auto"/>
            <w:vAlign w:val="center"/>
            <w:hideMark/>
          </w:tcPr>
          <w:p w14:paraId="5BF1DC5B"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Έξοδα</w:t>
            </w:r>
          </w:p>
        </w:tc>
        <w:tc>
          <w:tcPr>
            <w:tcW w:w="1120" w:type="dxa"/>
            <w:tcBorders>
              <w:top w:val="nil"/>
              <w:left w:val="nil"/>
              <w:bottom w:val="nil"/>
              <w:right w:val="nil"/>
            </w:tcBorders>
            <w:shd w:val="clear" w:color="auto" w:fill="auto"/>
            <w:vAlign w:val="center"/>
          </w:tcPr>
          <w:p w14:paraId="689F6D2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47.877</w:t>
            </w:r>
          </w:p>
        </w:tc>
        <w:tc>
          <w:tcPr>
            <w:tcW w:w="1177" w:type="dxa"/>
            <w:tcBorders>
              <w:top w:val="nil"/>
              <w:left w:val="nil"/>
              <w:bottom w:val="nil"/>
              <w:right w:val="nil"/>
            </w:tcBorders>
            <w:shd w:val="clear" w:color="auto" w:fill="auto"/>
            <w:vAlign w:val="center"/>
          </w:tcPr>
          <w:p w14:paraId="472BE9D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48.490</w:t>
            </w:r>
          </w:p>
        </w:tc>
        <w:tc>
          <w:tcPr>
            <w:tcW w:w="1120" w:type="dxa"/>
            <w:tcBorders>
              <w:top w:val="nil"/>
              <w:left w:val="nil"/>
              <w:bottom w:val="nil"/>
              <w:right w:val="nil"/>
            </w:tcBorders>
            <w:shd w:val="clear" w:color="auto" w:fill="auto"/>
            <w:vAlign w:val="center"/>
          </w:tcPr>
          <w:p w14:paraId="7AB74B39"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49.815</w:t>
            </w:r>
          </w:p>
        </w:tc>
        <w:tc>
          <w:tcPr>
            <w:tcW w:w="1140" w:type="dxa"/>
            <w:tcBorders>
              <w:top w:val="nil"/>
              <w:left w:val="nil"/>
              <w:bottom w:val="nil"/>
              <w:right w:val="single" w:sz="4" w:space="0" w:color="808080"/>
            </w:tcBorders>
            <w:shd w:val="clear" w:color="auto" w:fill="auto"/>
            <w:vAlign w:val="center"/>
          </w:tcPr>
          <w:p w14:paraId="64CDD3A6"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51.167</w:t>
            </w:r>
          </w:p>
        </w:tc>
      </w:tr>
      <w:tr w:rsidR="00B22E86" w:rsidRPr="00B22E86" w14:paraId="7EAB34AD" w14:textId="77777777" w:rsidTr="00B22E86">
        <w:trPr>
          <w:cantSplit/>
          <w:jc w:val="center"/>
        </w:trPr>
        <w:tc>
          <w:tcPr>
            <w:tcW w:w="6640" w:type="dxa"/>
            <w:shd w:val="clear" w:color="auto" w:fill="auto"/>
            <w:vAlign w:val="center"/>
            <w:hideMark/>
          </w:tcPr>
          <w:p w14:paraId="1B14BF7A"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Παροχές σε εργαζόμενους</w:t>
            </w:r>
          </w:p>
        </w:tc>
        <w:tc>
          <w:tcPr>
            <w:tcW w:w="1120" w:type="dxa"/>
            <w:tcBorders>
              <w:top w:val="nil"/>
              <w:left w:val="nil"/>
              <w:bottom w:val="nil"/>
              <w:right w:val="nil"/>
            </w:tcBorders>
            <w:shd w:val="clear" w:color="auto" w:fill="auto"/>
            <w:vAlign w:val="center"/>
          </w:tcPr>
          <w:p w14:paraId="0602596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362</w:t>
            </w:r>
          </w:p>
        </w:tc>
        <w:tc>
          <w:tcPr>
            <w:tcW w:w="1177" w:type="dxa"/>
            <w:tcBorders>
              <w:top w:val="nil"/>
              <w:left w:val="nil"/>
              <w:bottom w:val="nil"/>
              <w:right w:val="nil"/>
            </w:tcBorders>
            <w:shd w:val="clear" w:color="auto" w:fill="auto"/>
            <w:vAlign w:val="center"/>
          </w:tcPr>
          <w:p w14:paraId="232C931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395</w:t>
            </w:r>
          </w:p>
        </w:tc>
        <w:tc>
          <w:tcPr>
            <w:tcW w:w="1120" w:type="dxa"/>
            <w:tcBorders>
              <w:top w:val="nil"/>
              <w:left w:val="nil"/>
              <w:bottom w:val="nil"/>
              <w:right w:val="nil"/>
            </w:tcBorders>
            <w:shd w:val="clear" w:color="auto" w:fill="auto"/>
            <w:vAlign w:val="center"/>
          </w:tcPr>
          <w:p w14:paraId="0013CEE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392</w:t>
            </w:r>
          </w:p>
        </w:tc>
        <w:tc>
          <w:tcPr>
            <w:tcW w:w="1140" w:type="dxa"/>
            <w:tcBorders>
              <w:top w:val="nil"/>
              <w:left w:val="nil"/>
              <w:bottom w:val="nil"/>
              <w:right w:val="single" w:sz="4" w:space="0" w:color="808080"/>
            </w:tcBorders>
            <w:shd w:val="clear" w:color="auto" w:fill="auto"/>
            <w:vAlign w:val="center"/>
          </w:tcPr>
          <w:p w14:paraId="12F5E6F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395</w:t>
            </w:r>
          </w:p>
        </w:tc>
      </w:tr>
      <w:tr w:rsidR="00B22E86" w:rsidRPr="00B22E86" w14:paraId="3A0C8B4B" w14:textId="77777777" w:rsidTr="00B22E86">
        <w:trPr>
          <w:cantSplit/>
          <w:jc w:val="center"/>
        </w:trPr>
        <w:tc>
          <w:tcPr>
            <w:tcW w:w="6640" w:type="dxa"/>
            <w:shd w:val="clear" w:color="auto" w:fill="auto"/>
            <w:vAlign w:val="center"/>
            <w:hideMark/>
          </w:tcPr>
          <w:p w14:paraId="0910C442"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 xml:space="preserve">Κοινωνικές παροχές </w:t>
            </w:r>
          </w:p>
        </w:tc>
        <w:tc>
          <w:tcPr>
            <w:tcW w:w="1120" w:type="dxa"/>
            <w:tcBorders>
              <w:top w:val="nil"/>
              <w:left w:val="nil"/>
              <w:bottom w:val="nil"/>
              <w:right w:val="nil"/>
            </w:tcBorders>
            <w:shd w:val="clear" w:color="auto" w:fill="auto"/>
            <w:vAlign w:val="center"/>
          </w:tcPr>
          <w:p w14:paraId="6345DF8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39.325</w:t>
            </w:r>
          </w:p>
        </w:tc>
        <w:tc>
          <w:tcPr>
            <w:tcW w:w="1177" w:type="dxa"/>
            <w:tcBorders>
              <w:top w:val="nil"/>
              <w:left w:val="nil"/>
              <w:bottom w:val="nil"/>
              <w:right w:val="nil"/>
            </w:tcBorders>
            <w:shd w:val="clear" w:color="auto" w:fill="auto"/>
            <w:vAlign w:val="center"/>
          </w:tcPr>
          <w:p w14:paraId="0A9D5028"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40.067</w:t>
            </w:r>
          </w:p>
        </w:tc>
        <w:tc>
          <w:tcPr>
            <w:tcW w:w="1120" w:type="dxa"/>
            <w:tcBorders>
              <w:top w:val="nil"/>
              <w:left w:val="nil"/>
              <w:bottom w:val="nil"/>
              <w:right w:val="nil"/>
            </w:tcBorders>
            <w:shd w:val="clear" w:color="auto" w:fill="auto"/>
            <w:vAlign w:val="center"/>
          </w:tcPr>
          <w:p w14:paraId="5018C9A6"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40.965</w:t>
            </w:r>
          </w:p>
        </w:tc>
        <w:tc>
          <w:tcPr>
            <w:tcW w:w="1140" w:type="dxa"/>
            <w:tcBorders>
              <w:top w:val="nil"/>
              <w:left w:val="nil"/>
              <w:bottom w:val="nil"/>
              <w:right w:val="single" w:sz="4" w:space="0" w:color="808080"/>
            </w:tcBorders>
            <w:shd w:val="clear" w:color="auto" w:fill="auto"/>
            <w:vAlign w:val="center"/>
          </w:tcPr>
          <w:p w14:paraId="61FCCB3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42.129</w:t>
            </w:r>
          </w:p>
        </w:tc>
      </w:tr>
      <w:tr w:rsidR="00B22E86" w:rsidRPr="00B22E86" w14:paraId="1706E6EF" w14:textId="77777777" w:rsidTr="00B22E86">
        <w:trPr>
          <w:cantSplit/>
          <w:jc w:val="center"/>
        </w:trPr>
        <w:tc>
          <w:tcPr>
            <w:tcW w:w="6640" w:type="dxa"/>
            <w:shd w:val="clear" w:color="auto" w:fill="auto"/>
            <w:vAlign w:val="center"/>
            <w:hideMark/>
          </w:tcPr>
          <w:p w14:paraId="0E488A53" w14:textId="77777777" w:rsidR="00B22E86" w:rsidRPr="00B22E86" w:rsidRDefault="00B22E86" w:rsidP="00B22E86">
            <w:pPr>
              <w:tabs>
                <w:tab w:val="left" w:pos="313"/>
                <w:tab w:val="left" w:pos="1439"/>
              </w:tabs>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ab/>
              <w:t>εκ των οποίων: συντάξεις</w:t>
            </w:r>
          </w:p>
        </w:tc>
        <w:tc>
          <w:tcPr>
            <w:tcW w:w="1120" w:type="dxa"/>
            <w:tcBorders>
              <w:top w:val="nil"/>
              <w:left w:val="nil"/>
              <w:bottom w:val="nil"/>
              <w:right w:val="nil"/>
            </w:tcBorders>
            <w:shd w:val="clear" w:color="auto" w:fill="auto"/>
            <w:vAlign w:val="center"/>
          </w:tcPr>
          <w:p w14:paraId="0FEF4FF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31.947</w:t>
            </w:r>
          </w:p>
        </w:tc>
        <w:tc>
          <w:tcPr>
            <w:tcW w:w="1177" w:type="dxa"/>
            <w:tcBorders>
              <w:top w:val="nil"/>
              <w:left w:val="nil"/>
              <w:bottom w:val="nil"/>
              <w:right w:val="nil"/>
            </w:tcBorders>
            <w:shd w:val="clear" w:color="auto" w:fill="auto"/>
            <w:vAlign w:val="center"/>
          </w:tcPr>
          <w:p w14:paraId="6ADBB15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32.962</w:t>
            </w:r>
          </w:p>
        </w:tc>
        <w:tc>
          <w:tcPr>
            <w:tcW w:w="1120" w:type="dxa"/>
            <w:tcBorders>
              <w:top w:val="nil"/>
              <w:left w:val="nil"/>
              <w:bottom w:val="nil"/>
              <w:right w:val="nil"/>
            </w:tcBorders>
            <w:shd w:val="clear" w:color="auto" w:fill="auto"/>
            <w:vAlign w:val="center"/>
          </w:tcPr>
          <w:p w14:paraId="092E2A3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33.606</w:t>
            </w:r>
          </w:p>
        </w:tc>
        <w:tc>
          <w:tcPr>
            <w:tcW w:w="1140" w:type="dxa"/>
            <w:tcBorders>
              <w:top w:val="nil"/>
              <w:left w:val="nil"/>
              <w:bottom w:val="nil"/>
              <w:right w:val="single" w:sz="4" w:space="0" w:color="808080"/>
            </w:tcBorders>
            <w:shd w:val="clear" w:color="auto" w:fill="auto"/>
            <w:vAlign w:val="center"/>
          </w:tcPr>
          <w:p w14:paraId="4B159BC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34.567</w:t>
            </w:r>
          </w:p>
        </w:tc>
      </w:tr>
      <w:tr w:rsidR="00B22E86" w:rsidRPr="00B22E86" w14:paraId="4E7ABEAF" w14:textId="77777777" w:rsidTr="00B22E86">
        <w:trPr>
          <w:cantSplit/>
          <w:jc w:val="center"/>
        </w:trPr>
        <w:tc>
          <w:tcPr>
            <w:tcW w:w="6640" w:type="dxa"/>
            <w:shd w:val="clear" w:color="auto" w:fill="auto"/>
            <w:vAlign w:val="center"/>
            <w:hideMark/>
          </w:tcPr>
          <w:p w14:paraId="7ED62208"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Κοινωνικές παροχές σε είδος</w:t>
            </w:r>
          </w:p>
        </w:tc>
        <w:tc>
          <w:tcPr>
            <w:tcW w:w="1120" w:type="dxa"/>
            <w:tcBorders>
              <w:top w:val="nil"/>
              <w:left w:val="nil"/>
              <w:bottom w:val="nil"/>
              <w:right w:val="nil"/>
            </w:tcBorders>
            <w:shd w:val="clear" w:color="auto" w:fill="auto"/>
            <w:vAlign w:val="center"/>
          </w:tcPr>
          <w:p w14:paraId="77E48A7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5.095</w:t>
            </w:r>
          </w:p>
        </w:tc>
        <w:tc>
          <w:tcPr>
            <w:tcW w:w="1177" w:type="dxa"/>
            <w:tcBorders>
              <w:top w:val="nil"/>
              <w:left w:val="nil"/>
              <w:bottom w:val="nil"/>
              <w:right w:val="nil"/>
            </w:tcBorders>
            <w:shd w:val="clear" w:color="auto" w:fill="auto"/>
            <w:vAlign w:val="center"/>
          </w:tcPr>
          <w:p w14:paraId="15A1A15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5.165</w:t>
            </w:r>
          </w:p>
        </w:tc>
        <w:tc>
          <w:tcPr>
            <w:tcW w:w="1120" w:type="dxa"/>
            <w:tcBorders>
              <w:top w:val="nil"/>
              <w:left w:val="nil"/>
              <w:bottom w:val="nil"/>
              <w:right w:val="nil"/>
            </w:tcBorders>
            <w:shd w:val="clear" w:color="auto" w:fill="auto"/>
            <w:vAlign w:val="center"/>
          </w:tcPr>
          <w:p w14:paraId="74B889C2"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5.326</w:t>
            </w:r>
          </w:p>
        </w:tc>
        <w:tc>
          <w:tcPr>
            <w:tcW w:w="1140" w:type="dxa"/>
            <w:tcBorders>
              <w:top w:val="nil"/>
              <w:left w:val="nil"/>
              <w:bottom w:val="nil"/>
              <w:right w:val="single" w:sz="4" w:space="0" w:color="808080"/>
            </w:tcBorders>
            <w:shd w:val="clear" w:color="auto" w:fill="auto"/>
            <w:vAlign w:val="center"/>
          </w:tcPr>
          <w:p w14:paraId="6689C5E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5.468</w:t>
            </w:r>
          </w:p>
        </w:tc>
      </w:tr>
      <w:tr w:rsidR="00B22E86" w:rsidRPr="00B22E86" w14:paraId="7A73FA36" w14:textId="77777777" w:rsidTr="00B22E86">
        <w:trPr>
          <w:cantSplit/>
          <w:jc w:val="center"/>
        </w:trPr>
        <w:tc>
          <w:tcPr>
            <w:tcW w:w="6640" w:type="dxa"/>
            <w:shd w:val="clear" w:color="auto" w:fill="auto"/>
            <w:vAlign w:val="center"/>
            <w:hideMark/>
          </w:tcPr>
          <w:p w14:paraId="55F21225"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Λοιπά έξοδα</w:t>
            </w:r>
          </w:p>
        </w:tc>
        <w:tc>
          <w:tcPr>
            <w:tcW w:w="1120" w:type="dxa"/>
            <w:tcBorders>
              <w:top w:val="nil"/>
              <w:left w:val="nil"/>
              <w:bottom w:val="nil"/>
              <w:right w:val="nil"/>
            </w:tcBorders>
            <w:shd w:val="clear" w:color="auto" w:fill="auto"/>
            <w:vAlign w:val="center"/>
          </w:tcPr>
          <w:p w14:paraId="42AEF5B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501</w:t>
            </w:r>
          </w:p>
        </w:tc>
        <w:tc>
          <w:tcPr>
            <w:tcW w:w="1177" w:type="dxa"/>
            <w:tcBorders>
              <w:top w:val="nil"/>
              <w:left w:val="nil"/>
              <w:bottom w:val="nil"/>
              <w:right w:val="nil"/>
            </w:tcBorders>
            <w:shd w:val="clear" w:color="auto" w:fill="auto"/>
            <w:vAlign w:val="center"/>
          </w:tcPr>
          <w:p w14:paraId="4D15A3B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567</w:t>
            </w:r>
          </w:p>
        </w:tc>
        <w:tc>
          <w:tcPr>
            <w:tcW w:w="1120" w:type="dxa"/>
            <w:tcBorders>
              <w:top w:val="nil"/>
              <w:left w:val="nil"/>
              <w:bottom w:val="nil"/>
              <w:right w:val="nil"/>
            </w:tcBorders>
            <w:shd w:val="clear" w:color="auto" w:fill="auto"/>
            <w:vAlign w:val="center"/>
          </w:tcPr>
          <w:p w14:paraId="5236270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671</w:t>
            </w:r>
          </w:p>
        </w:tc>
        <w:tc>
          <w:tcPr>
            <w:tcW w:w="1140" w:type="dxa"/>
            <w:tcBorders>
              <w:top w:val="nil"/>
              <w:left w:val="nil"/>
              <w:bottom w:val="nil"/>
              <w:right w:val="single" w:sz="4" w:space="0" w:color="808080"/>
            </w:tcBorders>
            <w:shd w:val="clear" w:color="auto" w:fill="auto"/>
            <w:vAlign w:val="center"/>
          </w:tcPr>
          <w:p w14:paraId="0283197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658</w:t>
            </w:r>
          </w:p>
        </w:tc>
      </w:tr>
      <w:tr w:rsidR="00B22E86" w:rsidRPr="00B22E86" w14:paraId="7307CB8B" w14:textId="77777777" w:rsidTr="00B22E86">
        <w:trPr>
          <w:cantSplit/>
          <w:jc w:val="center"/>
        </w:trPr>
        <w:tc>
          <w:tcPr>
            <w:tcW w:w="6640" w:type="dxa"/>
            <w:shd w:val="clear" w:color="auto" w:fill="auto"/>
            <w:vAlign w:val="center"/>
            <w:hideMark/>
          </w:tcPr>
          <w:p w14:paraId="4E52D49E"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Επενδυτικές δαπάνες</w:t>
            </w:r>
          </w:p>
        </w:tc>
        <w:tc>
          <w:tcPr>
            <w:tcW w:w="1120" w:type="dxa"/>
            <w:tcBorders>
              <w:top w:val="nil"/>
              <w:left w:val="nil"/>
              <w:bottom w:val="nil"/>
              <w:right w:val="nil"/>
            </w:tcBorders>
            <w:shd w:val="clear" w:color="auto" w:fill="auto"/>
            <w:vAlign w:val="center"/>
          </w:tcPr>
          <w:p w14:paraId="5AB38AA3"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51</w:t>
            </w:r>
          </w:p>
        </w:tc>
        <w:tc>
          <w:tcPr>
            <w:tcW w:w="1177" w:type="dxa"/>
            <w:tcBorders>
              <w:top w:val="nil"/>
              <w:left w:val="nil"/>
              <w:bottom w:val="nil"/>
              <w:right w:val="nil"/>
            </w:tcBorders>
            <w:shd w:val="clear" w:color="auto" w:fill="auto"/>
            <w:vAlign w:val="center"/>
          </w:tcPr>
          <w:p w14:paraId="34DA75DE"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137</w:t>
            </w:r>
          </w:p>
        </w:tc>
        <w:tc>
          <w:tcPr>
            <w:tcW w:w="1120" w:type="dxa"/>
            <w:tcBorders>
              <w:top w:val="nil"/>
              <w:left w:val="nil"/>
              <w:bottom w:val="nil"/>
              <w:right w:val="nil"/>
            </w:tcBorders>
            <w:shd w:val="clear" w:color="auto" w:fill="auto"/>
            <w:vAlign w:val="center"/>
          </w:tcPr>
          <w:p w14:paraId="3BE899A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137</w:t>
            </w:r>
          </w:p>
        </w:tc>
        <w:tc>
          <w:tcPr>
            <w:tcW w:w="1140" w:type="dxa"/>
            <w:tcBorders>
              <w:top w:val="nil"/>
              <w:left w:val="nil"/>
              <w:bottom w:val="nil"/>
              <w:right w:val="single" w:sz="4" w:space="0" w:color="808080"/>
            </w:tcBorders>
            <w:shd w:val="clear" w:color="auto" w:fill="auto"/>
            <w:vAlign w:val="center"/>
          </w:tcPr>
          <w:p w14:paraId="655B1A2B"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69</w:t>
            </w:r>
          </w:p>
        </w:tc>
      </w:tr>
      <w:tr w:rsidR="00B22E86" w:rsidRPr="00B22E86" w14:paraId="1BC3ACD8" w14:textId="77777777" w:rsidTr="00B22E86">
        <w:trPr>
          <w:cantSplit/>
          <w:jc w:val="center"/>
        </w:trPr>
        <w:tc>
          <w:tcPr>
            <w:tcW w:w="6640" w:type="dxa"/>
            <w:shd w:val="clear" w:color="auto" w:fill="auto"/>
            <w:vAlign w:val="center"/>
            <w:hideMark/>
          </w:tcPr>
          <w:p w14:paraId="0D18913B"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Μεταβιβάσεις</w:t>
            </w:r>
          </w:p>
        </w:tc>
        <w:tc>
          <w:tcPr>
            <w:tcW w:w="1120" w:type="dxa"/>
            <w:tcBorders>
              <w:top w:val="nil"/>
              <w:left w:val="nil"/>
              <w:bottom w:val="nil"/>
              <w:right w:val="nil"/>
            </w:tcBorders>
            <w:shd w:val="clear" w:color="auto" w:fill="auto"/>
            <w:vAlign w:val="center"/>
          </w:tcPr>
          <w:p w14:paraId="0288301F"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1.687</w:t>
            </w:r>
          </w:p>
        </w:tc>
        <w:tc>
          <w:tcPr>
            <w:tcW w:w="1177" w:type="dxa"/>
            <w:tcBorders>
              <w:top w:val="nil"/>
              <w:left w:val="nil"/>
              <w:bottom w:val="nil"/>
              <w:right w:val="nil"/>
            </w:tcBorders>
            <w:shd w:val="clear" w:color="auto" w:fill="auto"/>
            <w:vAlign w:val="center"/>
          </w:tcPr>
          <w:p w14:paraId="3DAAC4C4"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1.540</w:t>
            </w:r>
          </w:p>
        </w:tc>
        <w:tc>
          <w:tcPr>
            <w:tcW w:w="1120" w:type="dxa"/>
            <w:tcBorders>
              <w:top w:val="nil"/>
              <w:left w:val="nil"/>
              <w:bottom w:val="nil"/>
              <w:right w:val="nil"/>
            </w:tcBorders>
            <w:shd w:val="clear" w:color="auto" w:fill="auto"/>
            <w:vAlign w:val="center"/>
          </w:tcPr>
          <w:p w14:paraId="5B4B733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1.718</w:t>
            </w:r>
          </w:p>
        </w:tc>
        <w:tc>
          <w:tcPr>
            <w:tcW w:w="1140" w:type="dxa"/>
            <w:tcBorders>
              <w:top w:val="nil"/>
              <w:left w:val="nil"/>
              <w:bottom w:val="nil"/>
              <w:right w:val="single" w:sz="4" w:space="0" w:color="808080"/>
            </w:tcBorders>
            <w:shd w:val="clear" w:color="auto" w:fill="auto"/>
            <w:vAlign w:val="center"/>
          </w:tcPr>
          <w:p w14:paraId="788EDD10"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1.733</w:t>
            </w:r>
          </w:p>
        </w:tc>
      </w:tr>
      <w:tr w:rsidR="00B22E86" w:rsidRPr="00B22E86" w14:paraId="1CA920F9" w14:textId="77777777" w:rsidTr="00B22E86">
        <w:trPr>
          <w:cantSplit/>
          <w:jc w:val="center"/>
        </w:trPr>
        <w:tc>
          <w:tcPr>
            <w:tcW w:w="6640" w:type="dxa"/>
            <w:shd w:val="clear" w:color="auto" w:fill="auto"/>
            <w:vAlign w:val="center"/>
            <w:hideMark/>
          </w:tcPr>
          <w:p w14:paraId="3CCAA207" w14:textId="77777777" w:rsidR="00B22E86" w:rsidRPr="00B22E86" w:rsidRDefault="00B22E86" w:rsidP="00B22E86">
            <w:pPr>
              <w:spacing w:after="0" w:line="240" w:lineRule="auto"/>
              <w:rPr>
                <w:rFonts w:ascii="Arial" w:eastAsia="Times New Roman" w:hAnsi="Arial" w:cs="Arial"/>
                <w:sz w:val="15"/>
                <w:szCs w:val="15"/>
                <w:lang w:eastAsia="el-GR"/>
              </w:rPr>
            </w:pPr>
            <w:r w:rsidRPr="00B22E86">
              <w:rPr>
                <w:rFonts w:ascii="Arial" w:eastAsia="Times New Roman" w:hAnsi="Arial" w:cs="Arial"/>
                <w:sz w:val="15"/>
                <w:szCs w:val="15"/>
                <w:lang w:eastAsia="el-GR"/>
              </w:rPr>
              <w:t>Επιδοτήσεις</w:t>
            </w:r>
          </w:p>
        </w:tc>
        <w:tc>
          <w:tcPr>
            <w:tcW w:w="1120" w:type="dxa"/>
            <w:tcBorders>
              <w:top w:val="nil"/>
              <w:left w:val="nil"/>
              <w:bottom w:val="nil"/>
              <w:right w:val="nil"/>
            </w:tcBorders>
            <w:shd w:val="clear" w:color="auto" w:fill="auto"/>
            <w:vAlign w:val="center"/>
          </w:tcPr>
          <w:p w14:paraId="44B6ABED"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855</w:t>
            </w:r>
          </w:p>
        </w:tc>
        <w:tc>
          <w:tcPr>
            <w:tcW w:w="1177" w:type="dxa"/>
            <w:tcBorders>
              <w:top w:val="nil"/>
              <w:left w:val="nil"/>
              <w:bottom w:val="nil"/>
              <w:right w:val="nil"/>
            </w:tcBorders>
            <w:shd w:val="clear" w:color="auto" w:fill="auto"/>
            <w:vAlign w:val="center"/>
          </w:tcPr>
          <w:p w14:paraId="2EEE8495"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620</w:t>
            </w:r>
          </w:p>
        </w:tc>
        <w:tc>
          <w:tcPr>
            <w:tcW w:w="1120" w:type="dxa"/>
            <w:tcBorders>
              <w:top w:val="nil"/>
              <w:left w:val="nil"/>
              <w:bottom w:val="nil"/>
              <w:right w:val="nil"/>
            </w:tcBorders>
            <w:shd w:val="clear" w:color="auto" w:fill="auto"/>
            <w:vAlign w:val="center"/>
          </w:tcPr>
          <w:p w14:paraId="0F6107AC"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606</w:t>
            </w:r>
          </w:p>
        </w:tc>
        <w:tc>
          <w:tcPr>
            <w:tcW w:w="1140" w:type="dxa"/>
            <w:tcBorders>
              <w:top w:val="nil"/>
              <w:left w:val="nil"/>
              <w:bottom w:val="nil"/>
              <w:right w:val="single" w:sz="4" w:space="0" w:color="808080"/>
            </w:tcBorders>
            <w:shd w:val="clear" w:color="auto" w:fill="auto"/>
            <w:vAlign w:val="center"/>
          </w:tcPr>
          <w:p w14:paraId="18700629" w14:textId="77777777" w:rsidR="00B22E86" w:rsidRPr="00B22E86" w:rsidRDefault="00B22E86" w:rsidP="00B22E86">
            <w:pPr>
              <w:spacing w:after="0" w:line="240" w:lineRule="auto"/>
              <w:jc w:val="right"/>
              <w:rPr>
                <w:rFonts w:ascii="Arial" w:eastAsia="Times New Roman" w:hAnsi="Arial" w:cs="Arial"/>
                <w:sz w:val="15"/>
                <w:szCs w:val="15"/>
                <w:lang w:eastAsia="el-GR"/>
              </w:rPr>
            </w:pPr>
            <w:r w:rsidRPr="00B22E86">
              <w:rPr>
                <w:rFonts w:ascii="Arial" w:eastAsia="Times New Roman" w:hAnsi="Arial" w:cs="Arial"/>
                <w:sz w:val="15"/>
                <w:szCs w:val="15"/>
                <w:lang w:eastAsia="el-GR"/>
              </w:rPr>
              <w:t>715</w:t>
            </w:r>
          </w:p>
        </w:tc>
      </w:tr>
      <w:tr w:rsidR="00B22E86" w:rsidRPr="00B22E86" w14:paraId="7EA34E5A" w14:textId="77777777" w:rsidTr="00B22E86">
        <w:trPr>
          <w:cantSplit/>
          <w:trHeight w:val="198"/>
          <w:jc w:val="center"/>
        </w:trPr>
        <w:tc>
          <w:tcPr>
            <w:tcW w:w="6640" w:type="dxa"/>
            <w:shd w:val="clear" w:color="auto" w:fill="D5DCE4"/>
            <w:vAlign w:val="center"/>
            <w:hideMark/>
          </w:tcPr>
          <w:p w14:paraId="1F62AE46"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Χ.</w:t>
            </w:r>
            <w:r w:rsidRPr="00B22E86">
              <w:rPr>
                <w:rFonts w:ascii="Arial" w:eastAsia="Times New Roman" w:hAnsi="Arial" w:cs="Arial"/>
                <w:b/>
                <w:bCs/>
                <w:sz w:val="15"/>
                <w:szCs w:val="15"/>
                <w:lang w:eastAsia="el-GR"/>
              </w:rPr>
              <w:tab/>
              <w:t>Ισοζύγιο Γενικής Κυβέρνησης κατά ESA (VΙΙ+VIII+IX)</w:t>
            </w:r>
          </w:p>
        </w:tc>
        <w:tc>
          <w:tcPr>
            <w:tcW w:w="1120" w:type="dxa"/>
            <w:tcBorders>
              <w:top w:val="nil"/>
              <w:left w:val="nil"/>
              <w:bottom w:val="nil"/>
              <w:right w:val="nil"/>
            </w:tcBorders>
            <w:shd w:val="clear" w:color="auto" w:fill="D5DCE4"/>
            <w:vAlign w:val="center"/>
          </w:tcPr>
          <w:p w14:paraId="27C487A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-2.962</w:t>
            </w:r>
          </w:p>
        </w:tc>
        <w:tc>
          <w:tcPr>
            <w:tcW w:w="1177" w:type="dxa"/>
            <w:tcBorders>
              <w:top w:val="nil"/>
              <w:left w:val="nil"/>
              <w:bottom w:val="nil"/>
              <w:right w:val="nil"/>
            </w:tcBorders>
            <w:shd w:val="clear" w:color="auto" w:fill="D5DCE4"/>
            <w:vAlign w:val="center"/>
          </w:tcPr>
          <w:p w14:paraId="3994CB70"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-2.486</w:t>
            </w:r>
          </w:p>
        </w:tc>
        <w:tc>
          <w:tcPr>
            <w:tcW w:w="1120" w:type="dxa"/>
            <w:tcBorders>
              <w:top w:val="nil"/>
              <w:left w:val="nil"/>
              <w:bottom w:val="nil"/>
              <w:right w:val="nil"/>
            </w:tcBorders>
            <w:shd w:val="clear" w:color="auto" w:fill="D5DCE4"/>
            <w:vAlign w:val="center"/>
          </w:tcPr>
          <w:p w14:paraId="1C4D6341"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-1.714</w:t>
            </w:r>
          </w:p>
        </w:tc>
        <w:tc>
          <w:tcPr>
            <w:tcW w:w="1140" w:type="dxa"/>
            <w:tcBorders>
              <w:top w:val="nil"/>
              <w:left w:val="nil"/>
              <w:bottom w:val="nil"/>
              <w:right w:val="single" w:sz="4" w:space="0" w:color="808080"/>
            </w:tcBorders>
            <w:shd w:val="clear" w:color="auto" w:fill="D5DCE4"/>
            <w:vAlign w:val="center"/>
          </w:tcPr>
          <w:p w14:paraId="5FE566BD"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-1.423</w:t>
            </w:r>
          </w:p>
        </w:tc>
      </w:tr>
      <w:tr w:rsidR="00B22E86" w:rsidRPr="00B22E86" w14:paraId="7CEA5EEA" w14:textId="77777777" w:rsidTr="00B22E86">
        <w:trPr>
          <w:cantSplit/>
          <w:trHeight w:val="198"/>
          <w:jc w:val="center"/>
        </w:trPr>
        <w:tc>
          <w:tcPr>
            <w:tcW w:w="6640" w:type="dxa"/>
            <w:shd w:val="clear" w:color="auto" w:fill="D5DCE4"/>
            <w:vAlign w:val="center"/>
            <w:hideMark/>
          </w:tcPr>
          <w:p w14:paraId="5A01CFE6"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 ΑΕΠ</w:t>
            </w:r>
          </w:p>
        </w:tc>
        <w:tc>
          <w:tcPr>
            <w:tcW w:w="1120" w:type="dxa"/>
            <w:tcBorders>
              <w:top w:val="nil"/>
              <w:left w:val="nil"/>
              <w:bottom w:val="nil"/>
              <w:right w:val="nil"/>
            </w:tcBorders>
            <w:shd w:val="clear" w:color="auto" w:fill="D5DCE4"/>
            <w:vAlign w:val="center"/>
          </w:tcPr>
          <w:p w14:paraId="1291987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-1,3%</w:t>
            </w:r>
          </w:p>
        </w:tc>
        <w:tc>
          <w:tcPr>
            <w:tcW w:w="1177" w:type="dxa"/>
            <w:tcBorders>
              <w:top w:val="nil"/>
              <w:left w:val="nil"/>
              <w:bottom w:val="nil"/>
              <w:right w:val="nil"/>
            </w:tcBorders>
            <w:shd w:val="clear" w:color="auto" w:fill="D5DCE4"/>
            <w:vAlign w:val="center"/>
          </w:tcPr>
          <w:p w14:paraId="769345B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-1,1%</w:t>
            </w:r>
          </w:p>
        </w:tc>
        <w:tc>
          <w:tcPr>
            <w:tcW w:w="1120" w:type="dxa"/>
            <w:tcBorders>
              <w:top w:val="nil"/>
              <w:left w:val="nil"/>
              <w:bottom w:val="nil"/>
              <w:right w:val="nil"/>
            </w:tcBorders>
            <w:shd w:val="clear" w:color="auto" w:fill="D5DCE4"/>
            <w:vAlign w:val="center"/>
          </w:tcPr>
          <w:p w14:paraId="0AE5EBE0"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-0,7%</w:t>
            </w:r>
          </w:p>
        </w:tc>
        <w:tc>
          <w:tcPr>
            <w:tcW w:w="1140" w:type="dxa"/>
            <w:tcBorders>
              <w:top w:val="nil"/>
              <w:left w:val="nil"/>
              <w:bottom w:val="nil"/>
              <w:right w:val="single" w:sz="4" w:space="0" w:color="808080"/>
            </w:tcBorders>
            <w:shd w:val="clear" w:color="auto" w:fill="D5DCE4"/>
            <w:vAlign w:val="center"/>
          </w:tcPr>
          <w:p w14:paraId="3196AFFE"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-0,6%</w:t>
            </w:r>
          </w:p>
        </w:tc>
      </w:tr>
      <w:tr w:rsidR="00B22E86" w:rsidRPr="00B22E86" w14:paraId="45682933" w14:textId="77777777" w:rsidTr="00B22E86">
        <w:trPr>
          <w:cantSplit/>
          <w:trHeight w:val="198"/>
          <w:jc w:val="center"/>
        </w:trPr>
        <w:tc>
          <w:tcPr>
            <w:tcW w:w="6640" w:type="dxa"/>
            <w:tcBorders>
              <w:bottom w:val="nil"/>
            </w:tcBorders>
            <w:shd w:val="clear" w:color="auto" w:fill="D5DCE4"/>
            <w:vAlign w:val="center"/>
            <w:hideMark/>
          </w:tcPr>
          <w:p w14:paraId="46482753"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ΧΙ.</w:t>
            </w:r>
            <w:r w:rsidRPr="00B22E86">
              <w:rPr>
                <w:rFonts w:ascii="Arial" w:eastAsia="Times New Roman" w:hAnsi="Arial" w:cs="Arial"/>
                <w:b/>
                <w:bCs/>
                <w:sz w:val="15"/>
                <w:szCs w:val="15"/>
                <w:lang w:eastAsia="el-GR"/>
              </w:rPr>
              <w:tab/>
              <w:t>Ενοποιημένοι Τόκοι Γενικής Κυβέρνησης</w:t>
            </w:r>
          </w:p>
        </w:tc>
        <w:tc>
          <w:tcPr>
            <w:tcW w:w="1120" w:type="dxa"/>
            <w:tcBorders>
              <w:top w:val="nil"/>
              <w:left w:val="nil"/>
              <w:bottom w:val="nil"/>
              <w:right w:val="nil"/>
            </w:tcBorders>
            <w:shd w:val="clear" w:color="auto" w:fill="D5DCE4"/>
            <w:vAlign w:val="center"/>
          </w:tcPr>
          <w:p w14:paraId="59197FC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7.620</w:t>
            </w:r>
          </w:p>
        </w:tc>
        <w:tc>
          <w:tcPr>
            <w:tcW w:w="1177" w:type="dxa"/>
            <w:tcBorders>
              <w:top w:val="nil"/>
              <w:left w:val="nil"/>
              <w:bottom w:val="nil"/>
              <w:right w:val="nil"/>
            </w:tcBorders>
            <w:shd w:val="clear" w:color="auto" w:fill="D5DCE4"/>
            <w:vAlign w:val="center"/>
          </w:tcPr>
          <w:p w14:paraId="4247F35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7.477</w:t>
            </w:r>
          </w:p>
        </w:tc>
        <w:tc>
          <w:tcPr>
            <w:tcW w:w="1120" w:type="dxa"/>
            <w:tcBorders>
              <w:top w:val="nil"/>
              <w:left w:val="nil"/>
              <w:bottom w:val="nil"/>
              <w:right w:val="nil"/>
            </w:tcBorders>
            <w:shd w:val="clear" w:color="auto" w:fill="D5DCE4"/>
            <w:vAlign w:val="center"/>
          </w:tcPr>
          <w:p w14:paraId="5D4E7E8F"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7.743</w:t>
            </w:r>
          </w:p>
        </w:tc>
        <w:tc>
          <w:tcPr>
            <w:tcW w:w="1140" w:type="dxa"/>
            <w:tcBorders>
              <w:top w:val="nil"/>
              <w:left w:val="nil"/>
              <w:bottom w:val="nil"/>
              <w:right w:val="single" w:sz="4" w:space="0" w:color="808080"/>
            </w:tcBorders>
            <w:shd w:val="clear" w:color="auto" w:fill="D5DCE4"/>
            <w:vAlign w:val="center"/>
          </w:tcPr>
          <w:p w14:paraId="275A11C3"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7.390</w:t>
            </w:r>
          </w:p>
        </w:tc>
      </w:tr>
      <w:tr w:rsidR="00B22E86" w:rsidRPr="00B22E86" w14:paraId="27D371E7" w14:textId="77777777" w:rsidTr="00B22E86">
        <w:trPr>
          <w:cantSplit/>
          <w:trHeight w:val="198"/>
          <w:jc w:val="center"/>
        </w:trPr>
        <w:tc>
          <w:tcPr>
            <w:tcW w:w="6640" w:type="dxa"/>
            <w:tcBorders>
              <w:top w:val="nil"/>
              <w:bottom w:val="nil"/>
            </w:tcBorders>
            <w:shd w:val="clear" w:color="auto" w:fill="D5DCE4"/>
            <w:vAlign w:val="center"/>
            <w:hideMark/>
          </w:tcPr>
          <w:p w14:paraId="48016EAE"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 ΑΕΠ</w:t>
            </w:r>
          </w:p>
        </w:tc>
        <w:tc>
          <w:tcPr>
            <w:tcW w:w="1120" w:type="dxa"/>
            <w:tcBorders>
              <w:top w:val="nil"/>
              <w:left w:val="nil"/>
              <w:bottom w:val="nil"/>
              <w:right w:val="nil"/>
            </w:tcBorders>
            <w:shd w:val="clear" w:color="auto" w:fill="D5DCE4"/>
            <w:vAlign w:val="center"/>
          </w:tcPr>
          <w:p w14:paraId="79FFEB4A"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3,4%</w:t>
            </w:r>
          </w:p>
        </w:tc>
        <w:tc>
          <w:tcPr>
            <w:tcW w:w="1177" w:type="dxa"/>
            <w:tcBorders>
              <w:top w:val="nil"/>
              <w:left w:val="nil"/>
              <w:bottom w:val="nil"/>
              <w:right w:val="nil"/>
            </w:tcBorders>
            <w:shd w:val="clear" w:color="auto" w:fill="D5DCE4"/>
            <w:vAlign w:val="center"/>
          </w:tcPr>
          <w:p w14:paraId="69F26D2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3,2%</w:t>
            </w:r>
          </w:p>
        </w:tc>
        <w:tc>
          <w:tcPr>
            <w:tcW w:w="1120" w:type="dxa"/>
            <w:tcBorders>
              <w:top w:val="nil"/>
              <w:left w:val="nil"/>
              <w:bottom w:val="nil"/>
              <w:right w:val="nil"/>
            </w:tcBorders>
            <w:shd w:val="clear" w:color="auto" w:fill="D5DCE4"/>
            <w:vAlign w:val="center"/>
          </w:tcPr>
          <w:p w14:paraId="1452EB0F"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3,3%</w:t>
            </w:r>
          </w:p>
        </w:tc>
        <w:tc>
          <w:tcPr>
            <w:tcW w:w="1140" w:type="dxa"/>
            <w:tcBorders>
              <w:top w:val="nil"/>
              <w:left w:val="nil"/>
              <w:bottom w:val="nil"/>
              <w:right w:val="single" w:sz="4" w:space="0" w:color="808080"/>
            </w:tcBorders>
            <w:shd w:val="clear" w:color="auto" w:fill="D5DCE4"/>
            <w:vAlign w:val="center"/>
          </w:tcPr>
          <w:p w14:paraId="4C10492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3,0%</w:t>
            </w:r>
          </w:p>
        </w:tc>
      </w:tr>
      <w:tr w:rsidR="00B22E86" w:rsidRPr="00B22E86" w14:paraId="4131510C" w14:textId="77777777" w:rsidTr="00B22E86">
        <w:trPr>
          <w:cantSplit/>
          <w:trHeight w:val="198"/>
          <w:jc w:val="center"/>
        </w:trPr>
        <w:tc>
          <w:tcPr>
            <w:tcW w:w="6640" w:type="dxa"/>
            <w:tcBorders>
              <w:top w:val="nil"/>
            </w:tcBorders>
            <w:shd w:val="clear" w:color="auto" w:fill="D5DCE4"/>
            <w:vAlign w:val="center"/>
            <w:hideMark/>
          </w:tcPr>
          <w:p w14:paraId="75C573BF" w14:textId="77777777" w:rsidR="00B22E86" w:rsidRPr="00B22E86" w:rsidRDefault="00B22E86" w:rsidP="00B22E86">
            <w:pPr>
              <w:tabs>
                <w:tab w:val="left" w:pos="313"/>
                <w:tab w:val="left" w:pos="1588"/>
              </w:tabs>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ΧΙΙ.</w:t>
            </w:r>
            <w:r w:rsidRPr="00B22E86">
              <w:rPr>
                <w:rFonts w:ascii="Arial" w:eastAsia="Times New Roman" w:hAnsi="Arial" w:cs="Arial"/>
                <w:b/>
                <w:bCs/>
                <w:sz w:val="15"/>
                <w:szCs w:val="15"/>
                <w:lang w:eastAsia="el-GR"/>
              </w:rPr>
              <w:tab/>
              <w:t>Πρωτογενές αποτέλεσμα Γενικής Κυβέρνησης κατά ESA (Χ+ΧΙ)</w:t>
            </w:r>
          </w:p>
        </w:tc>
        <w:tc>
          <w:tcPr>
            <w:tcW w:w="1120" w:type="dxa"/>
            <w:tcBorders>
              <w:top w:val="nil"/>
              <w:left w:val="nil"/>
              <w:bottom w:val="nil"/>
              <w:right w:val="nil"/>
            </w:tcBorders>
            <w:shd w:val="clear" w:color="auto" w:fill="D5DCE4"/>
            <w:vAlign w:val="center"/>
          </w:tcPr>
          <w:p w14:paraId="32F65582"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4.658</w:t>
            </w:r>
          </w:p>
        </w:tc>
        <w:tc>
          <w:tcPr>
            <w:tcW w:w="1177" w:type="dxa"/>
            <w:tcBorders>
              <w:top w:val="nil"/>
              <w:left w:val="nil"/>
              <w:bottom w:val="nil"/>
              <w:right w:val="nil"/>
            </w:tcBorders>
            <w:shd w:val="clear" w:color="auto" w:fill="D5DCE4"/>
            <w:vAlign w:val="center"/>
          </w:tcPr>
          <w:p w14:paraId="2F3B1E17"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4.991</w:t>
            </w:r>
          </w:p>
        </w:tc>
        <w:tc>
          <w:tcPr>
            <w:tcW w:w="1120" w:type="dxa"/>
            <w:tcBorders>
              <w:top w:val="nil"/>
              <w:left w:val="nil"/>
              <w:bottom w:val="nil"/>
              <w:right w:val="nil"/>
            </w:tcBorders>
            <w:shd w:val="clear" w:color="auto" w:fill="D5DCE4"/>
            <w:vAlign w:val="center"/>
          </w:tcPr>
          <w:p w14:paraId="09FE253C"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6.029</w:t>
            </w:r>
          </w:p>
        </w:tc>
        <w:tc>
          <w:tcPr>
            <w:tcW w:w="1140" w:type="dxa"/>
            <w:tcBorders>
              <w:top w:val="nil"/>
              <w:left w:val="nil"/>
              <w:bottom w:val="nil"/>
              <w:right w:val="single" w:sz="4" w:space="0" w:color="808080"/>
            </w:tcBorders>
            <w:shd w:val="clear" w:color="auto" w:fill="D5DCE4"/>
            <w:vAlign w:val="center"/>
          </w:tcPr>
          <w:p w14:paraId="75E73035"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5.967</w:t>
            </w:r>
          </w:p>
        </w:tc>
      </w:tr>
      <w:tr w:rsidR="00B22E86" w:rsidRPr="00B22E86" w14:paraId="3BDD3AEC" w14:textId="77777777" w:rsidTr="00B22E86">
        <w:trPr>
          <w:cantSplit/>
          <w:trHeight w:val="198"/>
          <w:jc w:val="center"/>
        </w:trPr>
        <w:tc>
          <w:tcPr>
            <w:tcW w:w="6640" w:type="dxa"/>
            <w:shd w:val="clear" w:color="auto" w:fill="D5DCE4"/>
            <w:vAlign w:val="center"/>
            <w:hideMark/>
          </w:tcPr>
          <w:p w14:paraId="1BFF1380"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 ΑΕΠ</w:t>
            </w:r>
          </w:p>
        </w:tc>
        <w:tc>
          <w:tcPr>
            <w:tcW w:w="1120" w:type="dxa"/>
            <w:tcBorders>
              <w:top w:val="nil"/>
              <w:left w:val="nil"/>
              <w:bottom w:val="nil"/>
              <w:right w:val="nil"/>
            </w:tcBorders>
            <w:shd w:val="clear" w:color="auto" w:fill="D5DCE4"/>
            <w:vAlign w:val="center"/>
          </w:tcPr>
          <w:p w14:paraId="239BDCAF"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2,1%</w:t>
            </w:r>
          </w:p>
        </w:tc>
        <w:tc>
          <w:tcPr>
            <w:tcW w:w="1177" w:type="dxa"/>
            <w:tcBorders>
              <w:top w:val="nil"/>
              <w:left w:val="nil"/>
              <w:bottom w:val="nil"/>
              <w:right w:val="nil"/>
            </w:tcBorders>
            <w:shd w:val="clear" w:color="auto" w:fill="D5DCE4"/>
            <w:vAlign w:val="center"/>
          </w:tcPr>
          <w:p w14:paraId="2D6DEE7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2,1%</w:t>
            </w:r>
          </w:p>
        </w:tc>
        <w:tc>
          <w:tcPr>
            <w:tcW w:w="1120" w:type="dxa"/>
            <w:tcBorders>
              <w:top w:val="nil"/>
              <w:left w:val="nil"/>
              <w:bottom w:val="nil"/>
              <w:right w:val="nil"/>
            </w:tcBorders>
            <w:shd w:val="clear" w:color="auto" w:fill="D5DCE4"/>
            <w:vAlign w:val="center"/>
          </w:tcPr>
          <w:p w14:paraId="6D62B46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2,5%</w:t>
            </w:r>
          </w:p>
        </w:tc>
        <w:tc>
          <w:tcPr>
            <w:tcW w:w="1140" w:type="dxa"/>
            <w:tcBorders>
              <w:top w:val="nil"/>
              <w:left w:val="nil"/>
              <w:bottom w:val="nil"/>
              <w:right w:val="single" w:sz="4" w:space="0" w:color="808080"/>
            </w:tcBorders>
            <w:shd w:val="clear" w:color="auto" w:fill="D5DCE4"/>
            <w:vAlign w:val="center"/>
          </w:tcPr>
          <w:p w14:paraId="7EAFDDCF"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2,4%</w:t>
            </w:r>
          </w:p>
        </w:tc>
      </w:tr>
      <w:tr w:rsidR="00B22E86" w:rsidRPr="00B22E86" w14:paraId="6AF97B20" w14:textId="77777777" w:rsidTr="00B22E86">
        <w:trPr>
          <w:cantSplit/>
          <w:trHeight w:val="198"/>
          <w:jc w:val="center"/>
        </w:trPr>
        <w:tc>
          <w:tcPr>
            <w:tcW w:w="6640" w:type="dxa"/>
            <w:shd w:val="clear" w:color="auto" w:fill="D5DCE4"/>
            <w:vAlign w:val="center"/>
            <w:hideMark/>
          </w:tcPr>
          <w:p w14:paraId="312A38CA" w14:textId="77777777" w:rsidR="00B22E86" w:rsidRPr="00B22E86" w:rsidRDefault="00B22E86" w:rsidP="00B22E86">
            <w:pPr>
              <w:spacing w:after="0" w:line="240" w:lineRule="auto"/>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ΑΕΠ</w:t>
            </w:r>
          </w:p>
        </w:tc>
        <w:tc>
          <w:tcPr>
            <w:tcW w:w="1120" w:type="dxa"/>
            <w:tcBorders>
              <w:top w:val="nil"/>
              <w:left w:val="nil"/>
              <w:bottom w:val="nil"/>
              <w:right w:val="nil"/>
            </w:tcBorders>
            <w:shd w:val="clear" w:color="auto" w:fill="D5DCE4"/>
            <w:vAlign w:val="center"/>
          </w:tcPr>
          <w:p w14:paraId="3BD17B0B"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225.197</w:t>
            </w:r>
          </w:p>
        </w:tc>
        <w:tc>
          <w:tcPr>
            <w:tcW w:w="1177" w:type="dxa"/>
            <w:tcBorders>
              <w:top w:val="nil"/>
              <w:left w:val="nil"/>
              <w:bottom w:val="nil"/>
              <w:right w:val="nil"/>
            </w:tcBorders>
            <w:shd w:val="clear" w:color="auto" w:fill="D5DCE4"/>
            <w:vAlign w:val="center"/>
          </w:tcPr>
          <w:p w14:paraId="6E6A30C8"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233.775</w:t>
            </w:r>
          </w:p>
        </w:tc>
        <w:tc>
          <w:tcPr>
            <w:tcW w:w="1120" w:type="dxa"/>
            <w:tcBorders>
              <w:top w:val="nil"/>
              <w:left w:val="nil"/>
              <w:bottom w:val="nil"/>
              <w:right w:val="nil"/>
            </w:tcBorders>
            <w:shd w:val="clear" w:color="auto" w:fill="D5DCE4"/>
            <w:vAlign w:val="center"/>
          </w:tcPr>
          <w:p w14:paraId="7ADE560C"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236.965</w:t>
            </w:r>
          </w:p>
        </w:tc>
        <w:tc>
          <w:tcPr>
            <w:tcW w:w="1140" w:type="dxa"/>
            <w:tcBorders>
              <w:top w:val="nil"/>
              <w:left w:val="nil"/>
              <w:bottom w:val="nil"/>
              <w:right w:val="single" w:sz="4" w:space="0" w:color="808080"/>
            </w:tcBorders>
            <w:shd w:val="clear" w:color="auto" w:fill="D5DCE4"/>
            <w:vAlign w:val="center"/>
          </w:tcPr>
          <w:p w14:paraId="3E98120E" w14:textId="77777777" w:rsidR="00B22E86" w:rsidRPr="00B22E86" w:rsidRDefault="00B22E86" w:rsidP="00B22E86">
            <w:pPr>
              <w:spacing w:after="0" w:line="240" w:lineRule="auto"/>
              <w:jc w:val="right"/>
              <w:rPr>
                <w:rFonts w:ascii="Arial" w:eastAsia="Times New Roman" w:hAnsi="Arial" w:cs="Arial"/>
                <w:b/>
                <w:bCs/>
                <w:sz w:val="15"/>
                <w:szCs w:val="15"/>
                <w:lang w:eastAsia="el-GR"/>
              </w:rPr>
            </w:pPr>
            <w:r w:rsidRPr="00B22E86">
              <w:rPr>
                <w:rFonts w:ascii="Arial" w:eastAsia="Times New Roman" w:hAnsi="Arial" w:cs="Arial"/>
                <w:b/>
                <w:bCs/>
                <w:sz w:val="15"/>
                <w:szCs w:val="15"/>
                <w:lang w:eastAsia="el-GR"/>
              </w:rPr>
              <w:t>247.514</w:t>
            </w:r>
          </w:p>
        </w:tc>
      </w:tr>
      <w:tr w:rsidR="00B22E86" w:rsidRPr="00B22E86" w14:paraId="1D6DC6A0" w14:textId="77777777" w:rsidTr="00B22E86">
        <w:trPr>
          <w:cantSplit/>
          <w:jc w:val="center"/>
        </w:trPr>
        <w:tc>
          <w:tcPr>
            <w:tcW w:w="6640" w:type="dxa"/>
            <w:tcBorders>
              <w:bottom w:val="single" w:sz="4" w:space="0" w:color="808080"/>
            </w:tcBorders>
            <w:shd w:val="clear" w:color="auto" w:fill="auto"/>
            <w:vAlign w:val="center"/>
            <w:hideMark/>
          </w:tcPr>
          <w:p w14:paraId="7FF564DF" w14:textId="77777777" w:rsidR="00B22E86" w:rsidRPr="00B22E86" w:rsidRDefault="00B22E86" w:rsidP="00B22E86">
            <w:pPr>
              <w:spacing w:after="0" w:line="240" w:lineRule="auto"/>
              <w:jc w:val="center"/>
              <w:rPr>
                <w:rFonts w:ascii="Arial" w:eastAsia="Times New Roman" w:hAnsi="Arial" w:cs="Arial"/>
                <w:b/>
                <w:bCs/>
                <w:sz w:val="15"/>
                <w:szCs w:val="15"/>
                <w:lang w:eastAsia="el-GR"/>
              </w:rPr>
            </w:pPr>
          </w:p>
        </w:tc>
        <w:tc>
          <w:tcPr>
            <w:tcW w:w="1120" w:type="dxa"/>
            <w:tcBorders>
              <w:bottom w:val="single" w:sz="4" w:space="0" w:color="808080"/>
            </w:tcBorders>
            <w:shd w:val="clear" w:color="auto" w:fill="auto"/>
            <w:vAlign w:val="center"/>
            <w:hideMark/>
          </w:tcPr>
          <w:p w14:paraId="042BAEBC" w14:textId="77777777" w:rsidR="00B22E86" w:rsidRPr="00B22E86" w:rsidRDefault="00B22E86" w:rsidP="00B22E86">
            <w:pPr>
              <w:spacing w:after="0" w:line="240" w:lineRule="auto"/>
              <w:rPr>
                <w:rFonts w:ascii="Arial" w:eastAsia="Times New Roman" w:hAnsi="Arial" w:cs="Arial"/>
                <w:sz w:val="15"/>
                <w:szCs w:val="15"/>
                <w:lang w:eastAsia="el-GR"/>
              </w:rPr>
            </w:pPr>
          </w:p>
        </w:tc>
        <w:tc>
          <w:tcPr>
            <w:tcW w:w="1177" w:type="dxa"/>
            <w:tcBorders>
              <w:bottom w:val="single" w:sz="4" w:space="0" w:color="808080"/>
            </w:tcBorders>
            <w:shd w:val="clear" w:color="auto" w:fill="auto"/>
            <w:vAlign w:val="center"/>
            <w:hideMark/>
          </w:tcPr>
          <w:p w14:paraId="1ADB0F2E" w14:textId="77777777" w:rsidR="00B22E86" w:rsidRPr="00B22E86" w:rsidRDefault="00B22E86" w:rsidP="00B22E86">
            <w:pPr>
              <w:spacing w:after="0" w:line="240" w:lineRule="auto"/>
              <w:rPr>
                <w:rFonts w:ascii="Arial" w:eastAsia="Times New Roman" w:hAnsi="Arial" w:cs="Arial"/>
                <w:sz w:val="15"/>
                <w:szCs w:val="15"/>
                <w:lang w:eastAsia="el-GR"/>
              </w:rPr>
            </w:pPr>
          </w:p>
        </w:tc>
        <w:tc>
          <w:tcPr>
            <w:tcW w:w="1120" w:type="dxa"/>
            <w:tcBorders>
              <w:bottom w:val="single" w:sz="4" w:space="0" w:color="808080"/>
            </w:tcBorders>
            <w:shd w:val="clear" w:color="auto" w:fill="auto"/>
            <w:vAlign w:val="center"/>
            <w:hideMark/>
          </w:tcPr>
          <w:p w14:paraId="60E229FB" w14:textId="77777777" w:rsidR="00B22E86" w:rsidRPr="00B22E86" w:rsidRDefault="00B22E86" w:rsidP="00B22E86">
            <w:pPr>
              <w:spacing w:after="0" w:line="240" w:lineRule="auto"/>
              <w:rPr>
                <w:rFonts w:ascii="Arial" w:eastAsia="Times New Roman" w:hAnsi="Arial" w:cs="Arial"/>
                <w:sz w:val="15"/>
                <w:szCs w:val="15"/>
                <w:lang w:eastAsia="el-GR"/>
              </w:rPr>
            </w:pPr>
          </w:p>
        </w:tc>
        <w:tc>
          <w:tcPr>
            <w:tcW w:w="1140" w:type="dxa"/>
            <w:tcBorders>
              <w:bottom w:val="single" w:sz="4" w:space="0" w:color="808080"/>
            </w:tcBorders>
            <w:shd w:val="clear" w:color="auto" w:fill="auto"/>
            <w:noWrap/>
            <w:vAlign w:val="bottom"/>
            <w:hideMark/>
          </w:tcPr>
          <w:p w14:paraId="5F716CF4" w14:textId="77777777" w:rsidR="00B22E86" w:rsidRPr="00B22E86" w:rsidRDefault="00B22E86" w:rsidP="00B22E86">
            <w:pPr>
              <w:spacing w:after="0" w:line="240" w:lineRule="auto"/>
              <w:rPr>
                <w:rFonts w:ascii="Arial" w:eastAsia="Times New Roman" w:hAnsi="Arial" w:cs="Arial"/>
                <w:sz w:val="15"/>
                <w:szCs w:val="15"/>
                <w:lang w:eastAsia="el-GR"/>
              </w:rPr>
            </w:pPr>
          </w:p>
        </w:tc>
      </w:tr>
      <w:tr w:rsidR="00B22E86" w:rsidRPr="00B22E86" w14:paraId="4D99858B" w14:textId="77777777" w:rsidTr="00B22E86">
        <w:trPr>
          <w:cantSplit/>
          <w:jc w:val="center"/>
        </w:trPr>
        <w:tc>
          <w:tcPr>
            <w:tcW w:w="11197" w:type="dxa"/>
            <w:gridSpan w:val="5"/>
            <w:tcBorders>
              <w:top w:val="single" w:sz="4" w:space="0" w:color="808080"/>
              <w:left w:val="nil"/>
              <w:bottom w:val="nil"/>
              <w:right w:val="nil"/>
            </w:tcBorders>
            <w:shd w:val="clear" w:color="auto" w:fill="auto"/>
            <w:vAlign w:val="center"/>
          </w:tcPr>
          <w:p w14:paraId="1769B6E1" w14:textId="77777777" w:rsidR="00B22E86" w:rsidRPr="00B22E86" w:rsidRDefault="00B22E86" w:rsidP="00B22E86">
            <w:pPr>
              <w:tabs>
                <w:tab w:val="left" w:pos="170"/>
              </w:tabs>
              <w:spacing w:before="60" w:after="0" w:line="240" w:lineRule="auto"/>
              <w:ind w:left="170" w:hanging="170"/>
              <w:jc w:val="both"/>
              <w:rPr>
                <w:rFonts w:ascii="Arial" w:eastAsia="Times New Roman" w:hAnsi="Arial" w:cs="Arial"/>
                <w:sz w:val="15"/>
                <w:szCs w:val="15"/>
                <w:vertAlign w:val="superscript"/>
                <w:lang w:eastAsia="el-GR"/>
              </w:rPr>
            </w:pPr>
            <w:r w:rsidRPr="00B22E86">
              <w:rPr>
                <w:rFonts w:ascii="Arial" w:eastAsia="Times New Roman" w:hAnsi="Arial" w:cs="Arial"/>
                <w:sz w:val="15"/>
                <w:szCs w:val="15"/>
                <w:vertAlign w:val="superscript"/>
                <w:lang w:eastAsia="el-GR"/>
              </w:rPr>
              <w:t>*</w:t>
            </w:r>
            <w:r w:rsidRPr="00B22E86">
              <w:rPr>
                <w:rFonts w:ascii="Arial" w:eastAsia="Times New Roman" w:hAnsi="Arial" w:cs="Arial"/>
                <w:sz w:val="15"/>
                <w:szCs w:val="15"/>
                <w:vertAlign w:val="superscript"/>
                <w:lang w:eastAsia="el-GR"/>
              </w:rPr>
              <w:tab/>
            </w:r>
            <w:r w:rsidRPr="00B22E86">
              <w:rPr>
                <w:rFonts w:ascii="Arial" w:eastAsia="Times New Roman" w:hAnsi="Arial" w:cs="Arial"/>
                <w:sz w:val="15"/>
                <w:szCs w:val="15"/>
                <w:lang w:eastAsia="el-GR"/>
              </w:rPr>
              <w:t xml:space="preserve">Η παρουσίαση της ανάλυσης εσόδων και δαπανών των </w:t>
            </w:r>
            <w:proofErr w:type="spellStart"/>
            <w:r w:rsidRPr="00B22E86">
              <w:rPr>
                <w:rFonts w:ascii="Arial" w:eastAsia="Times New Roman" w:hAnsi="Arial" w:cs="Arial"/>
                <w:sz w:val="15"/>
                <w:szCs w:val="15"/>
                <w:lang w:eastAsia="el-GR"/>
              </w:rPr>
              <w:t>υποτομέων</w:t>
            </w:r>
            <w:proofErr w:type="spellEnd"/>
            <w:r w:rsidRPr="00B22E86">
              <w:rPr>
                <w:rFonts w:ascii="Arial" w:eastAsia="Times New Roman" w:hAnsi="Arial" w:cs="Arial"/>
                <w:sz w:val="15"/>
                <w:szCs w:val="15"/>
                <w:lang w:eastAsia="el-GR"/>
              </w:rPr>
              <w:t xml:space="preserve"> του παραπάνω πίνακα με την κατηγοριοποίηση της μεθοδολογίας του ESA διαφοροποιείται από τον τρόπο παρουσίασης των επιμέρους </w:t>
            </w:r>
            <w:proofErr w:type="spellStart"/>
            <w:r w:rsidRPr="00B22E86">
              <w:rPr>
                <w:rFonts w:ascii="Arial" w:eastAsia="Times New Roman" w:hAnsi="Arial" w:cs="Arial"/>
                <w:sz w:val="15"/>
                <w:szCs w:val="15"/>
                <w:lang w:eastAsia="el-GR"/>
              </w:rPr>
              <w:t>υποτομέων</w:t>
            </w:r>
            <w:proofErr w:type="spellEnd"/>
            <w:r w:rsidRPr="00B22E86">
              <w:rPr>
                <w:rFonts w:ascii="Arial" w:eastAsia="Times New Roman" w:hAnsi="Arial" w:cs="Arial"/>
                <w:sz w:val="15"/>
                <w:szCs w:val="15"/>
                <w:lang w:eastAsia="el-GR"/>
              </w:rPr>
              <w:t xml:space="preserve"> που ακολουθείται στις παρακάτω ενότητες, όπου έχει υιοθετηθεί το υπόδειγμα των πινάκων της εγκυκλίου κατάρτισης του προϋπολογισμού Γενικής Κυβέρνησης για το 2025.</w:t>
            </w:r>
          </w:p>
        </w:tc>
      </w:tr>
      <w:tr w:rsidR="00B22E86" w:rsidRPr="00B22E86" w14:paraId="753D9F69" w14:textId="77777777" w:rsidTr="00B22E86">
        <w:trPr>
          <w:cantSplit/>
          <w:jc w:val="center"/>
        </w:trPr>
        <w:tc>
          <w:tcPr>
            <w:tcW w:w="11197" w:type="dxa"/>
            <w:gridSpan w:val="5"/>
            <w:tcBorders>
              <w:top w:val="nil"/>
              <w:left w:val="nil"/>
              <w:bottom w:val="nil"/>
              <w:right w:val="nil"/>
            </w:tcBorders>
            <w:shd w:val="clear" w:color="auto" w:fill="auto"/>
            <w:vAlign w:val="center"/>
            <w:hideMark/>
          </w:tcPr>
          <w:p w14:paraId="15A4FAFE" w14:textId="77777777" w:rsidR="00B22E86" w:rsidRPr="00B22E86" w:rsidRDefault="00B22E86" w:rsidP="00B22E86">
            <w:pPr>
              <w:tabs>
                <w:tab w:val="left" w:pos="170"/>
              </w:tabs>
              <w:spacing w:after="0" w:line="240" w:lineRule="auto"/>
              <w:ind w:left="170" w:hanging="170"/>
              <w:jc w:val="both"/>
              <w:rPr>
                <w:rFonts w:ascii="Arial" w:eastAsia="Times New Roman" w:hAnsi="Arial" w:cs="Arial"/>
                <w:sz w:val="15"/>
                <w:szCs w:val="15"/>
                <w:lang w:eastAsia="el-GR"/>
              </w:rPr>
            </w:pPr>
            <w:r w:rsidRPr="00B22E86">
              <w:rPr>
                <w:rFonts w:ascii="Arial" w:eastAsia="Times New Roman" w:hAnsi="Arial" w:cs="Arial"/>
                <w:sz w:val="15"/>
                <w:szCs w:val="15"/>
                <w:vertAlign w:val="superscript"/>
                <w:lang w:eastAsia="el-GR"/>
              </w:rPr>
              <w:t>1</w:t>
            </w:r>
            <w:r w:rsidRPr="00B22E86">
              <w:rPr>
                <w:rFonts w:ascii="Arial" w:eastAsia="Times New Roman" w:hAnsi="Arial" w:cs="Arial"/>
                <w:sz w:val="15"/>
                <w:szCs w:val="15"/>
                <w:lang w:eastAsia="el-GR"/>
              </w:rPr>
              <w:tab/>
              <w:t>Τα έσοδα του ΑΠΔΕ εκτός ΤΑΑ περιέχονται στις μεταβιβάσεις και στα λοιπά τρέχοντα έσοδα, ενώ οι αντίστοιχες δαπάνες περιέχονται στις πιστώσεις υπό κατανομή.</w:t>
            </w:r>
          </w:p>
        </w:tc>
      </w:tr>
      <w:tr w:rsidR="00B22E86" w:rsidRPr="00B22E86" w14:paraId="66793C98" w14:textId="77777777" w:rsidTr="00B22E86">
        <w:trPr>
          <w:cantSplit/>
          <w:jc w:val="center"/>
        </w:trPr>
        <w:tc>
          <w:tcPr>
            <w:tcW w:w="11197" w:type="dxa"/>
            <w:gridSpan w:val="5"/>
            <w:tcBorders>
              <w:top w:val="nil"/>
              <w:left w:val="nil"/>
              <w:bottom w:val="nil"/>
              <w:right w:val="nil"/>
            </w:tcBorders>
            <w:shd w:val="clear" w:color="auto" w:fill="auto"/>
            <w:vAlign w:val="center"/>
            <w:hideMark/>
          </w:tcPr>
          <w:p w14:paraId="581987BD" w14:textId="77777777" w:rsidR="00B22E86" w:rsidRPr="00B22E86" w:rsidRDefault="00B22E86" w:rsidP="00B22E86">
            <w:pPr>
              <w:tabs>
                <w:tab w:val="left" w:pos="170"/>
              </w:tabs>
              <w:spacing w:after="0" w:line="240" w:lineRule="auto"/>
              <w:ind w:left="170" w:hanging="170"/>
              <w:jc w:val="both"/>
              <w:rPr>
                <w:rFonts w:ascii="Arial" w:eastAsia="Times New Roman" w:hAnsi="Arial" w:cs="Arial"/>
                <w:sz w:val="15"/>
                <w:szCs w:val="15"/>
                <w:lang w:eastAsia="el-GR"/>
              </w:rPr>
            </w:pPr>
            <w:r w:rsidRPr="00B22E86">
              <w:rPr>
                <w:rFonts w:ascii="Arial" w:eastAsia="Times New Roman" w:hAnsi="Arial" w:cs="Arial"/>
                <w:sz w:val="15"/>
                <w:szCs w:val="15"/>
                <w:vertAlign w:val="superscript"/>
                <w:lang w:eastAsia="el-GR"/>
              </w:rPr>
              <w:t>2</w:t>
            </w:r>
            <w:r w:rsidRPr="00B22E86">
              <w:rPr>
                <w:rFonts w:ascii="Arial" w:eastAsia="Times New Roman" w:hAnsi="Arial" w:cs="Arial"/>
                <w:sz w:val="15"/>
                <w:szCs w:val="15"/>
                <w:lang w:eastAsia="el-GR"/>
              </w:rPr>
              <w:tab/>
              <w:t>Τα έσοδα του ΤΑΑ περιέχονται στις μεταβιβάσεις, ενώ οι αντίστοιχες δαπάνες περιέχονται στις πιστώσεις υπό κατανομή.</w:t>
            </w:r>
          </w:p>
        </w:tc>
      </w:tr>
      <w:tr w:rsidR="00B22E86" w:rsidRPr="00B22E86" w14:paraId="7C2EC0F0" w14:textId="77777777" w:rsidTr="00B22E86">
        <w:trPr>
          <w:cantSplit/>
          <w:jc w:val="center"/>
        </w:trPr>
        <w:tc>
          <w:tcPr>
            <w:tcW w:w="11197" w:type="dxa"/>
            <w:gridSpan w:val="5"/>
            <w:tcBorders>
              <w:top w:val="nil"/>
              <w:left w:val="nil"/>
              <w:bottom w:val="nil"/>
              <w:right w:val="nil"/>
            </w:tcBorders>
            <w:shd w:val="clear" w:color="auto" w:fill="auto"/>
            <w:vAlign w:val="center"/>
            <w:hideMark/>
          </w:tcPr>
          <w:p w14:paraId="54167260" w14:textId="77777777" w:rsidR="00B22E86" w:rsidRPr="00B22E86" w:rsidRDefault="00B22E86" w:rsidP="00B22E86">
            <w:pPr>
              <w:tabs>
                <w:tab w:val="left" w:pos="170"/>
              </w:tabs>
              <w:spacing w:after="0" w:line="240" w:lineRule="auto"/>
              <w:ind w:left="170" w:hanging="170"/>
              <w:jc w:val="both"/>
              <w:rPr>
                <w:rFonts w:ascii="Arial" w:eastAsia="Times New Roman" w:hAnsi="Arial" w:cs="Arial"/>
                <w:sz w:val="15"/>
                <w:szCs w:val="15"/>
                <w:lang w:eastAsia="el-GR"/>
              </w:rPr>
            </w:pPr>
            <w:r w:rsidRPr="00B22E86">
              <w:rPr>
                <w:rFonts w:ascii="Arial" w:eastAsia="Times New Roman" w:hAnsi="Arial" w:cs="Arial"/>
                <w:sz w:val="15"/>
                <w:szCs w:val="15"/>
                <w:vertAlign w:val="superscript"/>
                <w:lang w:eastAsia="el-GR"/>
              </w:rPr>
              <w:t>3</w:t>
            </w:r>
            <w:r w:rsidRPr="00B22E86">
              <w:rPr>
                <w:rFonts w:ascii="Arial" w:eastAsia="Times New Roman" w:hAnsi="Arial" w:cs="Arial"/>
                <w:sz w:val="15"/>
                <w:szCs w:val="15"/>
                <w:lang w:eastAsia="el-GR"/>
              </w:rPr>
              <w:tab/>
              <w:t xml:space="preserve">Οι δαπάνες της Κεντρικής Διοίκησης αναλύονται σύμφωνα με τις μείζονες κατηγορίες του </w:t>
            </w:r>
            <w:proofErr w:type="spellStart"/>
            <w:r w:rsidRPr="00B22E86">
              <w:rPr>
                <w:rFonts w:ascii="Arial" w:eastAsia="Times New Roman" w:hAnsi="Arial" w:cs="Arial"/>
                <w:sz w:val="15"/>
                <w:szCs w:val="15"/>
                <w:lang w:eastAsia="el-GR"/>
              </w:rPr>
              <w:t>π.δ.</w:t>
            </w:r>
            <w:proofErr w:type="spellEnd"/>
            <w:r w:rsidRPr="00B22E86">
              <w:rPr>
                <w:rFonts w:ascii="Arial" w:eastAsia="Times New Roman" w:hAnsi="Arial" w:cs="Arial"/>
                <w:sz w:val="15"/>
                <w:szCs w:val="15"/>
                <w:lang w:eastAsia="el-GR"/>
              </w:rPr>
              <w:t xml:space="preserve"> 54/2018 (Α’ 103).</w:t>
            </w:r>
          </w:p>
        </w:tc>
      </w:tr>
    </w:tbl>
    <w:p w14:paraId="7E44148B" w14:textId="77777777" w:rsidR="006558D8" w:rsidRPr="00E71EED" w:rsidRDefault="006558D8" w:rsidP="008438E9">
      <w:pPr>
        <w:jc w:val="both"/>
        <w:rPr>
          <w:b/>
          <w:color w:val="2F5496" w:themeColor="accent1" w:themeShade="BF"/>
        </w:rPr>
      </w:pPr>
    </w:p>
    <w:p w14:paraId="6FE6163D" w14:textId="615DB8A1" w:rsidR="009A2C5C" w:rsidRDefault="009A2C5C" w:rsidP="009A2C5C">
      <w:pPr>
        <w:jc w:val="both"/>
      </w:pPr>
      <w:r w:rsidRPr="004C18B5">
        <w:t>Ο προϋπολογισμός των φορέων της Κεντρικής Διοίκησης (Προεδρία της Δημοκρατίας, Βουλή των Ελλήνων, Προεδρία της Κυβέρνησης, Υπουργεία και Αποκεντρωμένες Διοικήσεις) καταρτίζεται και εκτελείται σε ταμειακή βάση. Στον κρατικό προϋπολογισμό (τακτικός προϋπολογισμός και προϋπολογισμός</w:t>
      </w:r>
      <w:r w:rsidRPr="004C18B5" w:rsidDel="001E43F6">
        <w:t xml:space="preserve"> </w:t>
      </w:r>
      <w:r w:rsidRPr="004C18B5">
        <w:t>δημοσίων επενδύσεων) προβλέπονται ανώτατα όρια δαπανών για κάθε φορέα</w:t>
      </w:r>
      <w:r w:rsidRPr="002776DA">
        <w:rPr>
          <w:szCs w:val="20"/>
        </w:rPr>
        <w:t>. Στον</w:t>
      </w:r>
      <w:r w:rsidRPr="004C18B5">
        <w:rPr>
          <w:szCs w:val="20"/>
        </w:rPr>
        <w:t xml:space="preserve"> εν λόγω πίνακα περιλαμβάνονται οι μη χρηματοοικονομικές δαπάνες του</w:t>
      </w:r>
      <w:r w:rsidRPr="004C18B5">
        <w:t xml:space="preserve"> κρατικού προϋπολογισμού.</w:t>
      </w:r>
    </w:p>
    <w:tbl>
      <w:tblPr>
        <w:tblW w:w="1016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Look w:val="04A0" w:firstRow="1" w:lastRow="0" w:firstColumn="1" w:lastColumn="0" w:noHBand="0" w:noVBand="1"/>
      </w:tblPr>
      <w:tblGrid>
        <w:gridCol w:w="458"/>
        <w:gridCol w:w="2944"/>
        <w:gridCol w:w="2127"/>
        <w:gridCol w:w="1559"/>
        <w:gridCol w:w="1559"/>
        <w:gridCol w:w="1517"/>
      </w:tblGrid>
      <w:tr w:rsidR="00E71EED" w:rsidRPr="001B5C3E" w14:paraId="1EAB3D70" w14:textId="77777777" w:rsidTr="006A71D3">
        <w:trPr>
          <w:trHeight w:val="624"/>
          <w:tblHeader/>
          <w:jc w:val="center"/>
        </w:trPr>
        <w:tc>
          <w:tcPr>
            <w:tcW w:w="10164" w:type="dxa"/>
            <w:gridSpan w:val="6"/>
            <w:tcBorders>
              <w:top w:val="single" w:sz="4" w:space="0" w:color="808080" w:themeColor="background1" w:themeShade="80"/>
              <w:bottom w:val="single" w:sz="4" w:space="0" w:color="808080" w:themeColor="background1" w:themeShade="80"/>
            </w:tcBorders>
            <w:shd w:val="clear" w:color="000000" w:fill="D5DCE4"/>
            <w:vAlign w:val="center"/>
            <w:hideMark/>
          </w:tcPr>
          <w:p w14:paraId="0E16E065" w14:textId="52A92A2C" w:rsidR="00E71EED" w:rsidRPr="00E71EED" w:rsidRDefault="00E71EED" w:rsidP="006A71D3">
            <w:pPr>
              <w:spacing w:after="0"/>
              <w:jc w:val="center"/>
              <w:rPr>
                <w:rFonts w:ascii="Arial" w:hAnsi="Arial" w:cs="Arial"/>
                <w:b/>
                <w:bCs/>
                <w:color w:val="000000"/>
                <w:sz w:val="16"/>
                <w:szCs w:val="16"/>
              </w:rPr>
            </w:pPr>
            <w:bookmarkStart w:id="6" w:name="RANGE!A1:I147"/>
            <w:bookmarkStart w:id="7" w:name="_Toc182928039"/>
            <w:bookmarkStart w:id="8" w:name="_Hlk182950582"/>
            <w:r w:rsidRPr="00E71EED">
              <w:rPr>
                <w:rFonts w:ascii="Arial" w:hAnsi="Arial" w:cs="Arial"/>
                <w:b/>
                <w:bCs/>
                <w:color w:val="000000"/>
                <w:sz w:val="16"/>
                <w:szCs w:val="16"/>
              </w:rPr>
              <w:t>Ανώτατα όρια δαπανών φορέων Κεντρικής Διοίκησης κρατικού προϋπολογισμού σε ταμειακή και δεδουλευμένη βάση σύμφωνα με τη μεθοδολογία ESA για τα έτη 2024 και 2025 (σε εκατ. ευρώ)</w:t>
            </w:r>
            <w:bookmarkEnd w:id="6"/>
            <w:bookmarkEnd w:id="7"/>
          </w:p>
        </w:tc>
      </w:tr>
      <w:tr w:rsidR="00E71EED" w:rsidRPr="001B5C3E" w14:paraId="1D264959" w14:textId="77777777" w:rsidTr="006A71D3">
        <w:trPr>
          <w:trHeight w:val="260"/>
          <w:tblHeader/>
          <w:jc w:val="center"/>
        </w:trPr>
        <w:tc>
          <w:tcPr>
            <w:tcW w:w="458" w:type="dxa"/>
            <w:vMerge w:val="restart"/>
            <w:tcBorders>
              <w:top w:val="single" w:sz="4" w:space="0" w:color="808080" w:themeColor="background1" w:themeShade="80"/>
              <w:bottom w:val="nil"/>
            </w:tcBorders>
            <w:shd w:val="clear" w:color="auto" w:fill="F2F2F2" w:themeFill="background1" w:themeFillShade="F2"/>
            <w:vAlign w:val="center"/>
            <w:hideMark/>
          </w:tcPr>
          <w:p w14:paraId="2A60B4C0" w14:textId="77777777" w:rsidR="00E71EED" w:rsidRPr="00E71EED" w:rsidRDefault="00E71EED" w:rsidP="006A71D3">
            <w:pPr>
              <w:spacing w:after="0"/>
              <w:jc w:val="center"/>
              <w:rPr>
                <w:rFonts w:ascii="Arial" w:hAnsi="Arial" w:cs="Arial"/>
                <w:b/>
                <w:bCs/>
                <w:color w:val="000000"/>
                <w:sz w:val="16"/>
                <w:szCs w:val="16"/>
              </w:rPr>
            </w:pPr>
            <w:r w:rsidRPr="00E71EED">
              <w:rPr>
                <w:rFonts w:ascii="Arial" w:hAnsi="Arial" w:cs="Arial"/>
                <w:b/>
                <w:bCs/>
                <w:color w:val="000000"/>
                <w:sz w:val="16"/>
                <w:szCs w:val="16"/>
              </w:rPr>
              <w:t>α/α</w:t>
            </w:r>
          </w:p>
        </w:tc>
        <w:tc>
          <w:tcPr>
            <w:tcW w:w="2944" w:type="dxa"/>
            <w:vMerge w:val="restart"/>
            <w:tcBorders>
              <w:top w:val="single" w:sz="4" w:space="0" w:color="808080" w:themeColor="background1" w:themeShade="80"/>
              <w:bottom w:val="nil"/>
            </w:tcBorders>
            <w:shd w:val="clear" w:color="auto" w:fill="F2F2F2" w:themeFill="background1" w:themeFillShade="F2"/>
            <w:vAlign w:val="center"/>
            <w:hideMark/>
          </w:tcPr>
          <w:p w14:paraId="5B02F307" w14:textId="77777777" w:rsidR="00E71EED" w:rsidRPr="00E71EED" w:rsidRDefault="00E71EED" w:rsidP="006A71D3">
            <w:pPr>
              <w:spacing w:after="0"/>
              <w:jc w:val="center"/>
              <w:rPr>
                <w:rFonts w:ascii="Arial" w:hAnsi="Arial" w:cs="Arial"/>
                <w:b/>
                <w:bCs/>
                <w:color w:val="000000"/>
                <w:sz w:val="16"/>
                <w:szCs w:val="16"/>
              </w:rPr>
            </w:pPr>
            <w:r w:rsidRPr="00E71EED">
              <w:rPr>
                <w:rFonts w:ascii="Arial" w:hAnsi="Arial" w:cs="Arial"/>
                <w:b/>
                <w:bCs/>
                <w:color w:val="000000"/>
                <w:sz w:val="16"/>
                <w:szCs w:val="16"/>
              </w:rPr>
              <w:t>Φορέας Κεντρικής Διοίκησης -</w:t>
            </w:r>
          </w:p>
          <w:p w14:paraId="1B32461C" w14:textId="77777777" w:rsidR="00E71EED" w:rsidRPr="00E71EED" w:rsidRDefault="00E71EED" w:rsidP="006A71D3">
            <w:pPr>
              <w:spacing w:after="0"/>
              <w:jc w:val="center"/>
              <w:rPr>
                <w:rFonts w:ascii="Arial" w:hAnsi="Arial" w:cs="Arial"/>
                <w:b/>
                <w:bCs/>
                <w:color w:val="000000"/>
                <w:sz w:val="16"/>
                <w:szCs w:val="16"/>
              </w:rPr>
            </w:pPr>
            <w:r w:rsidRPr="00E71EED">
              <w:rPr>
                <w:rFonts w:ascii="Arial" w:hAnsi="Arial" w:cs="Arial"/>
                <w:b/>
                <w:bCs/>
                <w:color w:val="000000"/>
                <w:sz w:val="16"/>
                <w:szCs w:val="16"/>
              </w:rPr>
              <w:t>Προϋπολογισμός</w:t>
            </w:r>
          </w:p>
        </w:tc>
        <w:tc>
          <w:tcPr>
            <w:tcW w:w="2127" w:type="dxa"/>
            <w:vMerge w:val="restart"/>
            <w:tcBorders>
              <w:top w:val="single" w:sz="4" w:space="0" w:color="808080" w:themeColor="background1" w:themeShade="80"/>
              <w:bottom w:val="nil"/>
            </w:tcBorders>
            <w:shd w:val="clear" w:color="auto" w:fill="F2F2F2" w:themeFill="background1" w:themeFillShade="F2"/>
            <w:noWrap/>
            <w:vAlign w:val="center"/>
            <w:hideMark/>
          </w:tcPr>
          <w:p w14:paraId="72B86F98" w14:textId="77777777" w:rsidR="00E71EED" w:rsidRPr="00E71EED" w:rsidRDefault="00E71EED" w:rsidP="006A71D3">
            <w:pPr>
              <w:spacing w:after="0"/>
              <w:jc w:val="center"/>
              <w:rPr>
                <w:rFonts w:ascii="Arial" w:hAnsi="Arial" w:cs="Arial"/>
                <w:b/>
                <w:bCs/>
                <w:color w:val="000000"/>
                <w:sz w:val="16"/>
                <w:szCs w:val="16"/>
              </w:rPr>
            </w:pPr>
          </w:p>
        </w:tc>
        <w:tc>
          <w:tcPr>
            <w:tcW w:w="3118" w:type="dxa"/>
            <w:gridSpan w:val="2"/>
            <w:tcBorders>
              <w:top w:val="single" w:sz="4" w:space="0" w:color="808080" w:themeColor="background1" w:themeShade="80"/>
              <w:bottom w:val="nil"/>
            </w:tcBorders>
            <w:shd w:val="clear" w:color="auto" w:fill="F2F2F2" w:themeFill="background1" w:themeFillShade="F2"/>
            <w:noWrap/>
            <w:vAlign w:val="center"/>
            <w:hideMark/>
          </w:tcPr>
          <w:p w14:paraId="289E08BD" w14:textId="77777777" w:rsidR="00E71EED" w:rsidRPr="00E71EED" w:rsidRDefault="00E71EED" w:rsidP="006A71D3">
            <w:pPr>
              <w:spacing w:after="0"/>
              <w:jc w:val="center"/>
              <w:rPr>
                <w:rFonts w:ascii="Arial" w:hAnsi="Arial" w:cs="Arial"/>
                <w:b/>
                <w:bCs/>
                <w:color w:val="000000"/>
                <w:sz w:val="16"/>
                <w:szCs w:val="16"/>
              </w:rPr>
            </w:pPr>
            <w:r w:rsidRPr="00E71EED">
              <w:rPr>
                <w:rFonts w:ascii="Arial" w:hAnsi="Arial" w:cs="Arial"/>
                <w:b/>
                <w:bCs/>
                <w:color w:val="000000"/>
                <w:sz w:val="16"/>
                <w:szCs w:val="16"/>
              </w:rPr>
              <w:t>2024</w:t>
            </w:r>
          </w:p>
        </w:tc>
        <w:tc>
          <w:tcPr>
            <w:tcW w:w="1517" w:type="dxa"/>
            <w:tcBorders>
              <w:top w:val="single" w:sz="4" w:space="0" w:color="808080" w:themeColor="background1" w:themeShade="80"/>
              <w:bottom w:val="nil"/>
            </w:tcBorders>
            <w:shd w:val="clear" w:color="auto" w:fill="F2F2F2" w:themeFill="background1" w:themeFillShade="F2"/>
            <w:noWrap/>
            <w:vAlign w:val="center"/>
            <w:hideMark/>
          </w:tcPr>
          <w:p w14:paraId="51C21180" w14:textId="77777777" w:rsidR="00E71EED" w:rsidRPr="00E71EED" w:rsidRDefault="00E71EED" w:rsidP="006A71D3">
            <w:pPr>
              <w:spacing w:after="0"/>
              <w:jc w:val="center"/>
              <w:rPr>
                <w:rFonts w:ascii="Arial" w:hAnsi="Arial" w:cs="Arial"/>
                <w:b/>
                <w:bCs/>
                <w:color w:val="000000"/>
                <w:sz w:val="16"/>
                <w:szCs w:val="16"/>
              </w:rPr>
            </w:pPr>
            <w:r w:rsidRPr="00E71EED">
              <w:rPr>
                <w:rFonts w:ascii="Arial" w:hAnsi="Arial" w:cs="Arial"/>
                <w:b/>
                <w:bCs/>
                <w:color w:val="000000"/>
                <w:sz w:val="16"/>
                <w:szCs w:val="16"/>
              </w:rPr>
              <w:t>2025</w:t>
            </w:r>
          </w:p>
        </w:tc>
      </w:tr>
      <w:tr w:rsidR="00E71EED" w:rsidRPr="001B5C3E" w14:paraId="6FAE1136" w14:textId="77777777" w:rsidTr="006A71D3">
        <w:trPr>
          <w:trHeight w:val="244"/>
          <w:tblHeader/>
          <w:jc w:val="center"/>
        </w:trPr>
        <w:tc>
          <w:tcPr>
            <w:tcW w:w="458" w:type="dxa"/>
            <w:vMerge/>
            <w:tcBorders>
              <w:top w:val="nil"/>
              <w:bottom w:val="single" w:sz="4" w:space="0" w:color="808080" w:themeColor="background1" w:themeShade="80"/>
            </w:tcBorders>
            <w:shd w:val="clear" w:color="auto" w:fill="F2F2F2" w:themeFill="background1" w:themeFillShade="F2"/>
            <w:vAlign w:val="center"/>
            <w:hideMark/>
          </w:tcPr>
          <w:p w14:paraId="60D899BF" w14:textId="77777777" w:rsidR="00E71EED" w:rsidRPr="00E71EED" w:rsidRDefault="00E71EED" w:rsidP="006A71D3">
            <w:pPr>
              <w:spacing w:after="0"/>
              <w:jc w:val="center"/>
              <w:rPr>
                <w:rFonts w:ascii="Arial" w:hAnsi="Arial" w:cs="Arial"/>
                <w:b/>
                <w:bCs/>
                <w:color w:val="000000"/>
                <w:sz w:val="16"/>
                <w:szCs w:val="16"/>
              </w:rPr>
            </w:pPr>
          </w:p>
        </w:tc>
        <w:tc>
          <w:tcPr>
            <w:tcW w:w="2944" w:type="dxa"/>
            <w:vMerge/>
            <w:tcBorders>
              <w:top w:val="nil"/>
              <w:bottom w:val="single" w:sz="4" w:space="0" w:color="808080" w:themeColor="background1" w:themeShade="80"/>
            </w:tcBorders>
            <w:shd w:val="clear" w:color="auto" w:fill="F2F2F2" w:themeFill="background1" w:themeFillShade="F2"/>
            <w:vAlign w:val="center"/>
            <w:hideMark/>
          </w:tcPr>
          <w:p w14:paraId="708F19FD" w14:textId="77777777" w:rsidR="00E71EED" w:rsidRPr="00E71EED" w:rsidRDefault="00E71EED" w:rsidP="006A71D3">
            <w:pPr>
              <w:spacing w:after="0"/>
              <w:jc w:val="center"/>
              <w:rPr>
                <w:rFonts w:ascii="Arial" w:hAnsi="Arial" w:cs="Arial"/>
                <w:b/>
                <w:bCs/>
                <w:color w:val="000000"/>
                <w:sz w:val="16"/>
                <w:szCs w:val="16"/>
              </w:rPr>
            </w:pPr>
          </w:p>
        </w:tc>
        <w:tc>
          <w:tcPr>
            <w:tcW w:w="2127" w:type="dxa"/>
            <w:vMerge/>
            <w:tcBorders>
              <w:top w:val="nil"/>
              <w:bottom w:val="single" w:sz="4" w:space="0" w:color="808080" w:themeColor="background1" w:themeShade="80"/>
            </w:tcBorders>
            <w:shd w:val="clear" w:color="auto" w:fill="F2F2F2" w:themeFill="background1" w:themeFillShade="F2"/>
            <w:noWrap/>
            <w:vAlign w:val="center"/>
            <w:hideMark/>
          </w:tcPr>
          <w:p w14:paraId="3CE4E470" w14:textId="77777777" w:rsidR="00E71EED" w:rsidRPr="00E71EED" w:rsidRDefault="00E71EED" w:rsidP="006A71D3">
            <w:pPr>
              <w:spacing w:after="0"/>
              <w:jc w:val="center"/>
              <w:rPr>
                <w:rFonts w:ascii="Arial" w:hAnsi="Arial" w:cs="Arial"/>
                <w:b/>
                <w:bCs/>
                <w:color w:val="000000"/>
                <w:sz w:val="16"/>
                <w:szCs w:val="16"/>
              </w:rPr>
            </w:pPr>
          </w:p>
        </w:tc>
        <w:tc>
          <w:tcPr>
            <w:tcW w:w="1559" w:type="dxa"/>
            <w:tcBorders>
              <w:top w:val="nil"/>
              <w:bottom w:val="single" w:sz="4" w:space="0" w:color="808080" w:themeColor="background1" w:themeShade="80"/>
            </w:tcBorders>
            <w:shd w:val="clear" w:color="auto" w:fill="F2F2F2" w:themeFill="background1" w:themeFillShade="F2"/>
            <w:vAlign w:val="center"/>
            <w:hideMark/>
          </w:tcPr>
          <w:p w14:paraId="341C7B53" w14:textId="77777777" w:rsidR="00E71EED" w:rsidRPr="00E71EED" w:rsidRDefault="00E71EED" w:rsidP="006A71D3">
            <w:pPr>
              <w:spacing w:after="0"/>
              <w:jc w:val="center"/>
              <w:rPr>
                <w:rFonts w:ascii="Arial" w:hAnsi="Arial" w:cs="Arial"/>
                <w:b/>
                <w:bCs/>
                <w:color w:val="000000"/>
                <w:sz w:val="16"/>
                <w:szCs w:val="16"/>
              </w:rPr>
            </w:pPr>
            <w:r w:rsidRPr="00E71EED">
              <w:rPr>
                <w:rFonts w:ascii="Arial" w:hAnsi="Arial" w:cs="Arial"/>
                <w:b/>
                <w:bCs/>
                <w:color w:val="000000"/>
                <w:sz w:val="16"/>
                <w:szCs w:val="16"/>
              </w:rPr>
              <w:t>Προϋπολογισμός</w:t>
            </w:r>
          </w:p>
        </w:tc>
        <w:tc>
          <w:tcPr>
            <w:tcW w:w="1559" w:type="dxa"/>
            <w:tcBorders>
              <w:top w:val="nil"/>
              <w:bottom w:val="single" w:sz="4" w:space="0" w:color="808080" w:themeColor="background1" w:themeShade="80"/>
            </w:tcBorders>
            <w:shd w:val="clear" w:color="auto" w:fill="F2F2F2" w:themeFill="background1" w:themeFillShade="F2"/>
            <w:noWrap/>
            <w:vAlign w:val="center"/>
            <w:hideMark/>
          </w:tcPr>
          <w:p w14:paraId="43B3E270" w14:textId="77777777" w:rsidR="00E71EED" w:rsidRPr="00E71EED" w:rsidRDefault="00E71EED" w:rsidP="006A71D3">
            <w:pPr>
              <w:spacing w:after="0"/>
              <w:jc w:val="center"/>
              <w:rPr>
                <w:rFonts w:ascii="Arial" w:hAnsi="Arial" w:cs="Arial"/>
                <w:b/>
                <w:bCs/>
                <w:color w:val="000000"/>
                <w:sz w:val="16"/>
                <w:szCs w:val="16"/>
              </w:rPr>
            </w:pPr>
            <w:r w:rsidRPr="00E71EED">
              <w:rPr>
                <w:rFonts w:ascii="Arial" w:hAnsi="Arial" w:cs="Arial"/>
                <w:b/>
                <w:bCs/>
                <w:color w:val="000000"/>
                <w:sz w:val="16"/>
                <w:szCs w:val="16"/>
              </w:rPr>
              <w:t>Εκτιμήσεις</w:t>
            </w:r>
            <w:r w:rsidRPr="00E71EED">
              <w:rPr>
                <w:rFonts w:ascii="Arial" w:hAnsi="Arial" w:cs="Arial"/>
                <w:b/>
                <w:bCs/>
                <w:color w:val="000000"/>
                <w:sz w:val="16"/>
                <w:szCs w:val="16"/>
                <w:vertAlign w:val="superscript"/>
              </w:rPr>
              <w:t>1</w:t>
            </w:r>
          </w:p>
        </w:tc>
        <w:tc>
          <w:tcPr>
            <w:tcW w:w="1517" w:type="dxa"/>
            <w:tcBorders>
              <w:top w:val="nil"/>
              <w:bottom w:val="single" w:sz="4" w:space="0" w:color="808080" w:themeColor="background1" w:themeShade="80"/>
            </w:tcBorders>
            <w:shd w:val="clear" w:color="auto" w:fill="F2F2F2" w:themeFill="background1" w:themeFillShade="F2"/>
            <w:noWrap/>
            <w:vAlign w:val="center"/>
            <w:hideMark/>
          </w:tcPr>
          <w:p w14:paraId="6702C0DF" w14:textId="77777777" w:rsidR="00E71EED" w:rsidRPr="00E71EED" w:rsidRDefault="00E71EED" w:rsidP="006A71D3">
            <w:pPr>
              <w:spacing w:after="0"/>
              <w:jc w:val="center"/>
              <w:rPr>
                <w:rFonts w:ascii="Arial" w:hAnsi="Arial" w:cs="Arial"/>
                <w:b/>
                <w:bCs/>
                <w:color w:val="000000"/>
                <w:sz w:val="16"/>
                <w:szCs w:val="16"/>
              </w:rPr>
            </w:pPr>
            <w:r w:rsidRPr="00E71EED">
              <w:rPr>
                <w:rFonts w:ascii="Arial" w:hAnsi="Arial" w:cs="Arial"/>
                <w:b/>
                <w:bCs/>
                <w:color w:val="000000"/>
                <w:sz w:val="16"/>
                <w:szCs w:val="16"/>
              </w:rPr>
              <w:t>Προβλέψεις</w:t>
            </w:r>
            <w:r w:rsidRPr="00E71EED">
              <w:rPr>
                <w:rFonts w:ascii="Arial" w:hAnsi="Arial" w:cs="Arial"/>
                <w:b/>
                <w:bCs/>
                <w:color w:val="000000"/>
                <w:sz w:val="16"/>
                <w:szCs w:val="16"/>
                <w:vertAlign w:val="superscript"/>
              </w:rPr>
              <w:t>3</w:t>
            </w:r>
          </w:p>
        </w:tc>
      </w:tr>
      <w:tr w:rsidR="00E71EED" w:rsidRPr="001B5C3E" w14:paraId="3DD4F0A8" w14:textId="77777777" w:rsidTr="006A71D3">
        <w:trPr>
          <w:cantSplit/>
          <w:jc w:val="center"/>
        </w:trPr>
        <w:tc>
          <w:tcPr>
            <w:tcW w:w="458" w:type="dxa"/>
            <w:tcBorders>
              <w:top w:val="single" w:sz="4" w:space="0" w:color="808080" w:themeColor="background1" w:themeShade="80"/>
            </w:tcBorders>
            <w:shd w:val="clear" w:color="auto" w:fill="D5DCE4"/>
            <w:vAlign w:val="center"/>
            <w:hideMark/>
          </w:tcPr>
          <w:p w14:paraId="03D73B8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w:t>
            </w:r>
          </w:p>
        </w:tc>
        <w:tc>
          <w:tcPr>
            <w:tcW w:w="2944" w:type="dxa"/>
            <w:tcBorders>
              <w:top w:val="single" w:sz="4" w:space="0" w:color="808080" w:themeColor="background1" w:themeShade="80"/>
            </w:tcBorders>
            <w:shd w:val="clear" w:color="auto" w:fill="D5DCE4"/>
            <w:vAlign w:val="center"/>
            <w:hideMark/>
          </w:tcPr>
          <w:p w14:paraId="73138E12"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Προεδρία της Δημοκρατίας</w:t>
            </w:r>
          </w:p>
        </w:tc>
        <w:tc>
          <w:tcPr>
            <w:tcW w:w="2127" w:type="dxa"/>
            <w:tcBorders>
              <w:top w:val="single" w:sz="4" w:space="0" w:color="808080" w:themeColor="background1" w:themeShade="80"/>
            </w:tcBorders>
            <w:shd w:val="clear" w:color="auto" w:fill="D5DCE4"/>
            <w:noWrap/>
            <w:vAlign w:val="center"/>
            <w:hideMark/>
          </w:tcPr>
          <w:p w14:paraId="503E352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tcBorders>
              <w:top w:val="single" w:sz="4" w:space="0" w:color="808080" w:themeColor="background1" w:themeShade="80"/>
            </w:tcBorders>
            <w:shd w:val="clear" w:color="auto" w:fill="D5DCE4"/>
            <w:noWrap/>
            <w:vAlign w:val="center"/>
            <w:hideMark/>
          </w:tcPr>
          <w:p w14:paraId="7D8B3499"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5</w:t>
            </w:r>
          </w:p>
        </w:tc>
        <w:tc>
          <w:tcPr>
            <w:tcW w:w="1559" w:type="dxa"/>
            <w:tcBorders>
              <w:top w:val="single" w:sz="4" w:space="0" w:color="808080" w:themeColor="background1" w:themeShade="80"/>
            </w:tcBorders>
            <w:shd w:val="clear" w:color="auto" w:fill="D5DCE4"/>
            <w:noWrap/>
            <w:vAlign w:val="center"/>
            <w:hideMark/>
          </w:tcPr>
          <w:p w14:paraId="606DBA55"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5</w:t>
            </w:r>
          </w:p>
        </w:tc>
        <w:tc>
          <w:tcPr>
            <w:tcW w:w="1517" w:type="dxa"/>
            <w:tcBorders>
              <w:top w:val="single" w:sz="4" w:space="0" w:color="808080" w:themeColor="background1" w:themeShade="80"/>
            </w:tcBorders>
            <w:shd w:val="clear" w:color="auto" w:fill="D5DCE4"/>
            <w:noWrap/>
            <w:vAlign w:val="center"/>
            <w:hideMark/>
          </w:tcPr>
          <w:p w14:paraId="6C922651"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5</w:t>
            </w:r>
          </w:p>
        </w:tc>
      </w:tr>
      <w:tr w:rsidR="00E71EED" w:rsidRPr="001B5C3E" w14:paraId="6622B732" w14:textId="77777777" w:rsidTr="006A71D3">
        <w:trPr>
          <w:cantSplit/>
          <w:jc w:val="center"/>
        </w:trPr>
        <w:tc>
          <w:tcPr>
            <w:tcW w:w="458" w:type="dxa"/>
            <w:shd w:val="clear" w:color="000000" w:fill="FFFFFF"/>
            <w:vAlign w:val="center"/>
            <w:hideMark/>
          </w:tcPr>
          <w:p w14:paraId="2D2120F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tcPr>
          <w:p w14:paraId="6AFB807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hideMark/>
          </w:tcPr>
          <w:p w14:paraId="4D7B7CE4"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15730AD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w:t>
            </w:r>
          </w:p>
        </w:tc>
        <w:tc>
          <w:tcPr>
            <w:tcW w:w="1559" w:type="dxa"/>
            <w:shd w:val="clear" w:color="000000" w:fill="FFFFFF"/>
            <w:noWrap/>
            <w:vAlign w:val="center"/>
            <w:hideMark/>
          </w:tcPr>
          <w:p w14:paraId="79730BE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w:t>
            </w:r>
          </w:p>
        </w:tc>
        <w:tc>
          <w:tcPr>
            <w:tcW w:w="1517" w:type="dxa"/>
            <w:shd w:val="clear" w:color="000000" w:fill="FFFFFF"/>
            <w:noWrap/>
            <w:vAlign w:val="center"/>
            <w:hideMark/>
          </w:tcPr>
          <w:p w14:paraId="4D9B9EA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w:t>
            </w:r>
          </w:p>
        </w:tc>
      </w:tr>
      <w:tr w:rsidR="00E71EED" w:rsidRPr="001B5C3E" w14:paraId="5D9FC028" w14:textId="77777777" w:rsidTr="006A71D3">
        <w:trPr>
          <w:cantSplit/>
          <w:jc w:val="center"/>
        </w:trPr>
        <w:tc>
          <w:tcPr>
            <w:tcW w:w="458" w:type="dxa"/>
            <w:shd w:val="clear" w:color="000000" w:fill="FFFFFF"/>
            <w:vAlign w:val="center"/>
          </w:tcPr>
          <w:p w14:paraId="5CDAF864" w14:textId="77777777" w:rsidR="00E71EED" w:rsidRPr="00E71EED" w:rsidRDefault="00E71EED" w:rsidP="006A71D3">
            <w:pPr>
              <w:spacing w:after="0"/>
              <w:rPr>
                <w:rFonts w:ascii="Arial" w:hAnsi="Arial" w:cs="Arial"/>
                <w:color w:val="000000"/>
                <w:sz w:val="16"/>
                <w:szCs w:val="16"/>
              </w:rPr>
            </w:pPr>
          </w:p>
        </w:tc>
        <w:tc>
          <w:tcPr>
            <w:tcW w:w="2944" w:type="dxa"/>
            <w:shd w:val="clear" w:color="000000" w:fill="FFFFFF"/>
            <w:vAlign w:val="center"/>
          </w:tcPr>
          <w:p w14:paraId="5777FE8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316B5D1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tcPr>
          <w:p w14:paraId="7EDF77CC" w14:textId="77777777" w:rsidR="00E71EED" w:rsidRPr="00E71EED" w:rsidRDefault="00E71EED" w:rsidP="006A71D3">
            <w:pPr>
              <w:spacing w:after="0"/>
              <w:jc w:val="right"/>
              <w:rPr>
                <w:rFonts w:ascii="Arial" w:hAnsi="Arial" w:cs="Arial"/>
                <w:color w:val="000000"/>
                <w:sz w:val="16"/>
                <w:szCs w:val="16"/>
              </w:rPr>
            </w:pPr>
          </w:p>
        </w:tc>
        <w:tc>
          <w:tcPr>
            <w:tcW w:w="1559" w:type="dxa"/>
            <w:shd w:val="clear" w:color="000000" w:fill="FFFFFF"/>
            <w:noWrap/>
            <w:vAlign w:val="center"/>
          </w:tcPr>
          <w:p w14:paraId="5E03C6A4" w14:textId="77777777" w:rsidR="00E71EED" w:rsidRPr="00E71EED" w:rsidRDefault="00E71EED" w:rsidP="006A71D3">
            <w:pPr>
              <w:spacing w:after="0"/>
              <w:jc w:val="right"/>
              <w:rPr>
                <w:rFonts w:ascii="Arial" w:hAnsi="Arial" w:cs="Arial"/>
                <w:color w:val="000000"/>
                <w:sz w:val="16"/>
                <w:szCs w:val="16"/>
              </w:rPr>
            </w:pPr>
          </w:p>
        </w:tc>
        <w:tc>
          <w:tcPr>
            <w:tcW w:w="1517" w:type="dxa"/>
            <w:shd w:val="clear" w:color="000000" w:fill="FFFFFF"/>
            <w:noWrap/>
            <w:vAlign w:val="center"/>
          </w:tcPr>
          <w:p w14:paraId="51E87365" w14:textId="77777777" w:rsidR="00E71EED" w:rsidRPr="00E71EED" w:rsidRDefault="00E71EED" w:rsidP="006A71D3">
            <w:pPr>
              <w:spacing w:after="0"/>
              <w:jc w:val="right"/>
              <w:rPr>
                <w:rFonts w:ascii="Arial" w:hAnsi="Arial" w:cs="Arial"/>
                <w:color w:val="000000"/>
                <w:sz w:val="16"/>
                <w:szCs w:val="16"/>
              </w:rPr>
            </w:pPr>
          </w:p>
        </w:tc>
      </w:tr>
      <w:tr w:rsidR="00E71EED" w:rsidRPr="001B5C3E" w14:paraId="2133841E" w14:textId="77777777" w:rsidTr="006A71D3">
        <w:trPr>
          <w:cantSplit/>
          <w:jc w:val="center"/>
        </w:trPr>
        <w:tc>
          <w:tcPr>
            <w:tcW w:w="458" w:type="dxa"/>
            <w:shd w:val="clear" w:color="000000" w:fill="FFFFFF"/>
            <w:vAlign w:val="center"/>
            <w:hideMark/>
          </w:tcPr>
          <w:p w14:paraId="549BAFE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tcPr>
          <w:p w14:paraId="73B7DD93" w14:textId="77777777" w:rsidR="00E71EED" w:rsidRPr="00E71EED" w:rsidRDefault="00E71EED" w:rsidP="006A71D3">
            <w:pPr>
              <w:spacing w:after="0"/>
              <w:ind w:left="138"/>
              <w:rPr>
                <w:rFonts w:ascii="Arial" w:hAnsi="Arial" w:cs="Arial"/>
                <w:color w:val="000000"/>
                <w:sz w:val="16"/>
                <w:szCs w:val="16"/>
              </w:rPr>
            </w:pPr>
          </w:p>
        </w:tc>
        <w:tc>
          <w:tcPr>
            <w:tcW w:w="2127" w:type="dxa"/>
            <w:shd w:val="clear" w:color="000000" w:fill="FFFFFF"/>
            <w:noWrap/>
            <w:vAlign w:val="center"/>
          </w:tcPr>
          <w:p w14:paraId="6FBC3421" w14:textId="77777777" w:rsidR="00E71EED" w:rsidRPr="00E71EED" w:rsidRDefault="00E71EED" w:rsidP="006A71D3">
            <w:pPr>
              <w:spacing w:after="0"/>
              <w:ind w:left="28"/>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2228CD3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1254F71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6097235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1A95BBAD" w14:textId="77777777" w:rsidTr="006A71D3">
        <w:trPr>
          <w:cantSplit/>
          <w:jc w:val="center"/>
        </w:trPr>
        <w:tc>
          <w:tcPr>
            <w:tcW w:w="458" w:type="dxa"/>
            <w:shd w:val="clear" w:color="auto" w:fill="D5DCE4"/>
            <w:vAlign w:val="center"/>
            <w:hideMark/>
          </w:tcPr>
          <w:p w14:paraId="50603FA0"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w:t>
            </w:r>
          </w:p>
        </w:tc>
        <w:tc>
          <w:tcPr>
            <w:tcW w:w="2944" w:type="dxa"/>
            <w:shd w:val="clear" w:color="auto" w:fill="D5DCE4"/>
            <w:vAlign w:val="center"/>
            <w:hideMark/>
          </w:tcPr>
          <w:p w14:paraId="1775B6F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Βουλή των Ελλήνων</w:t>
            </w:r>
          </w:p>
        </w:tc>
        <w:tc>
          <w:tcPr>
            <w:tcW w:w="2127" w:type="dxa"/>
            <w:shd w:val="clear" w:color="auto" w:fill="D5DCE4"/>
            <w:noWrap/>
            <w:vAlign w:val="center"/>
            <w:hideMark/>
          </w:tcPr>
          <w:p w14:paraId="19F8F36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7E9E8FCE"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160</w:t>
            </w:r>
          </w:p>
        </w:tc>
        <w:tc>
          <w:tcPr>
            <w:tcW w:w="1559" w:type="dxa"/>
            <w:shd w:val="clear" w:color="auto" w:fill="D5DCE4"/>
            <w:noWrap/>
            <w:vAlign w:val="center"/>
            <w:hideMark/>
          </w:tcPr>
          <w:p w14:paraId="23FFC66D"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161</w:t>
            </w:r>
          </w:p>
        </w:tc>
        <w:tc>
          <w:tcPr>
            <w:tcW w:w="1517" w:type="dxa"/>
            <w:shd w:val="clear" w:color="auto" w:fill="D5DCE4"/>
            <w:noWrap/>
            <w:vAlign w:val="center"/>
            <w:hideMark/>
          </w:tcPr>
          <w:p w14:paraId="266C0F5A"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172</w:t>
            </w:r>
          </w:p>
        </w:tc>
      </w:tr>
      <w:tr w:rsidR="00E71EED" w:rsidRPr="001B5C3E" w14:paraId="389705DF" w14:textId="77777777" w:rsidTr="006A71D3">
        <w:trPr>
          <w:cantSplit/>
          <w:jc w:val="center"/>
        </w:trPr>
        <w:tc>
          <w:tcPr>
            <w:tcW w:w="458" w:type="dxa"/>
            <w:shd w:val="clear" w:color="000000" w:fill="FFFFFF"/>
            <w:vAlign w:val="center"/>
            <w:hideMark/>
          </w:tcPr>
          <w:p w14:paraId="7D4D965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248E68A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06523DC5"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1C18534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159</w:t>
            </w:r>
          </w:p>
        </w:tc>
        <w:tc>
          <w:tcPr>
            <w:tcW w:w="1559" w:type="dxa"/>
            <w:shd w:val="clear" w:color="000000" w:fill="FFFFFF"/>
            <w:noWrap/>
            <w:vAlign w:val="center"/>
            <w:hideMark/>
          </w:tcPr>
          <w:p w14:paraId="6C3FCB2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159</w:t>
            </w:r>
          </w:p>
        </w:tc>
        <w:tc>
          <w:tcPr>
            <w:tcW w:w="1517" w:type="dxa"/>
            <w:shd w:val="clear" w:color="000000" w:fill="FFFFFF"/>
            <w:noWrap/>
            <w:vAlign w:val="center"/>
            <w:hideMark/>
          </w:tcPr>
          <w:p w14:paraId="66612A0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170</w:t>
            </w:r>
          </w:p>
        </w:tc>
      </w:tr>
      <w:tr w:rsidR="00E71EED" w:rsidRPr="001B5C3E" w14:paraId="70B87423" w14:textId="77777777" w:rsidTr="006A71D3">
        <w:trPr>
          <w:cantSplit/>
          <w:jc w:val="center"/>
        </w:trPr>
        <w:tc>
          <w:tcPr>
            <w:tcW w:w="458" w:type="dxa"/>
            <w:shd w:val="clear" w:color="000000" w:fill="FFFFFF"/>
            <w:vAlign w:val="center"/>
            <w:hideMark/>
          </w:tcPr>
          <w:p w14:paraId="14C90AF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FB7509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369CACE5" w14:textId="77777777" w:rsidR="00E71EED" w:rsidRPr="00E71EED" w:rsidRDefault="00E71EED" w:rsidP="006A71D3">
            <w:pPr>
              <w:spacing w:after="0"/>
              <w:rPr>
                <w:rFonts w:ascii="Arial" w:hAnsi="Arial" w:cs="Arial"/>
                <w:i/>
                <w:color w:val="000000"/>
                <w:sz w:val="16"/>
                <w:szCs w:val="16"/>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33A18B7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w:t>
            </w:r>
          </w:p>
        </w:tc>
        <w:tc>
          <w:tcPr>
            <w:tcW w:w="1559" w:type="dxa"/>
            <w:shd w:val="clear" w:color="000000" w:fill="FFFFFF"/>
            <w:noWrap/>
            <w:vAlign w:val="center"/>
            <w:hideMark/>
          </w:tcPr>
          <w:p w14:paraId="576FDF2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w:t>
            </w:r>
          </w:p>
        </w:tc>
        <w:tc>
          <w:tcPr>
            <w:tcW w:w="1517" w:type="dxa"/>
            <w:shd w:val="clear" w:color="000000" w:fill="FFFFFF"/>
            <w:noWrap/>
            <w:vAlign w:val="center"/>
            <w:hideMark/>
          </w:tcPr>
          <w:p w14:paraId="79D1626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w:t>
            </w:r>
          </w:p>
        </w:tc>
      </w:tr>
      <w:tr w:rsidR="00E71EED" w:rsidRPr="001B5C3E" w14:paraId="55748D22" w14:textId="77777777" w:rsidTr="006A71D3">
        <w:trPr>
          <w:cantSplit/>
          <w:jc w:val="center"/>
        </w:trPr>
        <w:tc>
          <w:tcPr>
            <w:tcW w:w="458" w:type="dxa"/>
            <w:shd w:val="clear" w:color="000000" w:fill="FFFFFF"/>
            <w:vAlign w:val="center"/>
            <w:hideMark/>
          </w:tcPr>
          <w:p w14:paraId="6F4C4C7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D1D49E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47A97F22" w14:textId="77777777" w:rsidR="00E71EED" w:rsidRPr="00E71EED" w:rsidRDefault="00E71EED" w:rsidP="006A71D3">
            <w:pPr>
              <w:spacing w:after="0"/>
              <w:rPr>
                <w:rFonts w:ascii="Arial" w:hAnsi="Arial" w:cs="Arial"/>
                <w:i/>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4C7F0F1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4173F4F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1888DC3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2018994C" w14:textId="77777777" w:rsidTr="006A71D3">
        <w:trPr>
          <w:cantSplit/>
          <w:jc w:val="center"/>
        </w:trPr>
        <w:tc>
          <w:tcPr>
            <w:tcW w:w="458" w:type="dxa"/>
            <w:shd w:val="clear" w:color="auto" w:fill="D5DCE4"/>
            <w:vAlign w:val="center"/>
            <w:hideMark/>
          </w:tcPr>
          <w:p w14:paraId="73572DC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3</w:t>
            </w:r>
          </w:p>
        </w:tc>
        <w:tc>
          <w:tcPr>
            <w:tcW w:w="2944" w:type="dxa"/>
            <w:shd w:val="clear" w:color="auto" w:fill="D5DCE4"/>
            <w:vAlign w:val="center"/>
            <w:hideMark/>
          </w:tcPr>
          <w:p w14:paraId="728563F2"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Προεδρία της Κυβέρνησης</w:t>
            </w:r>
          </w:p>
        </w:tc>
        <w:tc>
          <w:tcPr>
            <w:tcW w:w="2127" w:type="dxa"/>
            <w:shd w:val="clear" w:color="auto" w:fill="D5DCE4"/>
            <w:noWrap/>
            <w:vAlign w:val="center"/>
            <w:hideMark/>
          </w:tcPr>
          <w:p w14:paraId="02581D99"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0974329A"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43</w:t>
            </w:r>
          </w:p>
        </w:tc>
        <w:tc>
          <w:tcPr>
            <w:tcW w:w="1559" w:type="dxa"/>
            <w:shd w:val="clear" w:color="auto" w:fill="D5DCE4"/>
            <w:noWrap/>
            <w:vAlign w:val="center"/>
            <w:hideMark/>
          </w:tcPr>
          <w:p w14:paraId="49C60461"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49</w:t>
            </w:r>
          </w:p>
        </w:tc>
        <w:tc>
          <w:tcPr>
            <w:tcW w:w="1517" w:type="dxa"/>
            <w:shd w:val="clear" w:color="auto" w:fill="D5DCE4"/>
            <w:noWrap/>
            <w:vAlign w:val="center"/>
            <w:hideMark/>
          </w:tcPr>
          <w:p w14:paraId="4CA2E42E"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42</w:t>
            </w:r>
          </w:p>
        </w:tc>
      </w:tr>
      <w:tr w:rsidR="00E71EED" w:rsidRPr="001B5C3E" w14:paraId="50308120" w14:textId="77777777" w:rsidTr="006A71D3">
        <w:trPr>
          <w:cantSplit/>
          <w:jc w:val="center"/>
        </w:trPr>
        <w:tc>
          <w:tcPr>
            <w:tcW w:w="458" w:type="dxa"/>
            <w:shd w:val="clear" w:color="000000" w:fill="FFFFFF"/>
            <w:vAlign w:val="center"/>
            <w:hideMark/>
          </w:tcPr>
          <w:p w14:paraId="6ABDB14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0A45F0B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hideMark/>
          </w:tcPr>
          <w:p w14:paraId="3831729B"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5C06660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38</w:t>
            </w:r>
          </w:p>
        </w:tc>
        <w:tc>
          <w:tcPr>
            <w:tcW w:w="1559" w:type="dxa"/>
            <w:shd w:val="clear" w:color="000000" w:fill="FFFFFF"/>
            <w:noWrap/>
            <w:vAlign w:val="center"/>
            <w:hideMark/>
          </w:tcPr>
          <w:p w14:paraId="7C84B31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44</w:t>
            </w:r>
          </w:p>
        </w:tc>
        <w:tc>
          <w:tcPr>
            <w:tcW w:w="1517" w:type="dxa"/>
            <w:shd w:val="clear" w:color="000000" w:fill="FFFFFF"/>
            <w:noWrap/>
            <w:vAlign w:val="center"/>
            <w:hideMark/>
          </w:tcPr>
          <w:p w14:paraId="09D875E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38</w:t>
            </w:r>
          </w:p>
        </w:tc>
      </w:tr>
      <w:tr w:rsidR="00E71EED" w:rsidRPr="001B5C3E" w14:paraId="58B5AABC" w14:textId="77777777" w:rsidTr="006A71D3">
        <w:trPr>
          <w:cantSplit/>
          <w:jc w:val="center"/>
        </w:trPr>
        <w:tc>
          <w:tcPr>
            <w:tcW w:w="458" w:type="dxa"/>
            <w:shd w:val="clear" w:color="000000" w:fill="FFFFFF"/>
            <w:vAlign w:val="center"/>
            <w:hideMark/>
          </w:tcPr>
          <w:p w14:paraId="6FD690C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57CE83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hideMark/>
          </w:tcPr>
          <w:p w14:paraId="73E4D87F"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2D52768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w:t>
            </w:r>
          </w:p>
        </w:tc>
        <w:tc>
          <w:tcPr>
            <w:tcW w:w="1559" w:type="dxa"/>
            <w:shd w:val="clear" w:color="000000" w:fill="FFFFFF"/>
            <w:noWrap/>
            <w:vAlign w:val="center"/>
            <w:hideMark/>
          </w:tcPr>
          <w:p w14:paraId="4F99CC3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w:t>
            </w:r>
          </w:p>
        </w:tc>
        <w:tc>
          <w:tcPr>
            <w:tcW w:w="1517" w:type="dxa"/>
            <w:shd w:val="clear" w:color="000000" w:fill="FFFFFF"/>
            <w:noWrap/>
            <w:vAlign w:val="center"/>
            <w:hideMark/>
          </w:tcPr>
          <w:p w14:paraId="5A3C5C8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w:t>
            </w:r>
          </w:p>
        </w:tc>
      </w:tr>
      <w:tr w:rsidR="00E71EED" w:rsidRPr="001B5C3E" w14:paraId="18ADF7B8" w14:textId="77777777" w:rsidTr="006A71D3">
        <w:trPr>
          <w:cantSplit/>
          <w:jc w:val="center"/>
        </w:trPr>
        <w:tc>
          <w:tcPr>
            <w:tcW w:w="458" w:type="dxa"/>
            <w:shd w:val="clear" w:color="000000" w:fill="FFFFFF"/>
            <w:vAlign w:val="center"/>
            <w:hideMark/>
          </w:tcPr>
          <w:p w14:paraId="4C63E163"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2ECA6CC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hideMark/>
          </w:tcPr>
          <w:p w14:paraId="26BCEC8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38CA109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3AEC4BA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161E04E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30282B8E" w14:textId="77777777" w:rsidTr="006A71D3">
        <w:trPr>
          <w:cantSplit/>
          <w:jc w:val="center"/>
        </w:trPr>
        <w:tc>
          <w:tcPr>
            <w:tcW w:w="458" w:type="dxa"/>
            <w:shd w:val="clear" w:color="auto" w:fill="D5DCE4"/>
            <w:vAlign w:val="center"/>
            <w:hideMark/>
          </w:tcPr>
          <w:p w14:paraId="6505085C"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lastRenderedPageBreak/>
              <w:t>4</w:t>
            </w:r>
          </w:p>
        </w:tc>
        <w:tc>
          <w:tcPr>
            <w:tcW w:w="2944" w:type="dxa"/>
            <w:shd w:val="clear" w:color="auto" w:fill="D5DCE4"/>
            <w:vAlign w:val="center"/>
            <w:hideMark/>
          </w:tcPr>
          <w:p w14:paraId="0D1EAC4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Εσωτερικών</w:t>
            </w:r>
          </w:p>
        </w:tc>
        <w:tc>
          <w:tcPr>
            <w:tcW w:w="2127" w:type="dxa"/>
            <w:shd w:val="clear" w:color="auto" w:fill="D5DCE4"/>
            <w:noWrap/>
            <w:vAlign w:val="center"/>
            <w:hideMark/>
          </w:tcPr>
          <w:p w14:paraId="6CC501FA"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5CE9C54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3.705</w:t>
            </w:r>
          </w:p>
        </w:tc>
        <w:tc>
          <w:tcPr>
            <w:tcW w:w="1559" w:type="dxa"/>
            <w:shd w:val="clear" w:color="auto" w:fill="D5DCE4"/>
            <w:noWrap/>
            <w:vAlign w:val="center"/>
            <w:hideMark/>
          </w:tcPr>
          <w:p w14:paraId="0F41757B"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3.850</w:t>
            </w:r>
          </w:p>
        </w:tc>
        <w:tc>
          <w:tcPr>
            <w:tcW w:w="1517" w:type="dxa"/>
            <w:shd w:val="clear" w:color="auto" w:fill="D5DCE4"/>
            <w:noWrap/>
            <w:vAlign w:val="center"/>
            <w:hideMark/>
          </w:tcPr>
          <w:p w14:paraId="5D44B6DD"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3.830</w:t>
            </w:r>
          </w:p>
        </w:tc>
      </w:tr>
      <w:tr w:rsidR="00E71EED" w:rsidRPr="001B5C3E" w14:paraId="37910E1D" w14:textId="77777777" w:rsidTr="006A71D3">
        <w:trPr>
          <w:cantSplit/>
          <w:jc w:val="center"/>
        </w:trPr>
        <w:tc>
          <w:tcPr>
            <w:tcW w:w="458" w:type="dxa"/>
            <w:shd w:val="clear" w:color="000000" w:fill="FFFFFF"/>
            <w:vAlign w:val="center"/>
            <w:hideMark/>
          </w:tcPr>
          <w:p w14:paraId="101BB65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22DD8B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03E04438"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4DA5DA5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3.337</w:t>
            </w:r>
          </w:p>
        </w:tc>
        <w:tc>
          <w:tcPr>
            <w:tcW w:w="1559" w:type="dxa"/>
            <w:shd w:val="clear" w:color="000000" w:fill="FFFFFF"/>
            <w:noWrap/>
            <w:vAlign w:val="center"/>
            <w:hideMark/>
          </w:tcPr>
          <w:p w14:paraId="6EB6AFD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3.511</w:t>
            </w:r>
          </w:p>
        </w:tc>
        <w:tc>
          <w:tcPr>
            <w:tcW w:w="1517" w:type="dxa"/>
            <w:shd w:val="clear" w:color="000000" w:fill="FFFFFF"/>
            <w:noWrap/>
            <w:vAlign w:val="center"/>
            <w:hideMark/>
          </w:tcPr>
          <w:p w14:paraId="7185DD8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3.449</w:t>
            </w:r>
          </w:p>
        </w:tc>
      </w:tr>
      <w:tr w:rsidR="00E71EED" w:rsidRPr="001B5C3E" w14:paraId="33DA1A3D" w14:textId="77777777" w:rsidTr="006A71D3">
        <w:trPr>
          <w:cantSplit/>
          <w:jc w:val="center"/>
        </w:trPr>
        <w:tc>
          <w:tcPr>
            <w:tcW w:w="458" w:type="dxa"/>
            <w:shd w:val="clear" w:color="000000" w:fill="FFFFFF"/>
            <w:vAlign w:val="center"/>
            <w:hideMark/>
          </w:tcPr>
          <w:p w14:paraId="52D748A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280BDC0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6A04E7CF"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593DE64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267</w:t>
            </w:r>
          </w:p>
        </w:tc>
        <w:tc>
          <w:tcPr>
            <w:tcW w:w="1559" w:type="dxa"/>
            <w:shd w:val="clear" w:color="000000" w:fill="FFFFFF"/>
            <w:noWrap/>
            <w:vAlign w:val="center"/>
            <w:hideMark/>
          </w:tcPr>
          <w:p w14:paraId="36B8628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247</w:t>
            </w:r>
          </w:p>
        </w:tc>
        <w:tc>
          <w:tcPr>
            <w:tcW w:w="1517" w:type="dxa"/>
            <w:shd w:val="clear" w:color="000000" w:fill="FFFFFF"/>
            <w:noWrap/>
            <w:vAlign w:val="center"/>
            <w:hideMark/>
          </w:tcPr>
          <w:p w14:paraId="5AA9818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230</w:t>
            </w:r>
          </w:p>
        </w:tc>
      </w:tr>
      <w:tr w:rsidR="00E71EED" w:rsidRPr="001B5C3E" w14:paraId="7450BA40" w14:textId="77777777" w:rsidTr="006A71D3">
        <w:trPr>
          <w:cantSplit/>
          <w:jc w:val="center"/>
        </w:trPr>
        <w:tc>
          <w:tcPr>
            <w:tcW w:w="458" w:type="dxa"/>
            <w:shd w:val="clear" w:color="000000" w:fill="FFFFFF"/>
            <w:vAlign w:val="center"/>
            <w:hideMark/>
          </w:tcPr>
          <w:p w14:paraId="512D70F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753DFF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47C4DD7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66707E3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101</w:t>
            </w:r>
          </w:p>
        </w:tc>
        <w:tc>
          <w:tcPr>
            <w:tcW w:w="1559" w:type="dxa"/>
            <w:shd w:val="clear" w:color="000000" w:fill="FFFFFF"/>
            <w:noWrap/>
            <w:vAlign w:val="center"/>
            <w:hideMark/>
          </w:tcPr>
          <w:p w14:paraId="04A7AE8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92</w:t>
            </w:r>
          </w:p>
        </w:tc>
        <w:tc>
          <w:tcPr>
            <w:tcW w:w="1517" w:type="dxa"/>
            <w:shd w:val="clear" w:color="000000" w:fill="FFFFFF"/>
            <w:noWrap/>
            <w:vAlign w:val="center"/>
            <w:hideMark/>
          </w:tcPr>
          <w:p w14:paraId="2FDE0AC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151</w:t>
            </w:r>
          </w:p>
        </w:tc>
      </w:tr>
      <w:tr w:rsidR="00E71EED" w:rsidRPr="001B5C3E" w14:paraId="7FAB7907" w14:textId="77777777" w:rsidTr="006A71D3">
        <w:trPr>
          <w:cantSplit/>
          <w:jc w:val="center"/>
        </w:trPr>
        <w:tc>
          <w:tcPr>
            <w:tcW w:w="458" w:type="dxa"/>
            <w:shd w:val="clear" w:color="auto" w:fill="D5DCE4"/>
            <w:vAlign w:val="center"/>
            <w:hideMark/>
          </w:tcPr>
          <w:p w14:paraId="5806256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5</w:t>
            </w:r>
          </w:p>
        </w:tc>
        <w:tc>
          <w:tcPr>
            <w:tcW w:w="2944" w:type="dxa"/>
            <w:shd w:val="clear" w:color="auto" w:fill="D5DCE4"/>
            <w:vAlign w:val="center"/>
            <w:hideMark/>
          </w:tcPr>
          <w:p w14:paraId="7ED5DFDE"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Εξωτερικών</w:t>
            </w:r>
          </w:p>
        </w:tc>
        <w:tc>
          <w:tcPr>
            <w:tcW w:w="2127" w:type="dxa"/>
            <w:shd w:val="clear" w:color="auto" w:fill="D5DCE4"/>
            <w:noWrap/>
            <w:vAlign w:val="center"/>
            <w:hideMark/>
          </w:tcPr>
          <w:p w14:paraId="6DFA46B9"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357829CF"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408</w:t>
            </w:r>
          </w:p>
        </w:tc>
        <w:tc>
          <w:tcPr>
            <w:tcW w:w="1559" w:type="dxa"/>
            <w:shd w:val="clear" w:color="auto" w:fill="D5DCE4"/>
            <w:noWrap/>
            <w:vAlign w:val="center"/>
            <w:hideMark/>
          </w:tcPr>
          <w:p w14:paraId="5DE8B4C0"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447</w:t>
            </w:r>
          </w:p>
        </w:tc>
        <w:tc>
          <w:tcPr>
            <w:tcW w:w="1517" w:type="dxa"/>
            <w:shd w:val="clear" w:color="auto" w:fill="D5DCE4"/>
            <w:noWrap/>
            <w:vAlign w:val="center"/>
            <w:hideMark/>
          </w:tcPr>
          <w:p w14:paraId="436B1FB0"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420</w:t>
            </w:r>
          </w:p>
        </w:tc>
      </w:tr>
      <w:tr w:rsidR="00E71EED" w:rsidRPr="001B5C3E" w14:paraId="5E93E3F1" w14:textId="77777777" w:rsidTr="006A71D3">
        <w:trPr>
          <w:cantSplit/>
          <w:jc w:val="center"/>
        </w:trPr>
        <w:tc>
          <w:tcPr>
            <w:tcW w:w="458" w:type="dxa"/>
            <w:shd w:val="clear" w:color="000000" w:fill="FFFFFF"/>
            <w:vAlign w:val="center"/>
            <w:hideMark/>
          </w:tcPr>
          <w:p w14:paraId="704EF66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2050C19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551F796C"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33820D9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385</w:t>
            </w:r>
          </w:p>
        </w:tc>
        <w:tc>
          <w:tcPr>
            <w:tcW w:w="1559" w:type="dxa"/>
            <w:shd w:val="clear" w:color="000000" w:fill="FFFFFF"/>
            <w:noWrap/>
            <w:vAlign w:val="center"/>
            <w:hideMark/>
          </w:tcPr>
          <w:p w14:paraId="1F4FF5C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415</w:t>
            </w:r>
          </w:p>
        </w:tc>
        <w:tc>
          <w:tcPr>
            <w:tcW w:w="1517" w:type="dxa"/>
            <w:shd w:val="clear" w:color="000000" w:fill="FFFFFF"/>
            <w:noWrap/>
            <w:vAlign w:val="center"/>
            <w:hideMark/>
          </w:tcPr>
          <w:p w14:paraId="5995B02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390</w:t>
            </w:r>
          </w:p>
        </w:tc>
      </w:tr>
      <w:tr w:rsidR="00E71EED" w:rsidRPr="001B5C3E" w14:paraId="7236CBA9" w14:textId="77777777" w:rsidTr="006A71D3">
        <w:trPr>
          <w:cantSplit/>
          <w:jc w:val="center"/>
        </w:trPr>
        <w:tc>
          <w:tcPr>
            <w:tcW w:w="458" w:type="dxa"/>
            <w:shd w:val="clear" w:color="000000" w:fill="FFFFFF"/>
            <w:vAlign w:val="center"/>
            <w:hideMark/>
          </w:tcPr>
          <w:p w14:paraId="6A9C869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1E43A3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7B9AA812"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772EB50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19</w:t>
            </w:r>
          </w:p>
        </w:tc>
        <w:tc>
          <w:tcPr>
            <w:tcW w:w="1559" w:type="dxa"/>
            <w:shd w:val="clear" w:color="000000" w:fill="FFFFFF"/>
            <w:noWrap/>
            <w:vAlign w:val="center"/>
            <w:hideMark/>
          </w:tcPr>
          <w:p w14:paraId="55E4669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28</w:t>
            </w:r>
          </w:p>
        </w:tc>
        <w:tc>
          <w:tcPr>
            <w:tcW w:w="1517" w:type="dxa"/>
            <w:shd w:val="clear" w:color="000000" w:fill="FFFFFF"/>
            <w:noWrap/>
            <w:vAlign w:val="center"/>
            <w:hideMark/>
          </w:tcPr>
          <w:p w14:paraId="3640E24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28</w:t>
            </w:r>
          </w:p>
        </w:tc>
      </w:tr>
      <w:tr w:rsidR="00E71EED" w:rsidRPr="001B5C3E" w14:paraId="1C872F5F" w14:textId="77777777" w:rsidTr="006A71D3">
        <w:trPr>
          <w:cantSplit/>
          <w:jc w:val="center"/>
        </w:trPr>
        <w:tc>
          <w:tcPr>
            <w:tcW w:w="458" w:type="dxa"/>
            <w:shd w:val="clear" w:color="000000" w:fill="FFFFFF"/>
            <w:vAlign w:val="center"/>
            <w:hideMark/>
          </w:tcPr>
          <w:p w14:paraId="3B2FFFD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B77A9A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78B4933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428037C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w:t>
            </w:r>
          </w:p>
        </w:tc>
        <w:tc>
          <w:tcPr>
            <w:tcW w:w="1559" w:type="dxa"/>
            <w:shd w:val="clear" w:color="000000" w:fill="FFFFFF"/>
            <w:noWrap/>
            <w:vAlign w:val="center"/>
            <w:hideMark/>
          </w:tcPr>
          <w:p w14:paraId="4BE90AA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w:t>
            </w:r>
          </w:p>
        </w:tc>
        <w:tc>
          <w:tcPr>
            <w:tcW w:w="1517" w:type="dxa"/>
            <w:shd w:val="clear" w:color="000000" w:fill="FFFFFF"/>
            <w:noWrap/>
            <w:vAlign w:val="center"/>
            <w:hideMark/>
          </w:tcPr>
          <w:p w14:paraId="4649E94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w:t>
            </w:r>
          </w:p>
        </w:tc>
      </w:tr>
      <w:tr w:rsidR="00E71EED" w:rsidRPr="001B5C3E" w14:paraId="001ED7A0" w14:textId="77777777" w:rsidTr="006A71D3">
        <w:trPr>
          <w:cantSplit/>
          <w:jc w:val="center"/>
        </w:trPr>
        <w:tc>
          <w:tcPr>
            <w:tcW w:w="458" w:type="dxa"/>
            <w:shd w:val="clear" w:color="auto" w:fill="D5DCE4"/>
            <w:vAlign w:val="center"/>
            <w:hideMark/>
          </w:tcPr>
          <w:p w14:paraId="09311C8B"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6</w:t>
            </w:r>
          </w:p>
        </w:tc>
        <w:tc>
          <w:tcPr>
            <w:tcW w:w="2944" w:type="dxa"/>
            <w:shd w:val="clear" w:color="auto" w:fill="D5DCE4"/>
            <w:vAlign w:val="center"/>
            <w:hideMark/>
          </w:tcPr>
          <w:p w14:paraId="3C20A97C"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Εθνικής Άμυνας</w:t>
            </w:r>
          </w:p>
        </w:tc>
        <w:tc>
          <w:tcPr>
            <w:tcW w:w="2127" w:type="dxa"/>
            <w:shd w:val="clear" w:color="auto" w:fill="D5DCE4"/>
            <w:noWrap/>
            <w:vAlign w:val="center"/>
            <w:hideMark/>
          </w:tcPr>
          <w:p w14:paraId="4C12BB3C"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05A5C7B0"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6.123</w:t>
            </w:r>
          </w:p>
        </w:tc>
        <w:tc>
          <w:tcPr>
            <w:tcW w:w="1559" w:type="dxa"/>
            <w:shd w:val="clear" w:color="auto" w:fill="D5DCE4"/>
            <w:noWrap/>
            <w:vAlign w:val="center"/>
            <w:hideMark/>
          </w:tcPr>
          <w:p w14:paraId="43EA6B1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6.195</w:t>
            </w:r>
          </w:p>
        </w:tc>
        <w:tc>
          <w:tcPr>
            <w:tcW w:w="1517" w:type="dxa"/>
            <w:shd w:val="clear" w:color="auto" w:fill="D5DCE4"/>
            <w:noWrap/>
            <w:vAlign w:val="center"/>
            <w:hideMark/>
          </w:tcPr>
          <w:p w14:paraId="131AA45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6.130</w:t>
            </w:r>
          </w:p>
        </w:tc>
      </w:tr>
      <w:tr w:rsidR="00E71EED" w:rsidRPr="001B5C3E" w14:paraId="1C66F8A1" w14:textId="77777777" w:rsidTr="006A71D3">
        <w:trPr>
          <w:cantSplit/>
          <w:jc w:val="center"/>
        </w:trPr>
        <w:tc>
          <w:tcPr>
            <w:tcW w:w="458" w:type="dxa"/>
            <w:shd w:val="clear" w:color="000000" w:fill="FFFFFF"/>
            <w:vAlign w:val="center"/>
            <w:hideMark/>
          </w:tcPr>
          <w:p w14:paraId="3A42D5F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116369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3C396EB6"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025921E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6.093</w:t>
            </w:r>
          </w:p>
        </w:tc>
        <w:tc>
          <w:tcPr>
            <w:tcW w:w="1559" w:type="dxa"/>
            <w:shd w:val="clear" w:color="000000" w:fill="FFFFFF"/>
            <w:noWrap/>
            <w:vAlign w:val="center"/>
            <w:hideMark/>
          </w:tcPr>
          <w:p w14:paraId="3075351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6.168</w:t>
            </w:r>
          </w:p>
        </w:tc>
        <w:tc>
          <w:tcPr>
            <w:tcW w:w="1517" w:type="dxa"/>
            <w:shd w:val="clear" w:color="000000" w:fill="FFFFFF"/>
            <w:noWrap/>
            <w:vAlign w:val="center"/>
            <w:hideMark/>
          </w:tcPr>
          <w:p w14:paraId="1B836FD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6.061</w:t>
            </w:r>
          </w:p>
        </w:tc>
      </w:tr>
      <w:tr w:rsidR="00E71EED" w:rsidRPr="001B5C3E" w14:paraId="6C2D82B1" w14:textId="77777777" w:rsidTr="006A71D3">
        <w:trPr>
          <w:cantSplit/>
          <w:jc w:val="center"/>
        </w:trPr>
        <w:tc>
          <w:tcPr>
            <w:tcW w:w="458" w:type="dxa"/>
            <w:shd w:val="clear" w:color="000000" w:fill="FFFFFF"/>
            <w:vAlign w:val="center"/>
            <w:hideMark/>
          </w:tcPr>
          <w:p w14:paraId="355D0AB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D6FBF6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530DC3FA"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5224428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30</w:t>
            </w:r>
          </w:p>
        </w:tc>
        <w:tc>
          <w:tcPr>
            <w:tcW w:w="1559" w:type="dxa"/>
            <w:shd w:val="clear" w:color="000000" w:fill="FFFFFF"/>
            <w:noWrap/>
            <w:vAlign w:val="center"/>
            <w:hideMark/>
          </w:tcPr>
          <w:p w14:paraId="541A41A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27</w:t>
            </w:r>
          </w:p>
        </w:tc>
        <w:tc>
          <w:tcPr>
            <w:tcW w:w="1517" w:type="dxa"/>
            <w:shd w:val="clear" w:color="000000" w:fill="FFFFFF"/>
            <w:noWrap/>
            <w:vAlign w:val="center"/>
            <w:hideMark/>
          </w:tcPr>
          <w:p w14:paraId="0E54F45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69</w:t>
            </w:r>
          </w:p>
        </w:tc>
      </w:tr>
      <w:tr w:rsidR="00E71EED" w:rsidRPr="001B5C3E" w14:paraId="3289BB10" w14:textId="77777777" w:rsidTr="006A71D3">
        <w:trPr>
          <w:cantSplit/>
          <w:jc w:val="center"/>
        </w:trPr>
        <w:tc>
          <w:tcPr>
            <w:tcW w:w="458" w:type="dxa"/>
            <w:shd w:val="clear" w:color="000000" w:fill="FFFFFF"/>
            <w:vAlign w:val="center"/>
            <w:hideMark/>
          </w:tcPr>
          <w:p w14:paraId="28FBB42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B3A9C0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72806EF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442CE87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09DE2F9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2BD5577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70656EEB" w14:textId="77777777" w:rsidTr="006A71D3">
        <w:trPr>
          <w:cantSplit/>
          <w:jc w:val="center"/>
        </w:trPr>
        <w:tc>
          <w:tcPr>
            <w:tcW w:w="458" w:type="dxa"/>
            <w:shd w:val="clear" w:color="auto" w:fill="D5DCE4"/>
            <w:vAlign w:val="center"/>
            <w:hideMark/>
          </w:tcPr>
          <w:p w14:paraId="68DA232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7</w:t>
            </w:r>
          </w:p>
        </w:tc>
        <w:tc>
          <w:tcPr>
            <w:tcW w:w="2944" w:type="dxa"/>
            <w:shd w:val="clear" w:color="auto" w:fill="D5DCE4"/>
            <w:vAlign w:val="center"/>
            <w:hideMark/>
          </w:tcPr>
          <w:p w14:paraId="1384C22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Υγείας</w:t>
            </w:r>
          </w:p>
        </w:tc>
        <w:tc>
          <w:tcPr>
            <w:tcW w:w="2127" w:type="dxa"/>
            <w:shd w:val="clear" w:color="auto" w:fill="D5DCE4"/>
            <w:noWrap/>
            <w:vAlign w:val="center"/>
            <w:hideMark/>
          </w:tcPr>
          <w:p w14:paraId="67182FB9"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25EBADD7"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6.027</w:t>
            </w:r>
          </w:p>
        </w:tc>
        <w:tc>
          <w:tcPr>
            <w:tcW w:w="1559" w:type="dxa"/>
            <w:shd w:val="clear" w:color="auto" w:fill="D5DCE4"/>
            <w:noWrap/>
            <w:vAlign w:val="center"/>
            <w:hideMark/>
          </w:tcPr>
          <w:p w14:paraId="5D78DE9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6.335</w:t>
            </w:r>
          </w:p>
        </w:tc>
        <w:tc>
          <w:tcPr>
            <w:tcW w:w="1517" w:type="dxa"/>
            <w:shd w:val="clear" w:color="auto" w:fill="D5DCE4"/>
            <w:noWrap/>
            <w:vAlign w:val="center"/>
            <w:hideMark/>
          </w:tcPr>
          <w:p w14:paraId="00FFCCEE"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7.177</w:t>
            </w:r>
          </w:p>
        </w:tc>
      </w:tr>
      <w:tr w:rsidR="00E71EED" w:rsidRPr="001B5C3E" w14:paraId="0D6F4C45" w14:textId="77777777" w:rsidTr="006A71D3">
        <w:trPr>
          <w:cantSplit/>
          <w:jc w:val="center"/>
        </w:trPr>
        <w:tc>
          <w:tcPr>
            <w:tcW w:w="458" w:type="dxa"/>
            <w:shd w:val="clear" w:color="000000" w:fill="FFFFFF"/>
            <w:vAlign w:val="center"/>
            <w:hideMark/>
          </w:tcPr>
          <w:p w14:paraId="7E5D30D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828B7F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hideMark/>
          </w:tcPr>
          <w:p w14:paraId="2D279B83"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6385BD5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5.705</w:t>
            </w:r>
          </w:p>
        </w:tc>
        <w:tc>
          <w:tcPr>
            <w:tcW w:w="1559" w:type="dxa"/>
            <w:shd w:val="clear" w:color="000000" w:fill="FFFFFF"/>
            <w:noWrap/>
            <w:vAlign w:val="center"/>
            <w:hideMark/>
          </w:tcPr>
          <w:p w14:paraId="1CBCA64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6.051</w:t>
            </w:r>
          </w:p>
        </w:tc>
        <w:tc>
          <w:tcPr>
            <w:tcW w:w="1517" w:type="dxa"/>
            <w:shd w:val="clear" w:color="000000" w:fill="FFFFFF"/>
            <w:noWrap/>
            <w:vAlign w:val="center"/>
            <w:hideMark/>
          </w:tcPr>
          <w:p w14:paraId="0C43506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6.608</w:t>
            </w:r>
          </w:p>
        </w:tc>
      </w:tr>
      <w:tr w:rsidR="00E71EED" w:rsidRPr="001B5C3E" w14:paraId="29641248" w14:textId="77777777" w:rsidTr="006A71D3">
        <w:trPr>
          <w:cantSplit/>
          <w:jc w:val="center"/>
        </w:trPr>
        <w:tc>
          <w:tcPr>
            <w:tcW w:w="458" w:type="dxa"/>
            <w:shd w:val="clear" w:color="000000" w:fill="FFFFFF"/>
            <w:vAlign w:val="center"/>
            <w:hideMark/>
          </w:tcPr>
          <w:p w14:paraId="01CD9AE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7BD683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4853D1F6"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52AA9BE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66</w:t>
            </w:r>
          </w:p>
        </w:tc>
        <w:tc>
          <w:tcPr>
            <w:tcW w:w="1559" w:type="dxa"/>
            <w:shd w:val="clear" w:color="000000" w:fill="FFFFFF"/>
            <w:noWrap/>
            <w:vAlign w:val="center"/>
            <w:hideMark/>
          </w:tcPr>
          <w:p w14:paraId="762B454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50</w:t>
            </w:r>
          </w:p>
        </w:tc>
        <w:tc>
          <w:tcPr>
            <w:tcW w:w="1517" w:type="dxa"/>
            <w:shd w:val="clear" w:color="000000" w:fill="FFFFFF"/>
            <w:noWrap/>
            <w:vAlign w:val="center"/>
            <w:hideMark/>
          </w:tcPr>
          <w:p w14:paraId="750DB19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66</w:t>
            </w:r>
          </w:p>
        </w:tc>
      </w:tr>
      <w:tr w:rsidR="00E71EED" w:rsidRPr="001B5C3E" w14:paraId="402924A2" w14:textId="77777777" w:rsidTr="006A71D3">
        <w:trPr>
          <w:cantSplit/>
          <w:jc w:val="center"/>
        </w:trPr>
        <w:tc>
          <w:tcPr>
            <w:tcW w:w="458" w:type="dxa"/>
            <w:shd w:val="clear" w:color="000000" w:fill="FFFFFF"/>
            <w:vAlign w:val="center"/>
            <w:hideMark/>
          </w:tcPr>
          <w:p w14:paraId="7F1E0ED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F2B971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0650DAB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66E3C4F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256</w:t>
            </w:r>
          </w:p>
        </w:tc>
        <w:tc>
          <w:tcPr>
            <w:tcW w:w="1559" w:type="dxa"/>
            <w:shd w:val="clear" w:color="000000" w:fill="FFFFFF"/>
            <w:noWrap/>
            <w:vAlign w:val="center"/>
            <w:hideMark/>
          </w:tcPr>
          <w:p w14:paraId="4B084F2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234</w:t>
            </w:r>
          </w:p>
        </w:tc>
        <w:tc>
          <w:tcPr>
            <w:tcW w:w="1517" w:type="dxa"/>
            <w:shd w:val="clear" w:color="000000" w:fill="FFFFFF"/>
            <w:noWrap/>
            <w:vAlign w:val="center"/>
            <w:hideMark/>
          </w:tcPr>
          <w:p w14:paraId="18D1B56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503</w:t>
            </w:r>
          </w:p>
        </w:tc>
      </w:tr>
      <w:tr w:rsidR="00E71EED" w:rsidRPr="001B5C3E" w14:paraId="300627C1" w14:textId="77777777" w:rsidTr="006A71D3">
        <w:trPr>
          <w:cantSplit/>
          <w:jc w:val="center"/>
        </w:trPr>
        <w:tc>
          <w:tcPr>
            <w:tcW w:w="458" w:type="dxa"/>
            <w:shd w:val="clear" w:color="auto" w:fill="D5DCE4"/>
            <w:vAlign w:val="center"/>
            <w:hideMark/>
          </w:tcPr>
          <w:p w14:paraId="056F2A2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8</w:t>
            </w:r>
          </w:p>
        </w:tc>
        <w:tc>
          <w:tcPr>
            <w:tcW w:w="2944" w:type="dxa"/>
            <w:shd w:val="clear" w:color="auto" w:fill="D5DCE4"/>
            <w:vAlign w:val="center"/>
            <w:hideMark/>
          </w:tcPr>
          <w:p w14:paraId="14AFEE36"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Δικαιοσύνης</w:t>
            </w:r>
          </w:p>
        </w:tc>
        <w:tc>
          <w:tcPr>
            <w:tcW w:w="2127" w:type="dxa"/>
            <w:shd w:val="clear" w:color="auto" w:fill="D5DCE4"/>
            <w:noWrap/>
            <w:vAlign w:val="center"/>
            <w:hideMark/>
          </w:tcPr>
          <w:p w14:paraId="3C524643"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3B5E5E78"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625</w:t>
            </w:r>
          </w:p>
        </w:tc>
        <w:tc>
          <w:tcPr>
            <w:tcW w:w="1559" w:type="dxa"/>
            <w:shd w:val="clear" w:color="auto" w:fill="D5DCE4"/>
            <w:noWrap/>
            <w:vAlign w:val="center"/>
            <w:hideMark/>
          </w:tcPr>
          <w:p w14:paraId="2E5AEB2D"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637</w:t>
            </w:r>
          </w:p>
        </w:tc>
        <w:tc>
          <w:tcPr>
            <w:tcW w:w="1517" w:type="dxa"/>
            <w:shd w:val="clear" w:color="auto" w:fill="D5DCE4"/>
            <w:noWrap/>
            <w:vAlign w:val="center"/>
            <w:hideMark/>
          </w:tcPr>
          <w:p w14:paraId="70FCDF0F"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651</w:t>
            </w:r>
          </w:p>
        </w:tc>
      </w:tr>
      <w:tr w:rsidR="00E71EED" w:rsidRPr="001B5C3E" w14:paraId="543C59F5" w14:textId="77777777" w:rsidTr="006A71D3">
        <w:trPr>
          <w:cantSplit/>
          <w:jc w:val="center"/>
        </w:trPr>
        <w:tc>
          <w:tcPr>
            <w:tcW w:w="458" w:type="dxa"/>
            <w:shd w:val="clear" w:color="000000" w:fill="FFFFFF"/>
            <w:vAlign w:val="center"/>
            <w:hideMark/>
          </w:tcPr>
          <w:p w14:paraId="772FE0C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02CEAE4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4DFF8838"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5F19A44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559</w:t>
            </w:r>
          </w:p>
        </w:tc>
        <w:tc>
          <w:tcPr>
            <w:tcW w:w="1559" w:type="dxa"/>
            <w:shd w:val="clear" w:color="000000" w:fill="FFFFFF"/>
            <w:noWrap/>
            <w:vAlign w:val="center"/>
            <w:hideMark/>
          </w:tcPr>
          <w:p w14:paraId="75C164F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581</w:t>
            </w:r>
          </w:p>
        </w:tc>
        <w:tc>
          <w:tcPr>
            <w:tcW w:w="1517" w:type="dxa"/>
            <w:shd w:val="clear" w:color="000000" w:fill="FFFFFF"/>
            <w:noWrap/>
            <w:vAlign w:val="center"/>
            <w:hideMark/>
          </w:tcPr>
          <w:p w14:paraId="174BDBC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578</w:t>
            </w:r>
          </w:p>
        </w:tc>
      </w:tr>
      <w:tr w:rsidR="00E71EED" w:rsidRPr="001B5C3E" w14:paraId="73770293" w14:textId="77777777" w:rsidTr="006A71D3">
        <w:trPr>
          <w:cantSplit/>
          <w:jc w:val="center"/>
        </w:trPr>
        <w:tc>
          <w:tcPr>
            <w:tcW w:w="458" w:type="dxa"/>
            <w:shd w:val="clear" w:color="000000" w:fill="FFFFFF"/>
            <w:vAlign w:val="center"/>
            <w:hideMark/>
          </w:tcPr>
          <w:p w14:paraId="2A53E9F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0437A0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67AD3B74"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7BCEB3F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23</w:t>
            </w:r>
          </w:p>
        </w:tc>
        <w:tc>
          <w:tcPr>
            <w:tcW w:w="1559" w:type="dxa"/>
            <w:shd w:val="clear" w:color="000000" w:fill="FFFFFF"/>
            <w:noWrap/>
            <w:vAlign w:val="center"/>
            <w:hideMark/>
          </w:tcPr>
          <w:p w14:paraId="43DB215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17</w:t>
            </w:r>
          </w:p>
        </w:tc>
        <w:tc>
          <w:tcPr>
            <w:tcW w:w="1517" w:type="dxa"/>
            <w:shd w:val="clear" w:color="000000" w:fill="FFFFFF"/>
            <w:noWrap/>
            <w:vAlign w:val="center"/>
            <w:hideMark/>
          </w:tcPr>
          <w:p w14:paraId="489ABDF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20</w:t>
            </w:r>
          </w:p>
        </w:tc>
      </w:tr>
      <w:tr w:rsidR="00E71EED" w:rsidRPr="001B5C3E" w14:paraId="1BED7407" w14:textId="77777777" w:rsidTr="006A71D3">
        <w:trPr>
          <w:cantSplit/>
          <w:jc w:val="center"/>
        </w:trPr>
        <w:tc>
          <w:tcPr>
            <w:tcW w:w="458" w:type="dxa"/>
            <w:shd w:val="clear" w:color="000000" w:fill="FFFFFF"/>
            <w:vAlign w:val="center"/>
            <w:hideMark/>
          </w:tcPr>
          <w:p w14:paraId="37AAAAA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296290A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45534BE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2793A77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43</w:t>
            </w:r>
          </w:p>
        </w:tc>
        <w:tc>
          <w:tcPr>
            <w:tcW w:w="1559" w:type="dxa"/>
            <w:shd w:val="clear" w:color="000000" w:fill="FFFFFF"/>
            <w:noWrap/>
            <w:vAlign w:val="center"/>
            <w:hideMark/>
          </w:tcPr>
          <w:p w14:paraId="668C9C8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39</w:t>
            </w:r>
          </w:p>
        </w:tc>
        <w:tc>
          <w:tcPr>
            <w:tcW w:w="1517" w:type="dxa"/>
            <w:shd w:val="clear" w:color="000000" w:fill="FFFFFF"/>
            <w:noWrap/>
            <w:vAlign w:val="center"/>
            <w:hideMark/>
          </w:tcPr>
          <w:p w14:paraId="3B5DE38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53</w:t>
            </w:r>
          </w:p>
        </w:tc>
      </w:tr>
      <w:tr w:rsidR="00E71EED" w:rsidRPr="001B5C3E" w14:paraId="503A27E4" w14:textId="77777777" w:rsidTr="006A71D3">
        <w:trPr>
          <w:cantSplit/>
          <w:jc w:val="center"/>
        </w:trPr>
        <w:tc>
          <w:tcPr>
            <w:tcW w:w="458" w:type="dxa"/>
            <w:shd w:val="clear" w:color="auto" w:fill="D5DCE4"/>
            <w:vAlign w:val="center"/>
            <w:hideMark/>
          </w:tcPr>
          <w:p w14:paraId="7F88F1CD"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9</w:t>
            </w:r>
          </w:p>
        </w:tc>
        <w:tc>
          <w:tcPr>
            <w:tcW w:w="2944" w:type="dxa"/>
            <w:shd w:val="clear" w:color="auto" w:fill="D5DCE4"/>
            <w:vAlign w:val="center"/>
            <w:hideMark/>
          </w:tcPr>
          <w:p w14:paraId="43B14DB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Παιδείας, Θρησκευμάτων και Αθλητισμού</w:t>
            </w:r>
          </w:p>
        </w:tc>
        <w:tc>
          <w:tcPr>
            <w:tcW w:w="2127" w:type="dxa"/>
            <w:shd w:val="clear" w:color="auto" w:fill="D5DCE4"/>
            <w:noWrap/>
            <w:vAlign w:val="center"/>
            <w:hideMark/>
          </w:tcPr>
          <w:p w14:paraId="03FE61D6"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50FBFCBF"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6.548</w:t>
            </w:r>
          </w:p>
        </w:tc>
        <w:tc>
          <w:tcPr>
            <w:tcW w:w="1559" w:type="dxa"/>
            <w:shd w:val="clear" w:color="auto" w:fill="D5DCE4"/>
            <w:noWrap/>
            <w:vAlign w:val="center"/>
            <w:hideMark/>
          </w:tcPr>
          <w:p w14:paraId="6E1C197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6.532</w:t>
            </w:r>
          </w:p>
        </w:tc>
        <w:tc>
          <w:tcPr>
            <w:tcW w:w="1517" w:type="dxa"/>
            <w:shd w:val="clear" w:color="auto" w:fill="D5DCE4"/>
            <w:noWrap/>
            <w:vAlign w:val="center"/>
            <w:hideMark/>
          </w:tcPr>
          <w:p w14:paraId="470970D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6.606</w:t>
            </w:r>
          </w:p>
        </w:tc>
      </w:tr>
      <w:tr w:rsidR="00E71EED" w:rsidRPr="001B5C3E" w14:paraId="75BCBA18" w14:textId="77777777" w:rsidTr="006A71D3">
        <w:trPr>
          <w:cantSplit/>
          <w:jc w:val="center"/>
        </w:trPr>
        <w:tc>
          <w:tcPr>
            <w:tcW w:w="458" w:type="dxa"/>
            <w:shd w:val="clear" w:color="000000" w:fill="FFFFFF"/>
            <w:vAlign w:val="center"/>
            <w:hideMark/>
          </w:tcPr>
          <w:p w14:paraId="62193C7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D320EA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0469F471"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6FD3549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5.453</w:t>
            </w:r>
          </w:p>
        </w:tc>
        <w:tc>
          <w:tcPr>
            <w:tcW w:w="1559" w:type="dxa"/>
            <w:shd w:val="clear" w:color="000000" w:fill="FFFFFF"/>
            <w:noWrap/>
            <w:vAlign w:val="center"/>
            <w:hideMark/>
          </w:tcPr>
          <w:p w14:paraId="1961E26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5.583</w:t>
            </w:r>
          </w:p>
        </w:tc>
        <w:tc>
          <w:tcPr>
            <w:tcW w:w="1517" w:type="dxa"/>
            <w:shd w:val="clear" w:color="000000" w:fill="FFFFFF"/>
            <w:noWrap/>
            <w:vAlign w:val="center"/>
            <w:hideMark/>
          </w:tcPr>
          <w:p w14:paraId="5B375B7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5.594</w:t>
            </w:r>
          </w:p>
        </w:tc>
      </w:tr>
      <w:tr w:rsidR="00E71EED" w:rsidRPr="001B5C3E" w14:paraId="6A3AC8DD" w14:textId="77777777" w:rsidTr="006A71D3">
        <w:trPr>
          <w:cantSplit/>
          <w:jc w:val="center"/>
        </w:trPr>
        <w:tc>
          <w:tcPr>
            <w:tcW w:w="458" w:type="dxa"/>
            <w:shd w:val="clear" w:color="000000" w:fill="FFFFFF"/>
            <w:vAlign w:val="center"/>
            <w:hideMark/>
          </w:tcPr>
          <w:p w14:paraId="643C311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43326E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69674713"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3A1E8CB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695</w:t>
            </w:r>
          </w:p>
        </w:tc>
        <w:tc>
          <w:tcPr>
            <w:tcW w:w="1559" w:type="dxa"/>
            <w:shd w:val="clear" w:color="000000" w:fill="FFFFFF"/>
            <w:noWrap/>
            <w:vAlign w:val="center"/>
            <w:hideMark/>
          </w:tcPr>
          <w:p w14:paraId="410999D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644</w:t>
            </w:r>
          </w:p>
        </w:tc>
        <w:tc>
          <w:tcPr>
            <w:tcW w:w="1517" w:type="dxa"/>
            <w:shd w:val="clear" w:color="000000" w:fill="FFFFFF"/>
            <w:noWrap/>
            <w:vAlign w:val="center"/>
            <w:hideMark/>
          </w:tcPr>
          <w:p w14:paraId="285F473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810</w:t>
            </w:r>
          </w:p>
        </w:tc>
      </w:tr>
      <w:tr w:rsidR="00E71EED" w:rsidRPr="001B5C3E" w14:paraId="5021E807" w14:textId="77777777" w:rsidTr="006A71D3">
        <w:trPr>
          <w:cantSplit/>
          <w:jc w:val="center"/>
        </w:trPr>
        <w:tc>
          <w:tcPr>
            <w:tcW w:w="458" w:type="dxa"/>
            <w:shd w:val="clear" w:color="000000" w:fill="FFFFFF"/>
            <w:vAlign w:val="center"/>
            <w:hideMark/>
          </w:tcPr>
          <w:p w14:paraId="6C38AA9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4F62B3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02E3CED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7882F85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400</w:t>
            </w:r>
          </w:p>
        </w:tc>
        <w:tc>
          <w:tcPr>
            <w:tcW w:w="1559" w:type="dxa"/>
            <w:shd w:val="clear" w:color="000000" w:fill="FFFFFF"/>
            <w:noWrap/>
            <w:vAlign w:val="center"/>
            <w:hideMark/>
          </w:tcPr>
          <w:p w14:paraId="537E844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305</w:t>
            </w:r>
          </w:p>
        </w:tc>
        <w:tc>
          <w:tcPr>
            <w:tcW w:w="1517" w:type="dxa"/>
            <w:shd w:val="clear" w:color="000000" w:fill="FFFFFF"/>
            <w:noWrap/>
            <w:vAlign w:val="center"/>
            <w:hideMark/>
          </w:tcPr>
          <w:p w14:paraId="37A500F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202</w:t>
            </w:r>
          </w:p>
        </w:tc>
      </w:tr>
      <w:tr w:rsidR="00E71EED" w:rsidRPr="001B5C3E" w14:paraId="0283DB60" w14:textId="77777777" w:rsidTr="006A71D3">
        <w:trPr>
          <w:cantSplit/>
          <w:jc w:val="center"/>
        </w:trPr>
        <w:tc>
          <w:tcPr>
            <w:tcW w:w="458" w:type="dxa"/>
            <w:shd w:val="clear" w:color="auto" w:fill="D5DCE4"/>
            <w:vAlign w:val="center"/>
            <w:hideMark/>
          </w:tcPr>
          <w:p w14:paraId="3FCF4383"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10</w:t>
            </w:r>
          </w:p>
        </w:tc>
        <w:tc>
          <w:tcPr>
            <w:tcW w:w="2944" w:type="dxa"/>
            <w:shd w:val="clear" w:color="auto" w:fill="D5DCE4"/>
            <w:vAlign w:val="center"/>
            <w:hideMark/>
          </w:tcPr>
          <w:p w14:paraId="0D5DD2C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Πολιτισμού</w:t>
            </w:r>
          </w:p>
        </w:tc>
        <w:tc>
          <w:tcPr>
            <w:tcW w:w="2127" w:type="dxa"/>
            <w:shd w:val="clear" w:color="auto" w:fill="D5DCE4"/>
            <w:noWrap/>
            <w:vAlign w:val="center"/>
            <w:hideMark/>
          </w:tcPr>
          <w:p w14:paraId="636CF6FC"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664C0CB1"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400</w:t>
            </w:r>
          </w:p>
        </w:tc>
        <w:tc>
          <w:tcPr>
            <w:tcW w:w="1559" w:type="dxa"/>
            <w:shd w:val="clear" w:color="auto" w:fill="D5DCE4"/>
            <w:noWrap/>
            <w:vAlign w:val="center"/>
            <w:hideMark/>
          </w:tcPr>
          <w:p w14:paraId="0E8FD8C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457</w:t>
            </w:r>
          </w:p>
        </w:tc>
        <w:tc>
          <w:tcPr>
            <w:tcW w:w="1517" w:type="dxa"/>
            <w:shd w:val="clear" w:color="auto" w:fill="D5DCE4"/>
            <w:noWrap/>
            <w:vAlign w:val="center"/>
            <w:hideMark/>
          </w:tcPr>
          <w:p w14:paraId="3F7B9159"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575</w:t>
            </w:r>
          </w:p>
        </w:tc>
      </w:tr>
      <w:tr w:rsidR="00E71EED" w:rsidRPr="001B5C3E" w14:paraId="27FBA9DF" w14:textId="77777777" w:rsidTr="006A71D3">
        <w:trPr>
          <w:cantSplit/>
          <w:jc w:val="center"/>
        </w:trPr>
        <w:tc>
          <w:tcPr>
            <w:tcW w:w="458" w:type="dxa"/>
            <w:shd w:val="clear" w:color="000000" w:fill="FFFFFF"/>
            <w:vAlign w:val="center"/>
            <w:hideMark/>
          </w:tcPr>
          <w:p w14:paraId="1783B5C3"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2E0C30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73A77F98"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7BD6DB0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258</w:t>
            </w:r>
          </w:p>
        </w:tc>
        <w:tc>
          <w:tcPr>
            <w:tcW w:w="1559" w:type="dxa"/>
            <w:shd w:val="clear" w:color="000000" w:fill="FFFFFF"/>
            <w:noWrap/>
            <w:vAlign w:val="center"/>
            <w:hideMark/>
          </w:tcPr>
          <w:p w14:paraId="7C9EBD9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324</w:t>
            </w:r>
          </w:p>
        </w:tc>
        <w:tc>
          <w:tcPr>
            <w:tcW w:w="1517" w:type="dxa"/>
            <w:shd w:val="clear" w:color="000000" w:fill="FFFFFF"/>
            <w:noWrap/>
            <w:vAlign w:val="center"/>
            <w:hideMark/>
          </w:tcPr>
          <w:p w14:paraId="70DB4BE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257</w:t>
            </w:r>
          </w:p>
        </w:tc>
      </w:tr>
      <w:tr w:rsidR="00E71EED" w:rsidRPr="001B5C3E" w14:paraId="5BCA4970" w14:textId="77777777" w:rsidTr="006A71D3">
        <w:trPr>
          <w:cantSplit/>
          <w:jc w:val="center"/>
        </w:trPr>
        <w:tc>
          <w:tcPr>
            <w:tcW w:w="458" w:type="dxa"/>
            <w:shd w:val="clear" w:color="000000" w:fill="FFFFFF"/>
            <w:vAlign w:val="center"/>
            <w:hideMark/>
          </w:tcPr>
          <w:p w14:paraId="7CB0987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DD5FFE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35C5E48E"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03DDED9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36</w:t>
            </w:r>
          </w:p>
        </w:tc>
        <w:tc>
          <w:tcPr>
            <w:tcW w:w="1559" w:type="dxa"/>
            <w:shd w:val="clear" w:color="000000" w:fill="FFFFFF"/>
            <w:noWrap/>
            <w:vAlign w:val="center"/>
            <w:hideMark/>
          </w:tcPr>
          <w:p w14:paraId="73EF55D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36</w:t>
            </w:r>
          </w:p>
        </w:tc>
        <w:tc>
          <w:tcPr>
            <w:tcW w:w="1517" w:type="dxa"/>
            <w:shd w:val="clear" w:color="000000" w:fill="FFFFFF"/>
            <w:noWrap/>
            <w:vAlign w:val="center"/>
            <w:hideMark/>
          </w:tcPr>
          <w:p w14:paraId="3FBD49F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147</w:t>
            </w:r>
          </w:p>
        </w:tc>
      </w:tr>
      <w:tr w:rsidR="00E71EED" w:rsidRPr="001B5C3E" w14:paraId="38ECC145" w14:textId="77777777" w:rsidTr="006A71D3">
        <w:trPr>
          <w:cantSplit/>
          <w:jc w:val="center"/>
        </w:trPr>
        <w:tc>
          <w:tcPr>
            <w:tcW w:w="458" w:type="dxa"/>
            <w:shd w:val="clear" w:color="000000" w:fill="FFFFFF"/>
            <w:vAlign w:val="center"/>
            <w:hideMark/>
          </w:tcPr>
          <w:p w14:paraId="7A7031F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D38C5B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4606BFB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0BF6E54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106</w:t>
            </w:r>
          </w:p>
        </w:tc>
        <w:tc>
          <w:tcPr>
            <w:tcW w:w="1559" w:type="dxa"/>
            <w:shd w:val="clear" w:color="000000" w:fill="FFFFFF"/>
            <w:noWrap/>
            <w:vAlign w:val="center"/>
            <w:hideMark/>
          </w:tcPr>
          <w:p w14:paraId="19C73F1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97</w:t>
            </w:r>
          </w:p>
        </w:tc>
        <w:tc>
          <w:tcPr>
            <w:tcW w:w="1517" w:type="dxa"/>
            <w:shd w:val="clear" w:color="000000" w:fill="FFFFFF"/>
            <w:noWrap/>
            <w:vAlign w:val="center"/>
            <w:hideMark/>
          </w:tcPr>
          <w:p w14:paraId="0BCC553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171</w:t>
            </w:r>
          </w:p>
        </w:tc>
      </w:tr>
      <w:tr w:rsidR="00E71EED" w:rsidRPr="001B5C3E" w14:paraId="5E4495BC" w14:textId="77777777" w:rsidTr="006A71D3">
        <w:trPr>
          <w:cantSplit/>
          <w:jc w:val="center"/>
        </w:trPr>
        <w:tc>
          <w:tcPr>
            <w:tcW w:w="458" w:type="dxa"/>
            <w:shd w:val="clear" w:color="auto" w:fill="D5DCE4"/>
            <w:vAlign w:val="center"/>
            <w:hideMark/>
          </w:tcPr>
          <w:p w14:paraId="6DBF3BB2"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11</w:t>
            </w:r>
          </w:p>
        </w:tc>
        <w:tc>
          <w:tcPr>
            <w:tcW w:w="2944" w:type="dxa"/>
            <w:shd w:val="clear" w:color="auto" w:fill="D5DCE4"/>
            <w:vAlign w:val="center"/>
            <w:hideMark/>
          </w:tcPr>
          <w:p w14:paraId="5C620E6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Εθνικής Οικονομίας και Οικονομικών πλην Γενικών Κρατικών Δαπανών</w:t>
            </w:r>
          </w:p>
        </w:tc>
        <w:tc>
          <w:tcPr>
            <w:tcW w:w="2127" w:type="dxa"/>
            <w:shd w:val="clear" w:color="auto" w:fill="D5DCE4"/>
            <w:noWrap/>
            <w:vAlign w:val="center"/>
            <w:hideMark/>
          </w:tcPr>
          <w:p w14:paraId="38CE7CAD"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6491BFBA"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3.483</w:t>
            </w:r>
          </w:p>
        </w:tc>
        <w:tc>
          <w:tcPr>
            <w:tcW w:w="1559" w:type="dxa"/>
            <w:shd w:val="clear" w:color="auto" w:fill="D5DCE4"/>
            <w:noWrap/>
            <w:vAlign w:val="center"/>
            <w:hideMark/>
          </w:tcPr>
          <w:p w14:paraId="46753C5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4.339</w:t>
            </w:r>
          </w:p>
        </w:tc>
        <w:tc>
          <w:tcPr>
            <w:tcW w:w="1517" w:type="dxa"/>
            <w:shd w:val="clear" w:color="auto" w:fill="D5DCE4"/>
            <w:noWrap/>
            <w:vAlign w:val="center"/>
            <w:hideMark/>
          </w:tcPr>
          <w:p w14:paraId="1A9842BA"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3.934</w:t>
            </w:r>
          </w:p>
        </w:tc>
      </w:tr>
      <w:tr w:rsidR="00E71EED" w:rsidRPr="001B5C3E" w14:paraId="32368E36" w14:textId="77777777" w:rsidTr="006A71D3">
        <w:trPr>
          <w:cantSplit/>
          <w:jc w:val="center"/>
        </w:trPr>
        <w:tc>
          <w:tcPr>
            <w:tcW w:w="458" w:type="dxa"/>
            <w:shd w:val="clear" w:color="000000" w:fill="FFFFFF"/>
            <w:vAlign w:val="center"/>
            <w:hideMark/>
          </w:tcPr>
          <w:p w14:paraId="0831480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65A5229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0B2DB45C"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736CE04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763</w:t>
            </w:r>
          </w:p>
        </w:tc>
        <w:tc>
          <w:tcPr>
            <w:tcW w:w="1559" w:type="dxa"/>
            <w:shd w:val="clear" w:color="000000" w:fill="FFFFFF"/>
            <w:noWrap/>
            <w:vAlign w:val="center"/>
            <w:hideMark/>
          </w:tcPr>
          <w:p w14:paraId="32E5AA4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801</w:t>
            </w:r>
          </w:p>
        </w:tc>
        <w:tc>
          <w:tcPr>
            <w:tcW w:w="1517" w:type="dxa"/>
            <w:shd w:val="clear" w:color="000000" w:fill="FFFFFF"/>
            <w:noWrap/>
            <w:vAlign w:val="center"/>
            <w:hideMark/>
          </w:tcPr>
          <w:p w14:paraId="2FC1A07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797</w:t>
            </w:r>
          </w:p>
        </w:tc>
      </w:tr>
      <w:tr w:rsidR="00E71EED" w:rsidRPr="001B5C3E" w14:paraId="7777BE96" w14:textId="77777777" w:rsidTr="006A71D3">
        <w:trPr>
          <w:cantSplit/>
          <w:jc w:val="center"/>
        </w:trPr>
        <w:tc>
          <w:tcPr>
            <w:tcW w:w="458" w:type="dxa"/>
            <w:shd w:val="clear" w:color="000000" w:fill="FFFFFF"/>
            <w:vAlign w:val="center"/>
            <w:hideMark/>
          </w:tcPr>
          <w:p w14:paraId="71FA8D4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40B9B1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3C498C36"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6C94B8B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2.667</w:t>
            </w:r>
          </w:p>
        </w:tc>
        <w:tc>
          <w:tcPr>
            <w:tcW w:w="1559" w:type="dxa"/>
            <w:shd w:val="clear" w:color="000000" w:fill="FFFFFF"/>
            <w:noWrap/>
            <w:vAlign w:val="center"/>
            <w:hideMark/>
          </w:tcPr>
          <w:p w14:paraId="207E970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3.490</w:t>
            </w:r>
          </w:p>
        </w:tc>
        <w:tc>
          <w:tcPr>
            <w:tcW w:w="1517" w:type="dxa"/>
            <w:shd w:val="clear" w:color="000000" w:fill="FFFFFF"/>
            <w:noWrap/>
            <w:vAlign w:val="center"/>
            <w:hideMark/>
          </w:tcPr>
          <w:p w14:paraId="3373AB1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2.933</w:t>
            </w:r>
          </w:p>
        </w:tc>
      </w:tr>
      <w:tr w:rsidR="00E71EED" w:rsidRPr="001B5C3E" w14:paraId="3D856013" w14:textId="77777777" w:rsidTr="006A71D3">
        <w:trPr>
          <w:cantSplit/>
          <w:jc w:val="center"/>
        </w:trPr>
        <w:tc>
          <w:tcPr>
            <w:tcW w:w="458" w:type="dxa"/>
            <w:shd w:val="clear" w:color="000000" w:fill="FFFFFF"/>
            <w:vAlign w:val="center"/>
            <w:hideMark/>
          </w:tcPr>
          <w:p w14:paraId="47D77EE5"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12C0184" w14:textId="77777777" w:rsidR="00E71EED" w:rsidRPr="00E71EED" w:rsidRDefault="00E71EED" w:rsidP="006A71D3">
            <w:pPr>
              <w:spacing w:after="0"/>
              <w:rPr>
                <w:rFonts w:ascii="Arial" w:hAnsi="Arial" w:cs="Arial"/>
                <w:color w:val="000000"/>
                <w:sz w:val="16"/>
                <w:szCs w:val="16"/>
              </w:rPr>
            </w:pPr>
          </w:p>
        </w:tc>
        <w:tc>
          <w:tcPr>
            <w:tcW w:w="2127" w:type="dxa"/>
            <w:shd w:val="clear" w:color="000000" w:fill="FFFFFF"/>
            <w:noWrap/>
            <w:vAlign w:val="center"/>
          </w:tcPr>
          <w:p w14:paraId="0042F52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23C2B41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53</w:t>
            </w:r>
          </w:p>
        </w:tc>
        <w:tc>
          <w:tcPr>
            <w:tcW w:w="1559" w:type="dxa"/>
            <w:shd w:val="clear" w:color="000000" w:fill="FFFFFF"/>
            <w:noWrap/>
            <w:vAlign w:val="center"/>
            <w:hideMark/>
          </w:tcPr>
          <w:p w14:paraId="7F841D5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48</w:t>
            </w:r>
          </w:p>
        </w:tc>
        <w:tc>
          <w:tcPr>
            <w:tcW w:w="1517" w:type="dxa"/>
            <w:shd w:val="clear" w:color="000000" w:fill="FFFFFF"/>
            <w:noWrap/>
            <w:vAlign w:val="center"/>
            <w:hideMark/>
          </w:tcPr>
          <w:p w14:paraId="0A6771C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204</w:t>
            </w:r>
          </w:p>
        </w:tc>
      </w:tr>
      <w:tr w:rsidR="00E71EED" w:rsidRPr="001B5C3E" w14:paraId="2261D3DF" w14:textId="77777777" w:rsidTr="006A71D3">
        <w:trPr>
          <w:cantSplit/>
          <w:jc w:val="center"/>
        </w:trPr>
        <w:tc>
          <w:tcPr>
            <w:tcW w:w="458" w:type="dxa"/>
            <w:shd w:val="clear" w:color="auto" w:fill="D5DCE4"/>
            <w:vAlign w:val="center"/>
            <w:hideMark/>
          </w:tcPr>
          <w:p w14:paraId="40C37EE3"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12</w:t>
            </w:r>
          </w:p>
        </w:tc>
        <w:tc>
          <w:tcPr>
            <w:tcW w:w="2944" w:type="dxa"/>
            <w:shd w:val="clear" w:color="auto" w:fill="D5DCE4"/>
            <w:vAlign w:val="center"/>
            <w:hideMark/>
          </w:tcPr>
          <w:p w14:paraId="26E796F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Εθνικής Οικονομίας και Οικονομικών - Γενικές Κρατικές Δαπάνες</w:t>
            </w:r>
          </w:p>
        </w:tc>
        <w:tc>
          <w:tcPr>
            <w:tcW w:w="2127" w:type="dxa"/>
            <w:shd w:val="clear" w:color="auto" w:fill="D5DCE4"/>
            <w:noWrap/>
            <w:vAlign w:val="center"/>
            <w:hideMark/>
          </w:tcPr>
          <w:p w14:paraId="1D976D0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553E839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13.963</w:t>
            </w:r>
          </w:p>
        </w:tc>
        <w:tc>
          <w:tcPr>
            <w:tcW w:w="1559" w:type="dxa"/>
            <w:shd w:val="clear" w:color="auto" w:fill="D5DCE4"/>
            <w:noWrap/>
            <w:vAlign w:val="center"/>
            <w:hideMark/>
          </w:tcPr>
          <w:p w14:paraId="5A4A9D08"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12.308</w:t>
            </w:r>
          </w:p>
        </w:tc>
        <w:tc>
          <w:tcPr>
            <w:tcW w:w="1517" w:type="dxa"/>
            <w:shd w:val="clear" w:color="auto" w:fill="D5DCE4"/>
            <w:noWrap/>
            <w:vAlign w:val="center"/>
            <w:hideMark/>
          </w:tcPr>
          <w:p w14:paraId="7B7714B1"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14.548</w:t>
            </w:r>
          </w:p>
        </w:tc>
      </w:tr>
      <w:tr w:rsidR="00E71EED" w:rsidRPr="001B5C3E" w14:paraId="5B30A257" w14:textId="77777777" w:rsidTr="006A71D3">
        <w:trPr>
          <w:cantSplit/>
          <w:jc w:val="center"/>
        </w:trPr>
        <w:tc>
          <w:tcPr>
            <w:tcW w:w="458" w:type="dxa"/>
            <w:shd w:val="clear" w:color="000000" w:fill="FFFFFF"/>
            <w:vAlign w:val="center"/>
            <w:hideMark/>
          </w:tcPr>
          <w:p w14:paraId="1E09D85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ABE7D7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78E12176"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6FCDB23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13.963</w:t>
            </w:r>
          </w:p>
        </w:tc>
        <w:tc>
          <w:tcPr>
            <w:tcW w:w="1559" w:type="dxa"/>
            <w:shd w:val="clear" w:color="000000" w:fill="FFFFFF"/>
            <w:noWrap/>
            <w:vAlign w:val="center"/>
            <w:hideMark/>
          </w:tcPr>
          <w:p w14:paraId="413AB5A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12.308</w:t>
            </w:r>
          </w:p>
        </w:tc>
        <w:tc>
          <w:tcPr>
            <w:tcW w:w="1517" w:type="dxa"/>
            <w:shd w:val="clear" w:color="000000" w:fill="FFFFFF"/>
            <w:noWrap/>
            <w:vAlign w:val="center"/>
            <w:hideMark/>
          </w:tcPr>
          <w:p w14:paraId="0458BBF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14.548</w:t>
            </w:r>
          </w:p>
        </w:tc>
      </w:tr>
      <w:tr w:rsidR="00E71EED" w:rsidRPr="001B5C3E" w14:paraId="52F0D7BC" w14:textId="77777777" w:rsidTr="006A71D3">
        <w:trPr>
          <w:cantSplit/>
          <w:jc w:val="center"/>
        </w:trPr>
        <w:tc>
          <w:tcPr>
            <w:tcW w:w="458" w:type="dxa"/>
            <w:shd w:val="clear" w:color="000000" w:fill="FFFFFF"/>
            <w:vAlign w:val="center"/>
            <w:hideMark/>
          </w:tcPr>
          <w:p w14:paraId="73D0BDB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2A0C0F9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2BBE1D19"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376EFF6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3848080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3E68BB9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5DB4C852" w14:textId="77777777" w:rsidTr="006A71D3">
        <w:trPr>
          <w:cantSplit/>
          <w:jc w:val="center"/>
        </w:trPr>
        <w:tc>
          <w:tcPr>
            <w:tcW w:w="458" w:type="dxa"/>
            <w:shd w:val="clear" w:color="000000" w:fill="FFFFFF"/>
            <w:vAlign w:val="center"/>
            <w:hideMark/>
          </w:tcPr>
          <w:p w14:paraId="7C911F4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6669309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6C7B112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484E441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7D96D2E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1E271DF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78132F5B" w14:textId="77777777" w:rsidTr="006A71D3">
        <w:trPr>
          <w:cantSplit/>
          <w:jc w:val="center"/>
        </w:trPr>
        <w:tc>
          <w:tcPr>
            <w:tcW w:w="458" w:type="dxa"/>
            <w:shd w:val="clear" w:color="auto" w:fill="D5DCE4"/>
            <w:vAlign w:val="center"/>
            <w:hideMark/>
          </w:tcPr>
          <w:p w14:paraId="7B75D1D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13</w:t>
            </w:r>
          </w:p>
        </w:tc>
        <w:tc>
          <w:tcPr>
            <w:tcW w:w="2944" w:type="dxa"/>
            <w:shd w:val="clear" w:color="auto" w:fill="D5DCE4"/>
            <w:vAlign w:val="center"/>
            <w:hideMark/>
          </w:tcPr>
          <w:p w14:paraId="7200466C"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Αγροτικής Ανάπτυξης και Τροφίμων</w:t>
            </w:r>
          </w:p>
        </w:tc>
        <w:tc>
          <w:tcPr>
            <w:tcW w:w="2127" w:type="dxa"/>
            <w:shd w:val="clear" w:color="auto" w:fill="D5DCE4"/>
            <w:noWrap/>
            <w:vAlign w:val="center"/>
            <w:hideMark/>
          </w:tcPr>
          <w:p w14:paraId="0F9AA04A"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3A03DE85"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1.185</w:t>
            </w:r>
          </w:p>
        </w:tc>
        <w:tc>
          <w:tcPr>
            <w:tcW w:w="1559" w:type="dxa"/>
            <w:shd w:val="clear" w:color="auto" w:fill="D5DCE4"/>
            <w:noWrap/>
            <w:vAlign w:val="center"/>
            <w:hideMark/>
          </w:tcPr>
          <w:p w14:paraId="417C7187"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1.359</w:t>
            </w:r>
          </w:p>
        </w:tc>
        <w:tc>
          <w:tcPr>
            <w:tcW w:w="1517" w:type="dxa"/>
            <w:shd w:val="clear" w:color="auto" w:fill="D5DCE4"/>
            <w:noWrap/>
            <w:vAlign w:val="center"/>
            <w:hideMark/>
          </w:tcPr>
          <w:p w14:paraId="5E1C2062"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1.281</w:t>
            </w:r>
          </w:p>
        </w:tc>
      </w:tr>
      <w:tr w:rsidR="00E71EED" w:rsidRPr="001B5C3E" w14:paraId="61091281" w14:textId="77777777" w:rsidTr="006A71D3">
        <w:trPr>
          <w:cantSplit/>
          <w:jc w:val="center"/>
        </w:trPr>
        <w:tc>
          <w:tcPr>
            <w:tcW w:w="458" w:type="dxa"/>
            <w:shd w:val="clear" w:color="000000" w:fill="FFFFFF"/>
            <w:vAlign w:val="center"/>
            <w:hideMark/>
          </w:tcPr>
          <w:p w14:paraId="130CBB8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6A82310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1F9FF2B3"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562E7AF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204</w:t>
            </w:r>
          </w:p>
        </w:tc>
        <w:tc>
          <w:tcPr>
            <w:tcW w:w="1559" w:type="dxa"/>
            <w:shd w:val="clear" w:color="000000" w:fill="FFFFFF"/>
            <w:noWrap/>
            <w:vAlign w:val="center"/>
            <w:hideMark/>
          </w:tcPr>
          <w:p w14:paraId="5031446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389</w:t>
            </w:r>
          </w:p>
        </w:tc>
        <w:tc>
          <w:tcPr>
            <w:tcW w:w="1517" w:type="dxa"/>
            <w:shd w:val="clear" w:color="000000" w:fill="FFFFFF"/>
            <w:noWrap/>
            <w:vAlign w:val="center"/>
            <w:hideMark/>
          </w:tcPr>
          <w:p w14:paraId="0D1B07D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222</w:t>
            </w:r>
          </w:p>
        </w:tc>
      </w:tr>
      <w:tr w:rsidR="00E71EED" w:rsidRPr="001B5C3E" w14:paraId="3E268F9B" w14:textId="77777777" w:rsidTr="006A71D3">
        <w:trPr>
          <w:cantSplit/>
          <w:jc w:val="center"/>
        </w:trPr>
        <w:tc>
          <w:tcPr>
            <w:tcW w:w="458" w:type="dxa"/>
            <w:shd w:val="clear" w:color="000000" w:fill="FFFFFF"/>
            <w:vAlign w:val="center"/>
            <w:hideMark/>
          </w:tcPr>
          <w:p w14:paraId="3417D6A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1936F5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6022EA77"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3689C83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854</w:t>
            </w:r>
          </w:p>
        </w:tc>
        <w:tc>
          <w:tcPr>
            <w:tcW w:w="1559" w:type="dxa"/>
            <w:shd w:val="clear" w:color="000000" w:fill="FFFFFF"/>
            <w:noWrap/>
            <w:vAlign w:val="center"/>
            <w:hideMark/>
          </w:tcPr>
          <w:p w14:paraId="5ED3093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854</w:t>
            </w:r>
          </w:p>
        </w:tc>
        <w:tc>
          <w:tcPr>
            <w:tcW w:w="1517" w:type="dxa"/>
            <w:shd w:val="clear" w:color="000000" w:fill="FFFFFF"/>
            <w:noWrap/>
            <w:vAlign w:val="center"/>
            <w:hideMark/>
          </w:tcPr>
          <w:p w14:paraId="6116AE3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854</w:t>
            </w:r>
          </w:p>
        </w:tc>
      </w:tr>
      <w:tr w:rsidR="00E71EED" w:rsidRPr="001B5C3E" w14:paraId="3FDB701E" w14:textId="77777777" w:rsidTr="006A71D3">
        <w:trPr>
          <w:cantSplit/>
          <w:jc w:val="center"/>
        </w:trPr>
        <w:tc>
          <w:tcPr>
            <w:tcW w:w="458" w:type="dxa"/>
            <w:tcBorders>
              <w:bottom w:val="single" w:sz="4" w:space="0" w:color="808080" w:themeColor="background1" w:themeShade="80"/>
            </w:tcBorders>
            <w:shd w:val="clear" w:color="000000" w:fill="FFFFFF"/>
            <w:vAlign w:val="center"/>
            <w:hideMark/>
          </w:tcPr>
          <w:p w14:paraId="6860116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lastRenderedPageBreak/>
              <w:t> </w:t>
            </w:r>
          </w:p>
        </w:tc>
        <w:tc>
          <w:tcPr>
            <w:tcW w:w="2944" w:type="dxa"/>
            <w:tcBorders>
              <w:bottom w:val="single" w:sz="4" w:space="0" w:color="808080" w:themeColor="background1" w:themeShade="80"/>
            </w:tcBorders>
            <w:shd w:val="clear" w:color="000000" w:fill="FFFFFF"/>
            <w:vAlign w:val="center"/>
            <w:hideMark/>
          </w:tcPr>
          <w:p w14:paraId="4888DCC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tcBorders>
              <w:bottom w:val="single" w:sz="4" w:space="0" w:color="808080" w:themeColor="background1" w:themeShade="80"/>
            </w:tcBorders>
            <w:shd w:val="clear" w:color="000000" w:fill="FFFFFF"/>
            <w:noWrap/>
            <w:vAlign w:val="center"/>
          </w:tcPr>
          <w:p w14:paraId="4589E2B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tcBorders>
              <w:bottom w:val="single" w:sz="4" w:space="0" w:color="808080" w:themeColor="background1" w:themeShade="80"/>
            </w:tcBorders>
            <w:shd w:val="clear" w:color="000000" w:fill="FFFFFF"/>
            <w:noWrap/>
            <w:vAlign w:val="center"/>
            <w:hideMark/>
          </w:tcPr>
          <w:p w14:paraId="55CBFB1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127</w:t>
            </w:r>
          </w:p>
        </w:tc>
        <w:tc>
          <w:tcPr>
            <w:tcW w:w="1559" w:type="dxa"/>
            <w:tcBorders>
              <w:bottom w:val="single" w:sz="4" w:space="0" w:color="808080" w:themeColor="background1" w:themeShade="80"/>
            </w:tcBorders>
            <w:shd w:val="clear" w:color="000000" w:fill="FFFFFF"/>
            <w:noWrap/>
            <w:vAlign w:val="center"/>
            <w:hideMark/>
          </w:tcPr>
          <w:p w14:paraId="0D6DB04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116</w:t>
            </w:r>
          </w:p>
        </w:tc>
        <w:tc>
          <w:tcPr>
            <w:tcW w:w="1517" w:type="dxa"/>
            <w:tcBorders>
              <w:bottom w:val="single" w:sz="4" w:space="0" w:color="808080" w:themeColor="background1" w:themeShade="80"/>
            </w:tcBorders>
            <w:shd w:val="clear" w:color="000000" w:fill="FFFFFF"/>
            <w:noWrap/>
            <w:vAlign w:val="center"/>
            <w:hideMark/>
          </w:tcPr>
          <w:p w14:paraId="4410495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205</w:t>
            </w:r>
          </w:p>
        </w:tc>
      </w:tr>
      <w:tr w:rsidR="00E71EED" w:rsidRPr="001B5C3E" w14:paraId="488BAC89" w14:textId="77777777" w:rsidTr="006A71D3">
        <w:trPr>
          <w:cantSplit/>
          <w:jc w:val="center"/>
        </w:trPr>
        <w:tc>
          <w:tcPr>
            <w:tcW w:w="458" w:type="dxa"/>
            <w:tcBorders>
              <w:top w:val="nil"/>
            </w:tcBorders>
            <w:shd w:val="clear" w:color="auto" w:fill="D5DCE4"/>
            <w:vAlign w:val="center"/>
            <w:hideMark/>
          </w:tcPr>
          <w:p w14:paraId="2E2B95EA"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14</w:t>
            </w:r>
          </w:p>
        </w:tc>
        <w:tc>
          <w:tcPr>
            <w:tcW w:w="2944" w:type="dxa"/>
            <w:tcBorders>
              <w:top w:val="nil"/>
            </w:tcBorders>
            <w:shd w:val="clear" w:color="auto" w:fill="D5DCE4"/>
            <w:vAlign w:val="center"/>
            <w:hideMark/>
          </w:tcPr>
          <w:p w14:paraId="5922F75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Περιβάλλοντος και Ενεργείας</w:t>
            </w:r>
          </w:p>
        </w:tc>
        <w:tc>
          <w:tcPr>
            <w:tcW w:w="2127" w:type="dxa"/>
            <w:tcBorders>
              <w:top w:val="nil"/>
            </w:tcBorders>
            <w:shd w:val="clear" w:color="auto" w:fill="D5DCE4"/>
            <w:noWrap/>
            <w:vAlign w:val="center"/>
            <w:hideMark/>
          </w:tcPr>
          <w:p w14:paraId="2D76B8F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tcBorders>
              <w:top w:val="nil"/>
            </w:tcBorders>
            <w:shd w:val="clear" w:color="auto" w:fill="D5DCE4"/>
            <w:noWrap/>
            <w:vAlign w:val="center"/>
            <w:hideMark/>
          </w:tcPr>
          <w:p w14:paraId="3EA1B936"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1.823</w:t>
            </w:r>
          </w:p>
        </w:tc>
        <w:tc>
          <w:tcPr>
            <w:tcW w:w="1559" w:type="dxa"/>
            <w:tcBorders>
              <w:top w:val="nil"/>
            </w:tcBorders>
            <w:shd w:val="clear" w:color="auto" w:fill="D5DCE4"/>
            <w:noWrap/>
            <w:vAlign w:val="center"/>
            <w:hideMark/>
          </w:tcPr>
          <w:p w14:paraId="5D4B2747"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2.200</w:t>
            </w:r>
          </w:p>
        </w:tc>
        <w:tc>
          <w:tcPr>
            <w:tcW w:w="1517" w:type="dxa"/>
            <w:tcBorders>
              <w:top w:val="nil"/>
            </w:tcBorders>
            <w:shd w:val="clear" w:color="auto" w:fill="D5DCE4"/>
            <w:noWrap/>
            <w:vAlign w:val="center"/>
            <w:hideMark/>
          </w:tcPr>
          <w:p w14:paraId="272EC6C1"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2.341</w:t>
            </w:r>
          </w:p>
        </w:tc>
      </w:tr>
      <w:tr w:rsidR="00E71EED" w:rsidRPr="001B5C3E" w14:paraId="70DE5D08" w14:textId="77777777" w:rsidTr="006A71D3">
        <w:trPr>
          <w:cantSplit/>
          <w:jc w:val="center"/>
        </w:trPr>
        <w:tc>
          <w:tcPr>
            <w:tcW w:w="458" w:type="dxa"/>
            <w:shd w:val="clear" w:color="000000" w:fill="FFFFFF"/>
            <w:vAlign w:val="center"/>
            <w:hideMark/>
          </w:tcPr>
          <w:p w14:paraId="3166D61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131084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61175B4A"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58161B5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295</w:t>
            </w:r>
          </w:p>
        </w:tc>
        <w:tc>
          <w:tcPr>
            <w:tcW w:w="1559" w:type="dxa"/>
            <w:shd w:val="clear" w:color="000000" w:fill="FFFFFF"/>
            <w:noWrap/>
            <w:vAlign w:val="center"/>
            <w:hideMark/>
          </w:tcPr>
          <w:p w14:paraId="6324DE2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342</w:t>
            </w:r>
          </w:p>
        </w:tc>
        <w:tc>
          <w:tcPr>
            <w:tcW w:w="1517" w:type="dxa"/>
            <w:shd w:val="clear" w:color="000000" w:fill="FFFFFF"/>
            <w:noWrap/>
            <w:vAlign w:val="center"/>
            <w:hideMark/>
          </w:tcPr>
          <w:p w14:paraId="186B8BC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319</w:t>
            </w:r>
          </w:p>
        </w:tc>
      </w:tr>
      <w:tr w:rsidR="00E71EED" w:rsidRPr="001B5C3E" w14:paraId="754113FB" w14:textId="77777777" w:rsidTr="006A71D3">
        <w:trPr>
          <w:cantSplit/>
          <w:jc w:val="center"/>
        </w:trPr>
        <w:tc>
          <w:tcPr>
            <w:tcW w:w="458" w:type="dxa"/>
            <w:shd w:val="clear" w:color="000000" w:fill="FFFFFF"/>
            <w:vAlign w:val="center"/>
            <w:hideMark/>
          </w:tcPr>
          <w:p w14:paraId="1DA3F2E5"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5A9FFC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55C54A4E"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0CC07F3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730</w:t>
            </w:r>
          </w:p>
        </w:tc>
        <w:tc>
          <w:tcPr>
            <w:tcW w:w="1559" w:type="dxa"/>
            <w:shd w:val="clear" w:color="000000" w:fill="FFFFFF"/>
            <w:noWrap/>
            <w:vAlign w:val="center"/>
            <w:hideMark/>
          </w:tcPr>
          <w:p w14:paraId="4FDCEB2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1.070</w:t>
            </w:r>
          </w:p>
        </w:tc>
        <w:tc>
          <w:tcPr>
            <w:tcW w:w="1517" w:type="dxa"/>
            <w:shd w:val="clear" w:color="000000" w:fill="FFFFFF"/>
            <w:noWrap/>
            <w:vAlign w:val="center"/>
            <w:hideMark/>
          </w:tcPr>
          <w:p w14:paraId="6936C56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660</w:t>
            </w:r>
          </w:p>
        </w:tc>
      </w:tr>
      <w:tr w:rsidR="00E71EED" w:rsidRPr="001B5C3E" w14:paraId="3F983C86" w14:textId="77777777" w:rsidTr="006A71D3">
        <w:trPr>
          <w:cantSplit/>
          <w:jc w:val="center"/>
        </w:trPr>
        <w:tc>
          <w:tcPr>
            <w:tcW w:w="458" w:type="dxa"/>
            <w:shd w:val="clear" w:color="000000" w:fill="FFFFFF"/>
            <w:vAlign w:val="center"/>
            <w:hideMark/>
          </w:tcPr>
          <w:p w14:paraId="5CA86A2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3FD88F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707CAFB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7A6EEC7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798</w:t>
            </w:r>
          </w:p>
        </w:tc>
        <w:tc>
          <w:tcPr>
            <w:tcW w:w="1559" w:type="dxa"/>
            <w:shd w:val="clear" w:color="000000" w:fill="FFFFFF"/>
            <w:noWrap/>
            <w:vAlign w:val="center"/>
            <w:hideMark/>
          </w:tcPr>
          <w:p w14:paraId="0C7215A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788</w:t>
            </w:r>
          </w:p>
        </w:tc>
        <w:tc>
          <w:tcPr>
            <w:tcW w:w="1517" w:type="dxa"/>
            <w:shd w:val="clear" w:color="000000" w:fill="FFFFFF"/>
            <w:noWrap/>
            <w:vAlign w:val="center"/>
            <w:hideMark/>
          </w:tcPr>
          <w:p w14:paraId="0FB576B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1.362</w:t>
            </w:r>
          </w:p>
        </w:tc>
      </w:tr>
      <w:tr w:rsidR="00E71EED" w:rsidRPr="001B5C3E" w14:paraId="07B40B81" w14:textId="77777777" w:rsidTr="006A71D3">
        <w:trPr>
          <w:cantSplit/>
          <w:jc w:val="center"/>
        </w:trPr>
        <w:tc>
          <w:tcPr>
            <w:tcW w:w="458" w:type="dxa"/>
            <w:shd w:val="clear" w:color="auto" w:fill="D5DCE4"/>
            <w:vAlign w:val="center"/>
            <w:hideMark/>
          </w:tcPr>
          <w:p w14:paraId="4E56A5B0"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15</w:t>
            </w:r>
          </w:p>
        </w:tc>
        <w:tc>
          <w:tcPr>
            <w:tcW w:w="2944" w:type="dxa"/>
            <w:shd w:val="clear" w:color="auto" w:fill="D5DCE4"/>
            <w:vAlign w:val="center"/>
            <w:hideMark/>
          </w:tcPr>
          <w:p w14:paraId="6D1F35F0"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Εργασίας και Κοινωνικής Ασφάλισης</w:t>
            </w:r>
          </w:p>
        </w:tc>
        <w:tc>
          <w:tcPr>
            <w:tcW w:w="2127" w:type="dxa"/>
            <w:shd w:val="clear" w:color="auto" w:fill="D5DCE4"/>
            <w:noWrap/>
            <w:vAlign w:val="center"/>
            <w:hideMark/>
          </w:tcPr>
          <w:p w14:paraId="616532B2"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0256AFE8"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18.629</w:t>
            </w:r>
          </w:p>
        </w:tc>
        <w:tc>
          <w:tcPr>
            <w:tcW w:w="1559" w:type="dxa"/>
            <w:shd w:val="clear" w:color="auto" w:fill="D5DCE4"/>
            <w:noWrap/>
            <w:vAlign w:val="center"/>
            <w:hideMark/>
          </w:tcPr>
          <w:p w14:paraId="52A71792"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18.620</w:t>
            </w:r>
          </w:p>
        </w:tc>
        <w:tc>
          <w:tcPr>
            <w:tcW w:w="1517" w:type="dxa"/>
            <w:shd w:val="clear" w:color="auto" w:fill="D5DCE4"/>
            <w:noWrap/>
            <w:vAlign w:val="center"/>
            <w:hideMark/>
          </w:tcPr>
          <w:p w14:paraId="6F401009"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18.678</w:t>
            </w:r>
          </w:p>
        </w:tc>
      </w:tr>
      <w:tr w:rsidR="00E71EED" w:rsidRPr="001B5C3E" w14:paraId="649A7A3E" w14:textId="77777777" w:rsidTr="006A71D3">
        <w:trPr>
          <w:cantSplit/>
          <w:jc w:val="center"/>
        </w:trPr>
        <w:tc>
          <w:tcPr>
            <w:tcW w:w="458" w:type="dxa"/>
            <w:shd w:val="clear" w:color="000000" w:fill="FFFFFF"/>
            <w:vAlign w:val="center"/>
            <w:hideMark/>
          </w:tcPr>
          <w:p w14:paraId="212A0C7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652BDD7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5EDCABBF"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52B5A61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18.019</w:t>
            </w:r>
          </w:p>
        </w:tc>
        <w:tc>
          <w:tcPr>
            <w:tcW w:w="1559" w:type="dxa"/>
            <w:shd w:val="clear" w:color="000000" w:fill="FFFFFF"/>
            <w:noWrap/>
            <w:vAlign w:val="center"/>
            <w:hideMark/>
          </w:tcPr>
          <w:p w14:paraId="1DB182D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18.047</w:t>
            </w:r>
          </w:p>
        </w:tc>
        <w:tc>
          <w:tcPr>
            <w:tcW w:w="1517" w:type="dxa"/>
            <w:shd w:val="clear" w:color="000000" w:fill="FFFFFF"/>
            <w:noWrap/>
            <w:vAlign w:val="center"/>
            <w:hideMark/>
          </w:tcPr>
          <w:p w14:paraId="3DF46A3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18.215</w:t>
            </w:r>
          </w:p>
        </w:tc>
      </w:tr>
      <w:tr w:rsidR="00E71EED" w:rsidRPr="001B5C3E" w14:paraId="55291AC3" w14:textId="77777777" w:rsidTr="006A71D3">
        <w:trPr>
          <w:cantSplit/>
          <w:jc w:val="center"/>
        </w:trPr>
        <w:tc>
          <w:tcPr>
            <w:tcW w:w="458" w:type="dxa"/>
            <w:shd w:val="clear" w:color="000000" w:fill="FFFFFF"/>
            <w:vAlign w:val="center"/>
            <w:hideMark/>
          </w:tcPr>
          <w:p w14:paraId="15508F5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E96D46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0B5EE27D"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522386F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236</w:t>
            </w:r>
          </w:p>
        </w:tc>
        <w:tc>
          <w:tcPr>
            <w:tcW w:w="1559" w:type="dxa"/>
            <w:shd w:val="clear" w:color="000000" w:fill="FFFFFF"/>
            <w:noWrap/>
            <w:vAlign w:val="center"/>
            <w:hideMark/>
          </w:tcPr>
          <w:p w14:paraId="37FC818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232</w:t>
            </w:r>
          </w:p>
        </w:tc>
        <w:tc>
          <w:tcPr>
            <w:tcW w:w="1517" w:type="dxa"/>
            <w:shd w:val="clear" w:color="000000" w:fill="FFFFFF"/>
            <w:noWrap/>
            <w:vAlign w:val="center"/>
            <w:hideMark/>
          </w:tcPr>
          <w:p w14:paraId="6D00DCF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190</w:t>
            </w:r>
          </w:p>
        </w:tc>
      </w:tr>
      <w:tr w:rsidR="00E71EED" w:rsidRPr="001B5C3E" w14:paraId="4EE05F17" w14:textId="77777777" w:rsidTr="006A71D3">
        <w:trPr>
          <w:cantSplit/>
          <w:jc w:val="center"/>
        </w:trPr>
        <w:tc>
          <w:tcPr>
            <w:tcW w:w="458" w:type="dxa"/>
            <w:shd w:val="clear" w:color="000000" w:fill="FFFFFF"/>
            <w:vAlign w:val="center"/>
            <w:hideMark/>
          </w:tcPr>
          <w:p w14:paraId="24F4859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3B5575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6EE4262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4199856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374</w:t>
            </w:r>
          </w:p>
        </w:tc>
        <w:tc>
          <w:tcPr>
            <w:tcW w:w="1559" w:type="dxa"/>
            <w:shd w:val="clear" w:color="000000" w:fill="FFFFFF"/>
            <w:noWrap/>
            <w:vAlign w:val="center"/>
            <w:hideMark/>
          </w:tcPr>
          <w:p w14:paraId="39A0BB2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341</w:t>
            </w:r>
          </w:p>
        </w:tc>
        <w:tc>
          <w:tcPr>
            <w:tcW w:w="1517" w:type="dxa"/>
            <w:shd w:val="clear" w:color="000000" w:fill="FFFFFF"/>
            <w:noWrap/>
            <w:vAlign w:val="center"/>
            <w:hideMark/>
          </w:tcPr>
          <w:p w14:paraId="6639B4F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273</w:t>
            </w:r>
          </w:p>
        </w:tc>
      </w:tr>
      <w:tr w:rsidR="00E71EED" w:rsidRPr="001B5C3E" w14:paraId="3922DDBD" w14:textId="77777777" w:rsidTr="006A71D3">
        <w:trPr>
          <w:cantSplit/>
          <w:jc w:val="center"/>
        </w:trPr>
        <w:tc>
          <w:tcPr>
            <w:tcW w:w="458" w:type="dxa"/>
            <w:shd w:val="clear" w:color="auto" w:fill="D5DCE4"/>
            <w:vAlign w:val="center"/>
            <w:hideMark/>
          </w:tcPr>
          <w:p w14:paraId="10ACDCC2"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16</w:t>
            </w:r>
          </w:p>
        </w:tc>
        <w:tc>
          <w:tcPr>
            <w:tcW w:w="2944" w:type="dxa"/>
            <w:shd w:val="clear" w:color="auto" w:fill="D5DCE4"/>
            <w:vAlign w:val="center"/>
            <w:hideMark/>
          </w:tcPr>
          <w:p w14:paraId="529DCB6D"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Υπουργείο Κοινωνικής Συνοχής </w:t>
            </w:r>
          </w:p>
          <w:p w14:paraId="0A92035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και Οικογένειας</w:t>
            </w:r>
          </w:p>
        </w:tc>
        <w:tc>
          <w:tcPr>
            <w:tcW w:w="2127" w:type="dxa"/>
            <w:shd w:val="clear" w:color="auto" w:fill="D5DCE4"/>
            <w:noWrap/>
            <w:vAlign w:val="center"/>
            <w:hideMark/>
          </w:tcPr>
          <w:p w14:paraId="1E970C4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23BEDA4F"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3.992</w:t>
            </w:r>
          </w:p>
        </w:tc>
        <w:tc>
          <w:tcPr>
            <w:tcW w:w="1559" w:type="dxa"/>
            <w:shd w:val="clear" w:color="auto" w:fill="D5DCE4"/>
            <w:noWrap/>
            <w:vAlign w:val="center"/>
            <w:hideMark/>
          </w:tcPr>
          <w:p w14:paraId="6BC9CC5B"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3.954</w:t>
            </w:r>
          </w:p>
        </w:tc>
        <w:tc>
          <w:tcPr>
            <w:tcW w:w="1517" w:type="dxa"/>
            <w:shd w:val="clear" w:color="auto" w:fill="D5DCE4"/>
            <w:noWrap/>
            <w:vAlign w:val="center"/>
            <w:hideMark/>
          </w:tcPr>
          <w:p w14:paraId="37B1C016"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3.990</w:t>
            </w:r>
          </w:p>
        </w:tc>
      </w:tr>
      <w:tr w:rsidR="00E71EED" w:rsidRPr="001B5C3E" w14:paraId="2B9CCF2F" w14:textId="77777777" w:rsidTr="006A71D3">
        <w:trPr>
          <w:cantSplit/>
          <w:jc w:val="center"/>
        </w:trPr>
        <w:tc>
          <w:tcPr>
            <w:tcW w:w="458" w:type="dxa"/>
            <w:shd w:val="clear" w:color="000000" w:fill="FFFFFF"/>
            <w:vAlign w:val="center"/>
            <w:hideMark/>
          </w:tcPr>
          <w:p w14:paraId="09A17C0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31F95E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3DC74ADD"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218FC8B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3.718</w:t>
            </w:r>
          </w:p>
        </w:tc>
        <w:tc>
          <w:tcPr>
            <w:tcW w:w="1559" w:type="dxa"/>
            <w:shd w:val="clear" w:color="000000" w:fill="FFFFFF"/>
            <w:noWrap/>
            <w:vAlign w:val="center"/>
            <w:hideMark/>
          </w:tcPr>
          <w:p w14:paraId="2414ED4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3.777</w:t>
            </w:r>
          </w:p>
        </w:tc>
        <w:tc>
          <w:tcPr>
            <w:tcW w:w="1517" w:type="dxa"/>
            <w:shd w:val="clear" w:color="000000" w:fill="FFFFFF"/>
            <w:noWrap/>
            <w:vAlign w:val="center"/>
            <w:hideMark/>
          </w:tcPr>
          <w:p w14:paraId="51E0795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3.787</w:t>
            </w:r>
          </w:p>
        </w:tc>
      </w:tr>
      <w:tr w:rsidR="00E71EED" w:rsidRPr="001B5C3E" w14:paraId="0927788A" w14:textId="77777777" w:rsidTr="006A71D3">
        <w:trPr>
          <w:cantSplit/>
          <w:jc w:val="center"/>
        </w:trPr>
        <w:tc>
          <w:tcPr>
            <w:tcW w:w="458" w:type="dxa"/>
            <w:shd w:val="clear" w:color="000000" w:fill="FFFFFF"/>
            <w:vAlign w:val="center"/>
            <w:hideMark/>
          </w:tcPr>
          <w:p w14:paraId="39C5153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8CBC25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1BEB318A"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28D83BD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134</w:t>
            </w:r>
          </w:p>
        </w:tc>
        <w:tc>
          <w:tcPr>
            <w:tcW w:w="1559" w:type="dxa"/>
            <w:shd w:val="clear" w:color="000000" w:fill="FFFFFF"/>
            <w:noWrap/>
            <w:vAlign w:val="center"/>
            <w:hideMark/>
          </w:tcPr>
          <w:p w14:paraId="0A7DB17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49</w:t>
            </w:r>
          </w:p>
        </w:tc>
        <w:tc>
          <w:tcPr>
            <w:tcW w:w="1517" w:type="dxa"/>
            <w:shd w:val="clear" w:color="000000" w:fill="FFFFFF"/>
            <w:noWrap/>
            <w:vAlign w:val="center"/>
            <w:hideMark/>
          </w:tcPr>
          <w:p w14:paraId="130D880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103</w:t>
            </w:r>
          </w:p>
        </w:tc>
      </w:tr>
      <w:tr w:rsidR="00E71EED" w:rsidRPr="001B5C3E" w14:paraId="0AF370CD" w14:textId="77777777" w:rsidTr="006A71D3">
        <w:trPr>
          <w:cantSplit/>
          <w:jc w:val="center"/>
        </w:trPr>
        <w:tc>
          <w:tcPr>
            <w:tcW w:w="458" w:type="dxa"/>
            <w:shd w:val="clear" w:color="000000" w:fill="FFFFFF"/>
            <w:vAlign w:val="center"/>
            <w:hideMark/>
          </w:tcPr>
          <w:p w14:paraId="4A48085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875EDD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6F3330D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19E4B39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140</w:t>
            </w:r>
          </w:p>
        </w:tc>
        <w:tc>
          <w:tcPr>
            <w:tcW w:w="1559" w:type="dxa"/>
            <w:shd w:val="clear" w:color="000000" w:fill="FFFFFF"/>
            <w:noWrap/>
            <w:vAlign w:val="center"/>
            <w:hideMark/>
          </w:tcPr>
          <w:p w14:paraId="75CA96D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128</w:t>
            </w:r>
          </w:p>
        </w:tc>
        <w:tc>
          <w:tcPr>
            <w:tcW w:w="1517" w:type="dxa"/>
            <w:shd w:val="clear" w:color="000000" w:fill="FFFFFF"/>
            <w:noWrap/>
            <w:vAlign w:val="center"/>
            <w:hideMark/>
          </w:tcPr>
          <w:p w14:paraId="7808F6D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100</w:t>
            </w:r>
          </w:p>
        </w:tc>
      </w:tr>
      <w:tr w:rsidR="00E71EED" w:rsidRPr="001B5C3E" w14:paraId="645B56CF" w14:textId="77777777" w:rsidTr="006A71D3">
        <w:trPr>
          <w:cantSplit/>
          <w:jc w:val="center"/>
        </w:trPr>
        <w:tc>
          <w:tcPr>
            <w:tcW w:w="458" w:type="dxa"/>
            <w:shd w:val="clear" w:color="auto" w:fill="D5DCE4"/>
            <w:vAlign w:val="center"/>
            <w:hideMark/>
          </w:tcPr>
          <w:p w14:paraId="383B2D55"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17</w:t>
            </w:r>
          </w:p>
        </w:tc>
        <w:tc>
          <w:tcPr>
            <w:tcW w:w="2944" w:type="dxa"/>
            <w:shd w:val="clear" w:color="auto" w:fill="D5DCE4"/>
            <w:vAlign w:val="center"/>
            <w:hideMark/>
          </w:tcPr>
          <w:p w14:paraId="5146ECF2"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Ανάπτυξης</w:t>
            </w:r>
          </w:p>
        </w:tc>
        <w:tc>
          <w:tcPr>
            <w:tcW w:w="2127" w:type="dxa"/>
            <w:shd w:val="clear" w:color="auto" w:fill="D5DCE4"/>
            <w:noWrap/>
            <w:vAlign w:val="center"/>
            <w:hideMark/>
          </w:tcPr>
          <w:p w14:paraId="28FCDC4D"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079C4E6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925</w:t>
            </w:r>
          </w:p>
        </w:tc>
        <w:tc>
          <w:tcPr>
            <w:tcW w:w="1559" w:type="dxa"/>
            <w:shd w:val="clear" w:color="auto" w:fill="D5DCE4"/>
            <w:noWrap/>
            <w:vAlign w:val="center"/>
            <w:hideMark/>
          </w:tcPr>
          <w:p w14:paraId="127812B2"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801</w:t>
            </w:r>
          </w:p>
        </w:tc>
        <w:tc>
          <w:tcPr>
            <w:tcW w:w="1517" w:type="dxa"/>
            <w:shd w:val="clear" w:color="auto" w:fill="D5DCE4"/>
            <w:noWrap/>
            <w:vAlign w:val="center"/>
            <w:hideMark/>
          </w:tcPr>
          <w:p w14:paraId="2371EB4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818</w:t>
            </w:r>
          </w:p>
        </w:tc>
      </w:tr>
      <w:tr w:rsidR="00E71EED" w:rsidRPr="001B5C3E" w14:paraId="747945EC" w14:textId="77777777" w:rsidTr="006A71D3">
        <w:trPr>
          <w:cantSplit/>
          <w:jc w:val="center"/>
        </w:trPr>
        <w:tc>
          <w:tcPr>
            <w:tcW w:w="458" w:type="dxa"/>
            <w:shd w:val="clear" w:color="000000" w:fill="FFFFFF"/>
            <w:vAlign w:val="center"/>
            <w:hideMark/>
          </w:tcPr>
          <w:p w14:paraId="1F1E2B8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6377A15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7F75909F"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5C3A13E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126</w:t>
            </w:r>
          </w:p>
        </w:tc>
        <w:tc>
          <w:tcPr>
            <w:tcW w:w="1559" w:type="dxa"/>
            <w:shd w:val="clear" w:color="000000" w:fill="FFFFFF"/>
            <w:noWrap/>
            <w:vAlign w:val="center"/>
            <w:hideMark/>
          </w:tcPr>
          <w:p w14:paraId="3B1B682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126</w:t>
            </w:r>
          </w:p>
        </w:tc>
        <w:tc>
          <w:tcPr>
            <w:tcW w:w="1517" w:type="dxa"/>
            <w:shd w:val="clear" w:color="000000" w:fill="FFFFFF"/>
            <w:noWrap/>
            <w:vAlign w:val="center"/>
            <w:hideMark/>
          </w:tcPr>
          <w:p w14:paraId="2577801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123</w:t>
            </w:r>
          </w:p>
        </w:tc>
      </w:tr>
      <w:tr w:rsidR="00E71EED" w:rsidRPr="001B5C3E" w14:paraId="42A7225C" w14:textId="77777777" w:rsidTr="006A71D3">
        <w:trPr>
          <w:cantSplit/>
          <w:jc w:val="center"/>
        </w:trPr>
        <w:tc>
          <w:tcPr>
            <w:tcW w:w="458" w:type="dxa"/>
            <w:shd w:val="clear" w:color="000000" w:fill="FFFFFF"/>
            <w:vAlign w:val="center"/>
            <w:hideMark/>
          </w:tcPr>
          <w:p w14:paraId="6B7C539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B9F8E3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531F9D09"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7ED83FE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595</w:t>
            </w:r>
          </w:p>
        </w:tc>
        <w:tc>
          <w:tcPr>
            <w:tcW w:w="1559" w:type="dxa"/>
            <w:shd w:val="clear" w:color="000000" w:fill="FFFFFF"/>
            <w:noWrap/>
            <w:vAlign w:val="center"/>
            <w:hideMark/>
          </w:tcPr>
          <w:p w14:paraId="4919693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505</w:t>
            </w:r>
          </w:p>
        </w:tc>
        <w:tc>
          <w:tcPr>
            <w:tcW w:w="1517" w:type="dxa"/>
            <w:shd w:val="clear" w:color="000000" w:fill="FFFFFF"/>
            <w:noWrap/>
            <w:vAlign w:val="center"/>
            <w:hideMark/>
          </w:tcPr>
          <w:p w14:paraId="6EE7835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534</w:t>
            </w:r>
          </w:p>
        </w:tc>
      </w:tr>
      <w:tr w:rsidR="00E71EED" w:rsidRPr="001B5C3E" w14:paraId="43E677A3" w14:textId="77777777" w:rsidTr="006A71D3">
        <w:trPr>
          <w:cantSplit/>
          <w:jc w:val="center"/>
        </w:trPr>
        <w:tc>
          <w:tcPr>
            <w:tcW w:w="458" w:type="dxa"/>
            <w:shd w:val="clear" w:color="000000" w:fill="FFFFFF"/>
            <w:vAlign w:val="center"/>
            <w:hideMark/>
          </w:tcPr>
          <w:p w14:paraId="20DDF745"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E63CF5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5616C63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42BF75C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204</w:t>
            </w:r>
          </w:p>
        </w:tc>
        <w:tc>
          <w:tcPr>
            <w:tcW w:w="1559" w:type="dxa"/>
            <w:shd w:val="clear" w:color="000000" w:fill="FFFFFF"/>
            <w:noWrap/>
            <w:vAlign w:val="center"/>
            <w:hideMark/>
          </w:tcPr>
          <w:p w14:paraId="461599B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170</w:t>
            </w:r>
          </w:p>
        </w:tc>
        <w:tc>
          <w:tcPr>
            <w:tcW w:w="1517" w:type="dxa"/>
            <w:shd w:val="clear" w:color="000000" w:fill="FFFFFF"/>
            <w:noWrap/>
            <w:vAlign w:val="center"/>
            <w:hideMark/>
          </w:tcPr>
          <w:p w14:paraId="45B8216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161</w:t>
            </w:r>
          </w:p>
        </w:tc>
      </w:tr>
      <w:tr w:rsidR="00E71EED" w:rsidRPr="001B5C3E" w14:paraId="0F3A30B4" w14:textId="77777777" w:rsidTr="006A71D3">
        <w:trPr>
          <w:cantSplit/>
          <w:jc w:val="center"/>
        </w:trPr>
        <w:tc>
          <w:tcPr>
            <w:tcW w:w="458" w:type="dxa"/>
            <w:shd w:val="clear" w:color="auto" w:fill="D5DCE4"/>
            <w:vAlign w:val="center"/>
            <w:hideMark/>
          </w:tcPr>
          <w:p w14:paraId="7B886E6B"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18</w:t>
            </w:r>
          </w:p>
        </w:tc>
        <w:tc>
          <w:tcPr>
            <w:tcW w:w="2944" w:type="dxa"/>
            <w:shd w:val="clear" w:color="auto" w:fill="D5DCE4"/>
            <w:vAlign w:val="center"/>
            <w:hideMark/>
          </w:tcPr>
          <w:p w14:paraId="3C0106A4"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Υπουργείο Υποδομών </w:t>
            </w:r>
          </w:p>
          <w:p w14:paraId="0E68A084"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και Μεταφορών</w:t>
            </w:r>
          </w:p>
        </w:tc>
        <w:tc>
          <w:tcPr>
            <w:tcW w:w="2127" w:type="dxa"/>
            <w:shd w:val="clear" w:color="auto" w:fill="D5DCE4"/>
            <w:noWrap/>
            <w:vAlign w:val="center"/>
            <w:hideMark/>
          </w:tcPr>
          <w:p w14:paraId="5EE2A0B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373DB37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2.350</w:t>
            </w:r>
          </w:p>
        </w:tc>
        <w:tc>
          <w:tcPr>
            <w:tcW w:w="1559" w:type="dxa"/>
            <w:shd w:val="clear" w:color="auto" w:fill="D5DCE4"/>
            <w:noWrap/>
            <w:vAlign w:val="center"/>
            <w:hideMark/>
          </w:tcPr>
          <w:p w14:paraId="551A2A7A"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2.686</w:t>
            </w:r>
          </w:p>
        </w:tc>
        <w:tc>
          <w:tcPr>
            <w:tcW w:w="1517" w:type="dxa"/>
            <w:shd w:val="clear" w:color="auto" w:fill="D5DCE4"/>
            <w:noWrap/>
            <w:vAlign w:val="center"/>
            <w:hideMark/>
          </w:tcPr>
          <w:p w14:paraId="67DC7325"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2.695</w:t>
            </w:r>
          </w:p>
        </w:tc>
      </w:tr>
      <w:tr w:rsidR="00E71EED" w:rsidRPr="001B5C3E" w14:paraId="05FCE1C7" w14:textId="77777777" w:rsidTr="006A71D3">
        <w:trPr>
          <w:cantSplit/>
          <w:jc w:val="center"/>
        </w:trPr>
        <w:tc>
          <w:tcPr>
            <w:tcW w:w="458" w:type="dxa"/>
            <w:shd w:val="clear" w:color="000000" w:fill="FFFFFF"/>
            <w:vAlign w:val="center"/>
            <w:hideMark/>
          </w:tcPr>
          <w:p w14:paraId="466B3033"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924E0F5"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36D6D4F8"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6AB5103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883</w:t>
            </w:r>
          </w:p>
        </w:tc>
        <w:tc>
          <w:tcPr>
            <w:tcW w:w="1559" w:type="dxa"/>
            <w:shd w:val="clear" w:color="000000" w:fill="FFFFFF"/>
            <w:noWrap/>
            <w:vAlign w:val="center"/>
            <w:hideMark/>
          </w:tcPr>
          <w:p w14:paraId="3F3D3F2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936</w:t>
            </w:r>
          </w:p>
        </w:tc>
        <w:tc>
          <w:tcPr>
            <w:tcW w:w="1517" w:type="dxa"/>
            <w:shd w:val="clear" w:color="000000" w:fill="FFFFFF"/>
            <w:noWrap/>
            <w:vAlign w:val="center"/>
            <w:hideMark/>
          </w:tcPr>
          <w:p w14:paraId="2BAC246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882</w:t>
            </w:r>
          </w:p>
        </w:tc>
      </w:tr>
      <w:tr w:rsidR="00E71EED" w:rsidRPr="001B5C3E" w14:paraId="0597008D" w14:textId="77777777" w:rsidTr="006A71D3">
        <w:trPr>
          <w:cantSplit/>
          <w:jc w:val="center"/>
        </w:trPr>
        <w:tc>
          <w:tcPr>
            <w:tcW w:w="458" w:type="dxa"/>
            <w:shd w:val="clear" w:color="000000" w:fill="FFFFFF"/>
            <w:vAlign w:val="center"/>
            <w:hideMark/>
          </w:tcPr>
          <w:p w14:paraId="516E53C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090D3E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1F1D4FBC"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42888F7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1.074</w:t>
            </w:r>
          </w:p>
        </w:tc>
        <w:tc>
          <w:tcPr>
            <w:tcW w:w="1559" w:type="dxa"/>
            <w:shd w:val="clear" w:color="000000" w:fill="FFFFFF"/>
            <w:noWrap/>
            <w:vAlign w:val="center"/>
            <w:hideMark/>
          </w:tcPr>
          <w:p w14:paraId="0BF50D4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1.390</w:t>
            </w:r>
          </w:p>
        </w:tc>
        <w:tc>
          <w:tcPr>
            <w:tcW w:w="1517" w:type="dxa"/>
            <w:shd w:val="clear" w:color="000000" w:fill="FFFFFF"/>
            <w:noWrap/>
            <w:vAlign w:val="center"/>
            <w:hideMark/>
          </w:tcPr>
          <w:p w14:paraId="530BC52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1.420</w:t>
            </w:r>
          </w:p>
        </w:tc>
      </w:tr>
      <w:tr w:rsidR="00E71EED" w:rsidRPr="001B5C3E" w14:paraId="3CB623C7" w14:textId="77777777" w:rsidTr="006A71D3">
        <w:trPr>
          <w:cantSplit/>
          <w:jc w:val="center"/>
        </w:trPr>
        <w:tc>
          <w:tcPr>
            <w:tcW w:w="458" w:type="dxa"/>
            <w:shd w:val="clear" w:color="000000" w:fill="FFFFFF"/>
            <w:vAlign w:val="center"/>
            <w:hideMark/>
          </w:tcPr>
          <w:p w14:paraId="0CFCC81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895BE6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03B736C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26BD990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393</w:t>
            </w:r>
          </w:p>
        </w:tc>
        <w:tc>
          <w:tcPr>
            <w:tcW w:w="1559" w:type="dxa"/>
            <w:shd w:val="clear" w:color="000000" w:fill="FFFFFF"/>
            <w:noWrap/>
            <w:vAlign w:val="center"/>
            <w:hideMark/>
          </w:tcPr>
          <w:p w14:paraId="52A4A3D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360</w:t>
            </w:r>
          </w:p>
        </w:tc>
        <w:tc>
          <w:tcPr>
            <w:tcW w:w="1517" w:type="dxa"/>
            <w:shd w:val="clear" w:color="000000" w:fill="FFFFFF"/>
            <w:noWrap/>
            <w:vAlign w:val="center"/>
            <w:hideMark/>
          </w:tcPr>
          <w:p w14:paraId="112E6A7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393</w:t>
            </w:r>
          </w:p>
        </w:tc>
      </w:tr>
      <w:tr w:rsidR="00E71EED" w:rsidRPr="001B5C3E" w14:paraId="7E0A143F" w14:textId="77777777" w:rsidTr="006A71D3">
        <w:trPr>
          <w:cantSplit/>
          <w:jc w:val="center"/>
        </w:trPr>
        <w:tc>
          <w:tcPr>
            <w:tcW w:w="458" w:type="dxa"/>
            <w:shd w:val="clear" w:color="auto" w:fill="D5DCE4"/>
            <w:vAlign w:val="center"/>
            <w:hideMark/>
          </w:tcPr>
          <w:p w14:paraId="32876202"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19</w:t>
            </w:r>
          </w:p>
        </w:tc>
        <w:tc>
          <w:tcPr>
            <w:tcW w:w="2944" w:type="dxa"/>
            <w:shd w:val="clear" w:color="auto" w:fill="D5DCE4"/>
            <w:vAlign w:val="center"/>
            <w:hideMark/>
          </w:tcPr>
          <w:p w14:paraId="0EC7C2F7"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Ναυτιλίας και Νησιωτικής Πολιτικής</w:t>
            </w:r>
          </w:p>
        </w:tc>
        <w:tc>
          <w:tcPr>
            <w:tcW w:w="2127" w:type="dxa"/>
            <w:shd w:val="clear" w:color="auto" w:fill="D5DCE4"/>
            <w:noWrap/>
            <w:vAlign w:val="center"/>
            <w:hideMark/>
          </w:tcPr>
          <w:p w14:paraId="208F4836"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33D20839"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576</w:t>
            </w:r>
          </w:p>
        </w:tc>
        <w:tc>
          <w:tcPr>
            <w:tcW w:w="1559" w:type="dxa"/>
            <w:shd w:val="clear" w:color="auto" w:fill="D5DCE4"/>
            <w:noWrap/>
            <w:vAlign w:val="center"/>
            <w:hideMark/>
          </w:tcPr>
          <w:p w14:paraId="1B924CEC"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631</w:t>
            </w:r>
          </w:p>
        </w:tc>
        <w:tc>
          <w:tcPr>
            <w:tcW w:w="1517" w:type="dxa"/>
            <w:shd w:val="clear" w:color="auto" w:fill="D5DCE4"/>
            <w:noWrap/>
            <w:vAlign w:val="center"/>
            <w:hideMark/>
          </w:tcPr>
          <w:p w14:paraId="569DC7E2"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652</w:t>
            </w:r>
          </w:p>
        </w:tc>
      </w:tr>
      <w:tr w:rsidR="00E71EED" w:rsidRPr="001B5C3E" w14:paraId="5CB61664" w14:textId="77777777" w:rsidTr="006A71D3">
        <w:trPr>
          <w:cantSplit/>
          <w:jc w:val="center"/>
        </w:trPr>
        <w:tc>
          <w:tcPr>
            <w:tcW w:w="458" w:type="dxa"/>
            <w:shd w:val="clear" w:color="000000" w:fill="FFFFFF"/>
            <w:vAlign w:val="center"/>
            <w:hideMark/>
          </w:tcPr>
          <w:p w14:paraId="63B7AB5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83555E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512DD104"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65B86C9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311</w:t>
            </w:r>
          </w:p>
        </w:tc>
        <w:tc>
          <w:tcPr>
            <w:tcW w:w="1559" w:type="dxa"/>
            <w:shd w:val="clear" w:color="000000" w:fill="FFFFFF"/>
            <w:noWrap/>
            <w:vAlign w:val="center"/>
            <w:hideMark/>
          </w:tcPr>
          <w:p w14:paraId="6F2A59B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326</w:t>
            </w:r>
          </w:p>
        </w:tc>
        <w:tc>
          <w:tcPr>
            <w:tcW w:w="1517" w:type="dxa"/>
            <w:shd w:val="clear" w:color="000000" w:fill="FFFFFF"/>
            <w:noWrap/>
            <w:vAlign w:val="center"/>
            <w:hideMark/>
          </w:tcPr>
          <w:p w14:paraId="46C05CD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337</w:t>
            </w:r>
          </w:p>
        </w:tc>
      </w:tr>
      <w:tr w:rsidR="00E71EED" w:rsidRPr="001B5C3E" w14:paraId="4A26AC9A" w14:textId="77777777" w:rsidTr="006A71D3">
        <w:trPr>
          <w:cantSplit/>
          <w:jc w:val="center"/>
        </w:trPr>
        <w:tc>
          <w:tcPr>
            <w:tcW w:w="458" w:type="dxa"/>
            <w:shd w:val="clear" w:color="000000" w:fill="FFFFFF"/>
            <w:vAlign w:val="center"/>
            <w:hideMark/>
          </w:tcPr>
          <w:p w14:paraId="5085F15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D8774F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109FC91B"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5CF2D75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260</w:t>
            </w:r>
          </w:p>
        </w:tc>
        <w:tc>
          <w:tcPr>
            <w:tcW w:w="1559" w:type="dxa"/>
            <w:shd w:val="clear" w:color="000000" w:fill="FFFFFF"/>
            <w:noWrap/>
            <w:vAlign w:val="center"/>
            <w:hideMark/>
          </w:tcPr>
          <w:p w14:paraId="6B3B155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300</w:t>
            </w:r>
          </w:p>
        </w:tc>
        <w:tc>
          <w:tcPr>
            <w:tcW w:w="1517" w:type="dxa"/>
            <w:shd w:val="clear" w:color="000000" w:fill="FFFFFF"/>
            <w:noWrap/>
            <w:vAlign w:val="center"/>
            <w:hideMark/>
          </w:tcPr>
          <w:p w14:paraId="54AE9F6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285</w:t>
            </w:r>
          </w:p>
        </w:tc>
      </w:tr>
      <w:tr w:rsidR="00E71EED" w:rsidRPr="001B5C3E" w14:paraId="56E11443" w14:textId="77777777" w:rsidTr="006A71D3">
        <w:trPr>
          <w:cantSplit/>
          <w:jc w:val="center"/>
        </w:trPr>
        <w:tc>
          <w:tcPr>
            <w:tcW w:w="458" w:type="dxa"/>
            <w:shd w:val="clear" w:color="000000" w:fill="FFFFFF"/>
            <w:vAlign w:val="center"/>
            <w:hideMark/>
          </w:tcPr>
          <w:p w14:paraId="48B87CE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689C14B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46D37AC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3A1B383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w:t>
            </w:r>
          </w:p>
        </w:tc>
        <w:tc>
          <w:tcPr>
            <w:tcW w:w="1559" w:type="dxa"/>
            <w:shd w:val="clear" w:color="000000" w:fill="FFFFFF"/>
            <w:noWrap/>
            <w:vAlign w:val="center"/>
            <w:hideMark/>
          </w:tcPr>
          <w:p w14:paraId="414911E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w:t>
            </w:r>
          </w:p>
        </w:tc>
        <w:tc>
          <w:tcPr>
            <w:tcW w:w="1517" w:type="dxa"/>
            <w:shd w:val="clear" w:color="000000" w:fill="FFFFFF"/>
            <w:noWrap/>
            <w:vAlign w:val="center"/>
            <w:hideMark/>
          </w:tcPr>
          <w:p w14:paraId="2B40253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30</w:t>
            </w:r>
          </w:p>
        </w:tc>
      </w:tr>
      <w:tr w:rsidR="00E71EED" w:rsidRPr="001B5C3E" w14:paraId="78884686" w14:textId="77777777" w:rsidTr="006A71D3">
        <w:trPr>
          <w:cantSplit/>
          <w:jc w:val="center"/>
        </w:trPr>
        <w:tc>
          <w:tcPr>
            <w:tcW w:w="458" w:type="dxa"/>
            <w:shd w:val="clear" w:color="auto" w:fill="D5DCE4"/>
            <w:vAlign w:val="center"/>
            <w:hideMark/>
          </w:tcPr>
          <w:p w14:paraId="13D3214A"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20</w:t>
            </w:r>
          </w:p>
        </w:tc>
        <w:tc>
          <w:tcPr>
            <w:tcW w:w="2944" w:type="dxa"/>
            <w:shd w:val="clear" w:color="auto" w:fill="D5DCE4"/>
            <w:vAlign w:val="center"/>
            <w:hideMark/>
          </w:tcPr>
          <w:p w14:paraId="25B0CA4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Τουρισμού</w:t>
            </w:r>
          </w:p>
        </w:tc>
        <w:tc>
          <w:tcPr>
            <w:tcW w:w="2127" w:type="dxa"/>
            <w:shd w:val="clear" w:color="auto" w:fill="D5DCE4"/>
            <w:noWrap/>
            <w:vAlign w:val="center"/>
            <w:hideMark/>
          </w:tcPr>
          <w:p w14:paraId="0A4D010E"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472E21D8"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168</w:t>
            </w:r>
          </w:p>
        </w:tc>
        <w:tc>
          <w:tcPr>
            <w:tcW w:w="1559" w:type="dxa"/>
            <w:shd w:val="clear" w:color="auto" w:fill="D5DCE4"/>
            <w:noWrap/>
            <w:vAlign w:val="center"/>
            <w:hideMark/>
          </w:tcPr>
          <w:p w14:paraId="4FD5384E"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156</w:t>
            </w:r>
          </w:p>
        </w:tc>
        <w:tc>
          <w:tcPr>
            <w:tcW w:w="1517" w:type="dxa"/>
            <w:shd w:val="clear" w:color="auto" w:fill="D5DCE4"/>
            <w:noWrap/>
            <w:vAlign w:val="center"/>
            <w:hideMark/>
          </w:tcPr>
          <w:p w14:paraId="41DDE43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189</w:t>
            </w:r>
          </w:p>
        </w:tc>
      </w:tr>
      <w:tr w:rsidR="00E71EED" w:rsidRPr="001B5C3E" w14:paraId="2623A129" w14:textId="77777777" w:rsidTr="006A71D3">
        <w:trPr>
          <w:cantSplit/>
          <w:jc w:val="center"/>
        </w:trPr>
        <w:tc>
          <w:tcPr>
            <w:tcW w:w="458" w:type="dxa"/>
            <w:shd w:val="clear" w:color="000000" w:fill="FFFFFF"/>
            <w:vAlign w:val="center"/>
            <w:hideMark/>
          </w:tcPr>
          <w:p w14:paraId="1F06864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85943F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7390C765"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143E732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39</w:t>
            </w:r>
          </w:p>
        </w:tc>
        <w:tc>
          <w:tcPr>
            <w:tcW w:w="1559" w:type="dxa"/>
            <w:shd w:val="clear" w:color="000000" w:fill="FFFFFF"/>
            <w:noWrap/>
            <w:vAlign w:val="center"/>
            <w:hideMark/>
          </w:tcPr>
          <w:p w14:paraId="3AD3F2E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38</w:t>
            </w:r>
          </w:p>
        </w:tc>
        <w:tc>
          <w:tcPr>
            <w:tcW w:w="1517" w:type="dxa"/>
            <w:shd w:val="clear" w:color="000000" w:fill="FFFFFF"/>
            <w:noWrap/>
            <w:vAlign w:val="center"/>
            <w:hideMark/>
          </w:tcPr>
          <w:p w14:paraId="7019BAE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39</w:t>
            </w:r>
          </w:p>
        </w:tc>
      </w:tr>
      <w:tr w:rsidR="00E71EED" w:rsidRPr="001B5C3E" w14:paraId="36847FB2" w14:textId="77777777" w:rsidTr="006A71D3">
        <w:trPr>
          <w:cantSplit/>
          <w:jc w:val="center"/>
        </w:trPr>
        <w:tc>
          <w:tcPr>
            <w:tcW w:w="458" w:type="dxa"/>
            <w:shd w:val="clear" w:color="000000" w:fill="FFFFFF"/>
            <w:vAlign w:val="center"/>
            <w:hideMark/>
          </w:tcPr>
          <w:p w14:paraId="3FEA5DC3"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D1BE0B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51880B38"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6B23352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50</w:t>
            </w:r>
          </w:p>
        </w:tc>
        <w:tc>
          <w:tcPr>
            <w:tcW w:w="1559" w:type="dxa"/>
            <w:shd w:val="clear" w:color="000000" w:fill="FFFFFF"/>
            <w:noWrap/>
            <w:vAlign w:val="center"/>
            <w:hideMark/>
          </w:tcPr>
          <w:p w14:paraId="40BB739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46</w:t>
            </w:r>
          </w:p>
        </w:tc>
        <w:tc>
          <w:tcPr>
            <w:tcW w:w="1517" w:type="dxa"/>
            <w:shd w:val="clear" w:color="000000" w:fill="FFFFFF"/>
            <w:noWrap/>
            <w:vAlign w:val="center"/>
            <w:hideMark/>
          </w:tcPr>
          <w:p w14:paraId="724E078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41</w:t>
            </w:r>
          </w:p>
        </w:tc>
      </w:tr>
      <w:tr w:rsidR="00E71EED" w:rsidRPr="001B5C3E" w14:paraId="5A233290" w14:textId="77777777" w:rsidTr="006A71D3">
        <w:trPr>
          <w:cantSplit/>
          <w:jc w:val="center"/>
        </w:trPr>
        <w:tc>
          <w:tcPr>
            <w:tcW w:w="458" w:type="dxa"/>
            <w:shd w:val="clear" w:color="000000" w:fill="FFFFFF"/>
            <w:vAlign w:val="center"/>
            <w:hideMark/>
          </w:tcPr>
          <w:p w14:paraId="142390A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370367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72E68C75"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11A74FC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79</w:t>
            </w:r>
          </w:p>
        </w:tc>
        <w:tc>
          <w:tcPr>
            <w:tcW w:w="1559" w:type="dxa"/>
            <w:shd w:val="clear" w:color="000000" w:fill="FFFFFF"/>
            <w:noWrap/>
            <w:vAlign w:val="center"/>
            <w:hideMark/>
          </w:tcPr>
          <w:p w14:paraId="5AAD498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72</w:t>
            </w:r>
          </w:p>
        </w:tc>
        <w:tc>
          <w:tcPr>
            <w:tcW w:w="1517" w:type="dxa"/>
            <w:shd w:val="clear" w:color="000000" w:fill="FFFFFF"/>
            <w:noWrap/>
            <w:vAlign w:val="center"/>
            <w:hideMark/>
          </w:tcPr>
          <w:p w14:paraId="44E9D87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109</w:t>
            </w:r>
          </w:p>
        </w:tc>
      </w:tr>
      <w:tr w:rsidR="00E71EED" w:rsidRPr="001B5C3E" w14:paraId="7465675C" w14:textId="77777777" w:rsidTr="006A71D3">
        <w:trPr>
          <w:cantSplit/>
          <w:jc w:val="center"/>
        </w:trPr>
        <w:tc>
          <w:tcPr>
            <w:tcW w:w="458" w:type="dxa"/>
            <w:shd w:val="clear" w:color="auto" w:fill="D5DCE4"/>
            <w:vAlign w:val="center"/>
            <w:hideMark/>
          </w:tcPr>
          <w:p w14:paraId="1357A185"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21</w:t>
            </w:r>
          </w:p>
        </w:tc>
        <w:tc>
          <w:tcPr>
            <w:tcW w:w="2944" w:type="dxa"/>
            <w:shd w:val="clear" w:color="auto" w:fill="D5DCE4"/>
            <w:vAlign w:val="center"/>
            <w:hideMark/>
          </w:tcPr>
          <w:p w14:paraId="23DC31AD"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Ψηφιακής Διακυβέρνησης</w:t>
            </w:r>
          </w:p>
        </w:tc>
        <w:tc>
          <w:tcPr>
            <w:tcW w:w="2127" w:type="dxa"/>
            <w:shd w:val="clear" w:color="auto" w:fill="D5DCE4"/>
            <w:noWrap/>
            <w:vAlign w:val="center"/>
            <w:hideMark/>
          </w:tcPr>
          <w:p w14:paraId="516A82D4"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7E29D5B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844</w:t>
            </w:r>
          </w:p>
        </w:tc>
        <w:tc>
          <w:tcPr>
            <w:tcW w:w="1559" w:type="dxa"/>
            <w:shd w:val="clear" w:color="auto" w:fill="D5DCE4"/>
            <w:noWrap/>
            <w:vAlign w:val="center"/>
            <w:hideMark/>
          </w:tcPr>
          <w:p w14:paraId="25F860AA"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781</w:t>
            </w:r>
          </w:p>
        </w:tc>
        <w:tc>
          <w:tcPr>
            <w:tcW w:w="1517" w:type="dxa"/>
            <w:shd w:val="clear" w:color="auto" w:fill="D5DCE4"/>
            <w:noWrap/>
            <w:vAlign w:val="center"/>
            <w:hideMark/>
          </w:tcPr>
          <w:p w14:paraId="44A1206A"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1.074</w:t>
            </w:r>
          </w:p>
        </w:tc>
      </w:tr>
      <w:tr w:rsidR="00E71EED" w:rsidRPr="001B5C3E" w14:paraId="04479DD5" w14:textId="77777777" w:rsidTr="006A71D3">
        <w:trPr>
          <w:cantSplit/>
          <w:jc w:val="center"/>
        </w:trPr>
        <w:tc>
          <w:tcPr>
            <w:tcW w:w="458" w:type="dxa"/>
            <w:shd w:val="clear" w:color="000000" w:fill="FFFFFF"/>
            <w:vAlign w:val="center"/>
            <w:hideMark/>
          </w:tcPr>
          <w:p w14:paraId="713B20F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046D91C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7A7D7F16"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3B81775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186</w:t>
            </w:r>
          </w:p>
        </w:tc>
        <w:tc>
          <w:tcPr>
            <w:tcW w:w="1559" w:type="dxa"/>
            <w:shd w:val="clear" w:color="000000" w:fill="FFFFFF"/>
            <w:noWrap/>
            <w:vAlign w:val="center"/>
            <w:hideMark/>
          </w:tcPr>
          <w:p w14:paraId="70CCF4B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166</w:t>
            </w:r>
          </w:p>
        </w:tc>
        <w:tc>
          <w:tcPr>
            <w:tcW w:w="1517" w:type="dxa"/>
            <w:shd w:val="clear" w:color="000000" w:fill="FFFFFF"/>
            <w:noWrap/>
            <w:vAlign w:val="center"/>
            <w:hideMark/>
          </w:tcPr>
          <w:p w14:paraId="01D5DB3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152</w:t>
            </w:r>
          </w:p>
        </w:tc>
      </w:tr>
      <w:tr w:rsidR="00E71EED" w:rsidRPr="001B5C3E" w14:paraId="365DCEF5" w14:textId="77777777" w:rsidTr="006A71D3">
        <w:trPr>
          <w:cantSplit/>
          <w:jc w:val="center"/>
        </w:trPr>
        <w:tc>
          <w:tcPr>
            <w:tcW w:w="458" w:type="dxa"/>
            <w:shd w:val="clear" w:color="000000" w:fill="FFFFFF"/>
            <w:vAlign w:val="center"/>
            <w:hideMark/>
          </w:tcPr>
          <w:p w14:paraId="4A7EA77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7EC05D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34AA11A8"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7B74252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240</w:t>
            </w:r>
          </w:p>
        </w:tc>
        <w:tc>
          <w:tcPr>
            <w:tcW w:w="1559" w:type="dxa"/>
            <w:shd w:val="clear" w:color="000000" w:fill="FFFFFF"/>
            <w:noWrap/>
            <w:vAlign w:val="center"/>
            <w:hideMark/>
          </w:tcPr>
          <w:p w14:paraId="31C35D0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230</w:t>
            </w:r>
          </w:p>
        </w:tc>
        <w:tc>
          <w:tcPr>
            <w:tcW w:w="1517" w:type="dxa"/>
            <w:shd w:val="clear" w:color="000000" w:fill="FFFFFF"/>
            <w:noWrap/>
            <w:vAlign w:val="center"/>
            <w:hideMark/>
          </w:tcPr>
          <w:p w14:paraId="2ED4D78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170</w:t>
            </w:r>
          </w:p>
        </w:tc>
      </w:tr>
      <w:tr w:rsidR="00E71EED" w:rsidRPr="001B5C3E" w14:paraId="32A734F9" w14:textId="77777777" w:rsidTr="006A71D3">
        <w:trPr>
          <w:cantSplit/>
          <w:jc w:val="center"/>
        </w:trPr>
        <w:tc>
          <w:tcPr>
            <w:tcW w:w="458" w:type="dxa"/>
            <w:shd w:val="clear" w:color="000000" w:fill="FFFFFF"/>
            <w:vAlign w:val="center"/>
            <w:hideMark/>
          </w:tcPr>
          <w:p w14:paraId="47D9503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6E7253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1C8AD97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15C660A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418</w:t>
            </w:r>
          </w:p>
        </w:tc>
        <w:tc>
          <w:tcPr>
            <w:tcW w:w="1559" w:type="dxa"/>
            <w:shd w:val="clear" w:color="000000" w:fill="FFFFFF"/>
            <w:noWrap/>
            <w:vAlign w:val="center"/>
            <w:hideMark/>
          </w:tcPr>
          <w:p w14:paraId="7676FB7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385</w:t>
            </w:r>
          </w:p>
        </w:tc>
        <w:tc>
          <w:tcPr>
            <w:tcW w:w="1517" w:type="dxa"/>
            <w:shd w:val="clear" w:color="000000" w:fill="FFFFFF"/>
            <w:noWrap/>
            <w:vAlign w:val="center"/>
            <w:hideMark/>
          </w:tcPr>
          <w:p w14:paraId="4D9A471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752</w:t>
            </w:r>
          </w:p>
        </w:tc>
      </w:tr>
      <w:tr w:rsidR="00E71EED" w:rsidRPr="001B5C3E" w14:paraId="0FBCDA88" w14:textId="77777777" w:rsidTr="006A71D3">
        <w:trPr>
          <w:cantSplit/>
          <w:jc w:val="center"/>
        </w:trPr>
        <w:tc>
          <w:tcPr>
            <w:tcW w:w="458" w:type="dxa"/>
            <w:shd w:val="clear" w:color="auto" w:fill="D5DCE4"/>
            <w:vAlign w:val="center"/>
            <w:hideMark/>
          </w:tcPr>
          <w:p w14:paraId="53A7FD96"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22</w:t>
            </w:r>
          </w:p>
        </w:tc>
        <w:tc>
          <w:tcPr>
            <w:tcW w:w="2944" w:type="dxa"/>
            <w:shd w:val="clear" w:color="auto" w:fill="D5DCE4"/>
            <w:vAlign w:val="center"/>
            <w:hideMark/>
          </w:tcPr>
          <w:p w14:paraId="6EB8481E"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Υπουργείο Μετανάστευσης </w:t>
            </w:r>
          </w:p>
          <w:p w14:paraId="2EB3A4EE"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και Άσυλου</w:t>
            </w:r>
          </w:p>
        </w:tc>
        <w:tc>
          <w:tcPr>
            <w:tcW w:w="2127" w:type="dxa"/>
            <w:shd w:val="clear" w:color="auto" w:fill="D5DCE4"/>
            <w:noWrap/>
            <w:vAlign w:val="center"/>
            <w:hideMark/>
          </w:tcPr>
          <w:p w14:paraId="3CCB0605"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53B2B33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473</w:t>
            </w:r>
          </w:p>
        </w:tc>
        <w:tc>
          <w:tcPr>
            <w:tcW w:w="1559" w:type="dxa"/>
            <w:shd w:val="clear" w:color="auto" w:fill="D5DCE4"/>
            <w:noWrap/>
            <w:vAlign w:val="center"/>
            <w:hideMark/>
          </w:tcPr>
          <w:p w14:paraId="09918D0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486</w:t>
            </w:r>
          </w:p>
        </w:tc>
        <w:tc>
          <w:tcPr>
            <w:tcW w:w="1517" w:type="dxa"/>
            <w:shd w:val="clear" w:color="auto" w:fill="D5DCE4"/>
            <w:noWrap/>
            <w:vAlign w:val="center"/>
            <w:hideMark/>
          </w:tcPr>
          <w:p w14:paraId="2FDB6BA1"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476</w:t>
            </w:r>
          </w:p>
        </w:tc>
      </w:tr>
      <w:tr w:rsidR="00E71EED" w:rsidRPr="001B5C3E" w14:paraId="28C025F5" w14:textId="77777777" w:rsidTr="006A71D3">
        <w:trPr>
          <w:cantSplit/>
          <w:jc w:val="center"/>
        </w:trPr>
        <w:tc>
          <w:tcPr>
            <w:tcW w:w="458" w:type="dxa"/>
            <w:shd w:val="clear" w:color="000000" w:fill="FFFFFF"/>
            <w:vAlign w:val="center"/>
            <w:hideMark/>
          </w:tcPr>
          <w:p w14:paraId="5B183B1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BA0D21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73A81D7B"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137FFE2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124</w:t>
            </w:r>
          </w:p>
        </w:tc>
        <w:tc>
          <w:tcPr>
            <w:tcW w:w="1559" w:type="dxa"/>
            <w:shd w:val="clear" w:color="000000" w:fill="FFFFFF"/>
            <w:noWrap/>
            <w:vAlign w:val="center"/>
            <w:hideMark/>
          </w:tcPr>
          <w:p w14:paraId="3047065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123</w:t>
            </w:r>
          </w:p>
        </w:tc>
        <w:tc>
          <w:tcPr>
            <w:tcW w:w="1517" w:type="dxa"/>
            <w:shd w:val="clear" w:color="000000" w:fill="FFFFFF"/>
            <w:noWrap/>
            <w:vAlign w:val="center"/>
            <w:hideMark/>
          </w:tcPr>
          <w:p w14:paraId="2FCB63C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142</w:t>
            </w:r>
          </w:p>
        </w:tc>
      </w:tr>
      <w:tr w:rsidR="00E71EED" w:rsidRPr="001B5C3E" w14:paraId="4F8A484D" w14:textId="77777777" w:rsidTr="006A71D3">
        <w:trPr>
          <w:cantSplit/>
          <w:jc w:val="center"/>
        </w:trPr>
        <w:tc>
          <w:tcPr>
            <w:tcW w:w="458" w:type="dxa"/>
            <w:shd w:val="clear" w:color="000000" w:fill="FFFFFF"/>
            <w:vAlign w:val="center"/>
            <w:hideMark/>
          </w:tcPr>
          <w:p w14:paraId="6E7CFF3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C57F1A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64DEFD5E"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59AAED9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340</w:t>
            </w:r>
          </w:p>
        </w:tc>
        <w:tc>
          <w:tcPr>
            <w:tcW w:w="1559" w:type="dxa"/>
            <w:shd w:val="clear" w:color="000000" w:fill="FFFFFF"/>
            <w:noWrap/>
            <w:vAlign w:val="center"/>
            <w:hideMark/>
          </w:tcPr>
          <w:p w14:paraId="0D69B00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345</w:t>
            </w:r>
          </w:p>
        </w:tc>
        <w:tc>
          <w:tcPr>
            <w:tcW w:w="1517" w:type="dxa"/>
            <w:shd w:val="clear" w:color="000000" w:fill="FFFFFF"/>
            <w:noWrap/>
            <w:vAlign w:val="center"/>
            <w:hideMark/>
          </w:tcPr>
          <w:p w14:paraId="2A92747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306</w:t>
            </w:r>
          </w:p>
        </w:tc>
      </w:tr>
      <w:tr w:rsidR="00E71EED" w:rsidRPr="001B5C3E" w14:paraId="1D0F0E4C" w14:textId="77777777" w:rsidTr="006A71D3">
        <w:trPr>
          <w:cantSplit/>
          <w:jc w:val="center"/>
        </w:trPr>
        <w:tc>
          <w:tcPr>
            <w:tcW w:w="458" w:type="dxa"/>
            <w:shd w:val="clear" w:color="000000" w:fill="FFFFFF"/>
            <w:vAlign w:val="center"/>
            <w:hideMark/>
          </w:tcPr>
          <w:p w14:paraId="07049AB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6B0827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4C8B336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1340CF0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9</w:t>
            </w:r>
          </w:p>
        </w:tc>
        <w:tc>
          <w:tcPr>
            <w:tcW w:w="1559" w:type="dxa"/>
            <w:shd w:val="clear" w:color="000000" w:fill="FFFFFF"/>
            <w:noWrap/>
            <w:vAlign w:val="center"/>
            <w:hideMark/>
          </w:tcPr>
          <w:p w14:paraId="38528DF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18</w:t>
            </w:r>
          </w:p>
        </w:tc>
        <w:tc>
          <w:tcPr>
            <w:tcW w:w="1517" w:type="dxa"/>
            <w:shd w:val="clear" w:color="000000" w:fill="FFFFFF"/>
            <w:noWrap/>
            <w:vAlign w:val="center"/>
            <w:hideMark/>
          </w:tcPr>
          <w:p w14:paraId="521C26F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28</w:t>
            </w:r>
          </w:p>
        </w:tc>
      </w:tr>
      <w:tr w:rsidR="00E71EED" w:rsidRPr="001B5C3E" w14:paraId="4BA478CA" w14:textId="77777777" w:rsidTr="006A71D3">
        <w:trPr>
          <w:cantSplit/>
          <w:jc w:val="center"/>
        </w:trPr>
        <w:tc>
          <w:tcPr>
            <w:tcW w:w="458" w:type="dxa"/>
            <w:shd w:val="clear" w:color="auto" w:fill="D5DCE4"/>
            <w:vAlign w:val="center"/>
            <w:hideMark/>
          </w:tcPr>
          <w:p w14:paraId="65A4412A"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23</w:t>
            </w:r>
          </w:p>
        </w:tc>
        <w:tc>
          <w:tcPr>
            <w:tcW w:w="2944" w:type="dxa"/>
            <w:shd w:val="clear" w:color="auto" w:fill="D5DCE4"/>
            <w:vAlign w:val="center"/>
            <w:hideMark/>
          </w:tcPr>
          <w:p w14:paraId="6964D40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Υπουργείο Προστασίας του Πολίτη</w:t>
            </w:r>
          </w:p>
        </w:tc>
        <w:tc>
          <w:tcPr>
            <w:tcW w:w="2127" w:type="dxa"/>
            <w:shd w:val="clear" w:color="auto" w:fill="D5DCE4"/>
            <w:noWrap/>
            <w:vAlign w:val="center"/>
            <w:hideMark/>
          </w:tcPr>
          <w:p w14:paraId="5C260BD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3AA1435F"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2.263</w:t>
            </w:r>
          </w:p>
        </w:tc>
        <w:tc>
          <w:tcPr>
            <w:tcW w:w="1559" w:type="dxa"/>
            <w:shd w:val="clear" w:color="auto" w:fill="D5DCE4"/>
            <w:noWrap/>
            <w:vAlign w:val="center"/>
            <w:hideMark/>
          </w:tcPr>
          <w:p w14:paraId="57A26E8C"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2.332</w:t>
            </w:r>
          </w:p>
        </w:tc>
        <w:tc>
          <w:tcPr>
            <w:tcW w:w="1517" w:type="dxa"/>
            <w:shd w:val="clear" w:color="auto" w:fill="D5DCE4"/>
            <w:noWrap/>
            <w:vAlign w:val="center"/>
            <w:hideMark/>
          </w:tcPr>
          <w:p w14:paraId="0D77E54D"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2.286</w:t>
            </w:r>
          </w:p>
        </w:tc>
      </w:tr>
      <w:tr w:rsidR="00E71EED" w:rsidRPr="001B5C3E" w14:paraId="4AA67C40" w14:textId="77777777" w:rsidTr="006A71D3">
        <w:trPr>
          <w:cantSplit/>
          <w:jc w:val="center"/>
        </w:trPr>
        <w:tc>
          <w:tcPr>
            <w:tcW w:w="458" w:type="dxa"/>
            <w:shd w:val="clear" w:color="000000" w:fill="FFFFFF"/>
            <w:vAlign w:val="center"/>
            <w:hideMark/>
          </w:tcPr>
          <w:p w14:paraId="7FBAB19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83C411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7A9977E6"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6C99B86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2.185</w:t>
            </w:r>
          </w:p>
        </w:tc>
        <w:tc>
          <w:tcPr>
            <w:tcW w:w="1559" w:type="dxa"/>
            <w:shd w:val="clear" w:color="000000" w:fill="FFFFFF"/>
            <w:noWrap/>
            <w:vAlign w:val="center"/>
            <w:hideMark/>
          </w:tcPr>
          <w:p w14:paraId="6043249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2.269</w:t>
            </w:r>
          </w:p>
        </w:tc>
        <w:tc>
          <w:tcPr>
            <w:tcW w:w="1517" w:type="dxa"/>
            <w:shd w:val="clear" w:color="000000" w:fill="FFFFFF"/>
            <w:noWrap/>
            <w:vAlign w:val="center"/>
            <w:hideMark/>
          </w:tcPr>
          <w:p w14:paraId="0ADFE6D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2.218</w:t>
            </w:r>
          </w:p>
        </w:tc>
      </w:tr>
      <w:tr w:rsidR="00E71EED" w:rsidRPr="001B5C3E" w14:paraId="79AB549D" w14:textId="77777777" w:rsidTr="006A71D3">
        <w:trPr>
          <w:cantSplit/>
          <w:jc w:val="center"/>
        </w:trPr>
        <w:tc>
          <w:tcPr>
            <w:tcW w:w="458" w:type="dxa"/>
            <w:shd w:val="clear" w:color="000000" w:fill="FFFFFF"/>
            <w:vAlign w:val="center"/>
            <w:hideMark/>
          </w:tcPr>
          <w:p w14:paraId="6FF9700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lastRenderedPageBreak/>
              <w:t> </w:t>
            </w:r>
          </w:p>
        </w:tc>
        <w:tc>
          <w:tcPr>
            <w:tcW w:w="2944" w:type="dxa"/>
            <w:shd w:val="clear" w:color="000000" w:fill="FFFFFF"/>
            <w:vAlign w:val="center"/>
            <w:hideMark/>
          </w:tcPr>
          <w:p w14:paraId="4F4C838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455EC5F5"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5FDD21C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78</w:t>
            </w:r>
          </w:p>
        </w:tc>
        <w:tc>
          <w:tcPr>
            <w:tcW w:w="1559" w:type="dxa"/>
            <w:shd w:val="clear" w:color="000000" w:fill="FFFFFF"/>
            <w:noWrap/>
            <w:vAlign w:val="center"/>
            <w:hideMark/>
          </w:tcPr>
          <w:p w14:paraId="41654D4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63</w:t>
            </w:r>
          </w:p>
        </w:tc>
        <w:tc>
          <w:tcPr>
            <w:tcW w:w="1517" w:type="dxa"/>
            <w:shd w:val="clear" w:color="000000" w:fill="FFFFFF"/>
            <w:noWrap/>
            <w:vAlign w:val="center"/>
            <w:hideMark/>
          </w:tcPr>
          <w:p w14:paraId="66522D9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68</w:t>
            </w:r>
          </w:p>
        </w:tc>
      </w:tr>
      <w:tr w:rsidR="00E71EED" w:rsidRPr="001B5C3E" w14:paraId="6D95CB20" w14:textId="77777777" w:rsidTr="006A71D3">
        <w:trPr>
          <w:cantSplit/>
          <w:jc w:val="center"/>
        </w:trPr>
        <w:tc>
          <w:tcPr>
            <w:tcW w:w="458" w:type="dxa"/>
            <w:shd w:val="clear" w:color="000000" w:fill="FFFFFF"/>
            <w:vAlign w:val="center"/>
            <w:hideMark/>
          </w:tcPr>
          <w:p w14:paraId="3CDA00A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258A73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6E13D5E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0A02C2F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26FF07F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20E0DD4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11199C5C" w14:textId="77777777" w:rsidTr="006A71D3">
        <w:trPr>
          <w:cantSplit/>
          <w:jc w:val="center"/>
        </w:trPr>
        <w:tc>
          <w:tcPr>
            <w:tcW w:w="458" w:type="dxa"/>
            <w:shd w:val="clear" w:color="auto" w:fill="D5DCE4"/>
            <w:vAlign w:val="center"/>
            <w:hideMark/>
          </w:tcPr>
          <w:p w14:paraId="269E7EC4"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24</w:t>
            </w:r>
          </w:p>
        </w:tc>
        <w:tc>
          <w:tcPr>
            <w:tcW w:w="2944" w:type="dxa"/>
            <w:shd w:val="clear" w:color="auto" w:fill="D5DCE4"/>
            <w:vAlign w:val="center"/>
            <w:hideMark/>
          </w:tcPr>
          <w:p w14:paraId="2971EDA9"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Υπουργείο Κλιματικής Κρίσης </w:t>
            </w:r>
          </w:p>
          <w:p w14:paraId="12B738AD"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και Πολιτικής Προστασίας</w:t>
            </w:r>
          </w:p>
        </w:tc>
        <w:tc>
          <w:tcPr>
            <w:tcW w:w="2127" w:type="dxa"/>
            <w:shd w:val="clear" w:color="auto" w:fill="D5DCE4"/>
            <w:noWrap/>
            <w:vAlign w:val="center"/>
            <w:hideMark/>
          </w:tcPr>
          <w:p w14:paraId="1A05F4E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71901FC5"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937</w:t>
            </w:r>
          </w:p>
        </w:tc>
        <w:tc>
          <w:tcPr>
            <w:tcW w:w="1559" w:type="dxa"/>
            <w:shd w:val="clear" w:color="auto" w:fill="D5DCE4"/>
            <w:noWrap/>
            <w:vAlign w:val="center"/>
            <w:hideMark/>
          </w:tcPr>
          <w:p w14:paraId="411FC612"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1.086</w:t>
            </w:r>
          </w:p>
        </w:tc>
        <w:tc>
          <w:tcPr>
            <w:tcW w:w="1517" w:type="dxa"/>
            <w:shd w:val="clear" w:color="auto" w:fill="D5DCE4"/>
            <w:noWrap/>
            <w:vAlign w:val="center"/>
            <w:hideMark/>
          </w:tcPr>
          <w:p w14:paraId="7AFE83F7"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1.221</w:t>
            </w:r>
          </w:p>
        </w:tc>
      </w:tr>
      <w:tr w:rsidR="00E71EED" w:rsidRPr="001B5C3E" w14:paraId="6EACF9DB" w14:textId="77777777" w:rsidTr="006A71D3">
        <w:trPr>
          <w:cantSplit/>
          <w:jc w:val="center"/>
        </w:trPr>
        <w:tc>
          <w:tcPr>
            <w:tcW w:w="458" w:type="dxa"/>
            <w:shd w:val="clear" w:color="000000" w:fill="FFFFFF"/>
            <w:vAlign w:val="center"/>
            <w:hideMark/>
          </w:tcPr>
          <w:p w14:paraId="1E90323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CE2413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2EEBC1E7"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257A913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680</w:t>
            </w:r>
          </w:p>
        </w:tc>
        <w:tc>
          <w:tcPr>
            <w:tcW w:w="1559" w:type="dxa"/>
            <w:shd w:val="clear" w:color="000000" w:fill="FFFFFF"/>
            <w:noWrap/>
            <w:vAlign w:val="center"/>
            <w:hideMark/>
          </w:tcPr>
          <w:p w14:paraId="6A228E3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768</w:t>
            </w:r>
          </w:p>
        </w:tc>
        <w:tc>
          <w:tcPr>
            <w:tcW w:w="1517" w:type="dxa"/>
            <w:shd w:val="clear" w:color="000000" w:fill="FFFFFF"/>
            <w:noWrap/>
            <w:vAlign w:val="center"/>
            <w:hideMark/>
          </w:tcPr>
          <w:p w14:paraId="4AB7225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760</w:t>
            </w:r>
          </w:p>
        </w:tc>
      </w:tr>
      <w:tr w:rsidR="00E71EED" w:rsidRPr="001B5C3E" w14:paraId="6C84D45B" w14:textId="77777777" w:rsidTr="006A71D3">
        <w:trPr>
          <w:cantSplit/>
          <w:jc w:val="center"/>
        </w:trPr>
        <w:tc>
          <w:tcPr>
            <w:tcW w:w="458" w:type="dxa"/>
            <w:shd w:val="clear" w:color="000000" w:fill="FFFFFF"/>
            <w:vAlign w:val="center"/>
            <w:hideMark/>
          </w:tcPr>
          <w:p w14:paraId="7CFA44B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282BDC0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35A3E802"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6C085FC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150</w:t>
            </w:r>
          </w:p>
        </w:tc>
        <w:tc>
          <w:tcPr>
            <w:tcW w:w="1559" w:type="dxa"/>
            <w:shd w:val="clear" w:color="000000" w:fill="FFFFFF"/>
            <w:noWrap/>
            <w:vAlign w:val="center"/>
            <w:hideMark/>
          </w:tcPr>
          <w:p w14:paraId="18503BD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220</w:t>
            </w:r>
          </w:p>
        </w:tc>
        <w:tc>
          <w:tcPr>
            <w:tcW w:w="1517" w:type="dxa"/>
            <w:shd w:val="clear" w:color="000000" w:fill="FFFFFF"/>
            <w:noWrap/>
            <w:vAlign w:val="center"/>
            <w:hideMark/>
          </w:tcPr>
          <w:p w14:paraId="5913ED5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260</w:t>
            </w:r>
          </w:p>
        </w:tc>
      </w:tr>
      <w:tr w:rsidR="00E71EED" w:rsidRPr="001B5C3E" w14:paraId="3063F1CE" w14:textId="77777777" w:rsidTr="006A71D3">
        <w:trPr>
          <w:cantSplit/>
          <w:jc w:val="center"/>
        </w:trPr>
        <w:tc>
          <w:tcPr>
            <w:tcW w:w="458" w:type="dxa"/>
            <w:shd w:val="clear" w:color="000000" w:fill="FFFFFF"/>
            <w:vAlign w:val="center"/>
            <w:hideMark/>
          </w:tcPr>
          <w:p w14:paraId="3ED3984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685A0F3"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5F7C7D3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45DC993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107</w:t>
            </w:r>
          </w:p>
        </w:tc>
        <w:tc>
          <w:tcPr>
            <w:tcW w:w="1559" w:type="dxa"/>
            <w:shd w:val="clear" w:color="000000" w:fill="FFFFFF"/>
            <w:noWrap/>
            <w:vAlign w:val="center"/>
            <w:hideMark/>
          </w:tcPr>
          <w:p w14:paraId="3AEFDFC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98</w:t>
            </w:r>
          </w:p>
        </w:tc>
        <w:tc>
          <w:tcPr>
            <w:tcW w:w="1517" w:type="dxa"/>
            <w:shd w:val="clear" w:color="000000" w:fill="FFFFFF"/>
            <w:noWrap/>
            <w:vAlign w:val="center"/>
            <w:hideMark/>
          </w:tcPr>
          <w:p w14:paraId="1F69941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201</w:t>
            </w:r>
          </w:p>
        </w:tc>
      </w:tr>
      <w:tr w:rsidR="00E71EED" w:rsidRPr="001B5C3E" w14:paraId="586ECEF8" w14:textId="77777777" w:rsidTr="006A71D3">
        <w:trPr>
          <w:cantSplit/>
          <w:jc w:val="center"/>
        </w:trPr>
        <w:tc>
          <w:tcPr>
            <w:tcW w:w="458" w:type="dxa"/>
            <w:shd w:val="clear" w:color="auto" w:fill="D5DCE4"/>
            <w:vAlign w:val="center"/>
            <w:hideMark/>
          </w:tcPr>
          <w:p w14:paraId="05403A7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25</w:t>
            </w:r>
          </w:p>
        </w:tc>
        <w:tc>
          <w:tcPr>
            <w:tcW w:w="2944" w:type="dxa"/>
            <w:shd w:val="clear" w:color="auto" w:fill="D5DCE4"/>
            <w:vAlign w:val="center"/>
            <w:hideMark/>
          </w:tcPr>
          <w:p w14:paraId="0C0EA2EC"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Αποκεντρωμένη Διοίκηση Αττικής</w:t>
            </w:r>
          </w:p>
        </w:tc>
        <w:tc>
          <w:tcPr>
            <w:tcW w:w="2127" w:type="dxa"/>
            <w:shd w:val="clear" w:color="auto" w:fill="D5DCE4"/>
            <w:noWrap/>
            <w:vAlign w:val="center"/>
            <w:hideMark/>
          </w:tcPr>
          <w:p w14:paraId="288CEF1C"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41BDC190"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12</w:t>
            </w:r>
          </w:p>
        </w:tc>
        <w:tc>
          <w:tcPr>
            <w:tcW w:w="1559" w:type="dxa"/>
            <w:shd w:val="clear" w:color="auto" w:fill="D5DCE4"/>
            <w:noWrap/>
            <w:vAlign w:val="center"/>
            <w:hideMark/>
          </w:tcPr>
          <w:p w14:paraId="27B79A97"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15</w:t>
            </w:r>
          </w:p>
        </w:tc>
        <w:tc>
          <w:tcPr>
            <w:tcW w:w="1517" w:type="dxa"/>
            <w:shd w:val="clear" w:color="auto" w:fill="D5DCE4"/>
            <w:noWrap/>
            <w:vAlign w:val="center"/>
            <w:hideMark/>
          </w:tcPr>
          <w:p w14:paraId="49B24E3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13</w:t>
            </w:r>
          </w:p>
        </w:tc>
      </w:tr>
      <w:tr w:rsidR="00E71EED" w:rsidRPr="001B5C3E" w14:paraId="6F27F8BA" w14:textId="77777777" w:rsidTr="006A71D3">
        <w:trPr>
          <w:cantSplit/>
          <w:jc w:val="center"/>
        </w:trPr>
        <w:tc>
          <w:tcPr>
            <w:tcW w:w="458" w:type="dxa"/>
            <w:shd w:val="clear" w:color="000000" w:fill="FFFFFF"/>
            <w:vAlign w:val="center"/>
            <w:hideMark/>
          </w:tcPr>
          <w:p w14:paraId="2E06F52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BF6E88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2A4442D7"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17C4EEE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w:t>
            </w:r>
          </w:p>
        </w:tc>
        <w:tc>
          <w:tcPr>
            <w:tcW w:w="1559" w:type="dxa"/>
            <w:shd w:val="clear" w:color="000000" w:fill="FFFFFF"/>
            <w:noWrap/>
            <w:vAlign w:val="center"/>
            <w:hideMark/>
          </w:tcPr>
          <w:p w14:paraId="790CC6C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15</w:t>
            </w:r>
          </w:p>
        </w:tc>
        <w:tc>
          <w:tcPr>
            <w:tcW w:w="1517" w:type="dxa"/>
            <w:shd w:val="clear" w:color="000000" w:fill="FFFFFF"/>
            <w:noWrap/>
            <w:vAlign w:val="center"/>
            <w:hideMark/>
          </w:tcPr>
          <w:p w14:paraId="7A321A4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13</w:t>
            </w:r>
          </w:p>
        </w:tc>
      </w:tr>
      <w:tr w:rsidR="00E71EED" w:rsidRPr="001B5C3E" w14:paraId="67D48836" w14:textId="77777777" w:rsidTr="006A71D3">
        <w:trPr>
          <w:cantSplit/>
          <w:jc w:val="center"/>
        </w:trPr>
        <w:tc>
          <w:tcPr>
            <w:tcW w:w="458" w:type="dxa"/>
            <w:shd w:val="clear" w:color="000000" w:fill="FFFFFF"/>
            <w:vAlign w:val="center"/>
            <w:hideMark/>
          </w:tcPr>
          <w:p w14:paraId="6B7DE20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57559E2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0AA230FE"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0B3E316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6BFB026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17991C0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552D573E" w14:textId="77777777" w:rsidTr="006A71D3">
        <w:trPr>
          <w:cantSplit/>
          <w:jc w:val="center"/>
        </w:trPr>
        <w:tc>
          <w:tcPr>
            <w:tcW w:w="458" w:type="dxa"/>
            <w:shd w:val="clear" w:color="000000" w:fill="FFFFFF"/>
            <w:vAlign w:val="center"/>
            <w:hideMark/>
          </w:tcPr>
          <w:p w14:paraId="5F7A79C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89D976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50C7719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0E5E6A4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5720024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0203570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39AB87B2" w14:textId="77777777" w:rsidTr="006A71D3">
        <w:trPr>
          <w:cantSplit/>
          <w:jc w:val="center"/>
        </w:trPr>
        <w:tc>
          <w:tcPr>
            <w:tcW w:w="458" w:type="dxa"/>
            <w:shd w:val="clear" w:color="auto" w:fill="D5DCE4"/>
            <w:vAlign w:val="center"/>
            <w:hideMark/>
          </w:tcPr>
          <w:p w14:paraId="4778C0DD"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26</w:t>
            </w:r>
          </w:p>
        </w:tc>
        <w:tc>
          <w:tcPr>
            <w:tcW w:w="2944" w:type="dxa"/>
            <w:shd w:val="clear" w:color="auto" w:fill="D5DCE4"/>
            <w:vAlign w:val="center"/>
            <w:hideMark/>
          </w:tcPr>
          <w:p w14:paraId="7E8BB8D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Αποκεντρωμένη Διοίκηση Θεσσαλίας - Στερεάς Ελλάδας</w:t>
            </w:r>
          </w:p>
        </w:tc>
        <w:tc>
          <w:tcPr>
            <w:tcW w:w="2127" w:type="dxa"/>
            <w:shd w:val="clear" w:color="auto" w:fill="D5DCE4"/>
            <w:noWrap/>
            <w:vAlign w:val="center"/>
            <w:hideMark/>
          </w:tcPr>
          <w:p w14:paraId="5140340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2717E0E8"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11</w:t>
            </w:r>
          </w:p>
        </w:tc>
        <w:tc>
          <w:tcPr>
            <w:tcW w:w="1559" w:type="dxa"/>
            <w:shd w:val="clear" w:color="auto" w:fill="D5DCE4"/>
            <w:noWrap/>
            <w:vAlign w:val="center"/>
            <w:hideMark/>
          </w:tcPr>
          <w:p w14:paraId="5A1BF640"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12</w:t>
            </w:r>
          </w:p>
        </w:tc>
        <w:tc>
          <w:tcPr>
            <w:tcW w:w="1517" w:type="dxa"/>
            <w:shd w:val="clear" w:color="auto" w:fill="D5DCE4"/>
            <w:noWrap/>
            <w:vAlign w:val="center"/>
            <w:hideMark/>
          </w:tcPr>
          <w:p w14:paraId="7DC2EA82"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11</w:t>
            </w:r>
          </w:p>
        </w:tc>
      </w:tr>
      <w:tr w:rsidR="00E71EED" w:rsidRPr="001B5C3E" w14:paraId="0466441A" w14:textId="77777777" w:rsidTr="006A71D3">
        <w:trPr>
          <w:cantSplit/>
          <w:jc w:val="center"/>
        </w:trPr>
        <w:tc>
          <w:tcPr>
            <w:tcW w:w="458" w:type="dxa"/>
            <w:shd w:val="clear" w:color="000000" w:fill="FFFFFF"/>
            <w:vAlign w:val="center"/>
            <w:hideMark/>
          </w:tcPr>
          <w:p w14:paraId="048184E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7D4E94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3E058A87"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75A0392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11</w:t>
            </w:r>
          </w:p>
        </w:tc>
        <w:tc>
          <w:tcPr>
            <w:tcW w:w="1559" w:type="dxa"/>
            <w:shd w:val="clear" w:color="000000" w:fill="FFFFFF"/>
            <w:noWrap/>
            <w:vAlign w:val="center"/>
            <w:hideMark/>
          </w:tcPr>
          <w:p w14:paraId="1EBC89E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12</w:t>
            </w:r>
          </w:p>
        </w:tc>
        <w:tc>
          <w:tcPr>
            <w:tcW w:w="1517" w:type="dxa"/>
            <w:shd w:val="clear" w:color="000000" w:fill="FFFFFF"/>
            <w:noWrap/>
            <w:vAlign w:val="center"/>
            <w:hideMark/>
          </w:tcPr>
          <w:p w14:paraId="4202E70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11</w:t>
            </w:r>
          </w:p>
        </w:tc>
      </w:tr>
      <w:tr w:rsidR="00E71EED" w:rsidRPr="001B5C3E" w14:paraId="6BA6C1B7" w14:textId="77777777" w:rsidTr="006A71D3">
        <w:trPr>
          <w:cantSplit/>
          <w:jc w:val="center"/>
        </w:trPr>
        <w:tc>
          <w:tcPr>
            <w:tcW w:w="458" w:type="dxa"/>
            <w:shd w:val="clear" w:color="000000" w:fill="FFFFFF"/>
            <w:vAlign w:val="center"/>
            <w:hideMark/>
          </w:tcPr>
          <w:p w14:paraId="624F484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694936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5CE888F3"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5FDAAFA3"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6390E67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48E7474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2C5F119D" w14:textId="77777777" w:rsidTr="006A71D3">
        <w:trPr>
          <w:cantSplit/>
          <w:jc w:val="center"/>
        </w:trPr>
        <w:tc>
          <w:tcPr>
            <w:tcW w:w="458" w:type="dxa"/>
            <w:shd w:val="clear" w:color="000000" w:fill="FFFFFF"/>
            <w:vAlign w:val="center"/>
            <w:hideMark/>
          </w:tcPr>
          <w:p w14:paraId="77626F8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65D9D8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20713E4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336E00E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1E258E1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21C8B89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35A42B3D" w14:textId="77777777" w:rsidTr="006A71D3">
        <w:trPr>
          <w:cantSplit/>
          <w:jc w:val="center"/>
        </w:trPr>
        <w:tc>
          <w:tcPr>
            <w:tcW w:w="458" w:type="dxa"/>
            <w:shd w:val="clear" w:color="auto" w:fill="D5DCE4"/>
            <w:vAlign w:val="center"/>
            <w:hideMark/>
          </w:tcPr>
          <w:p w14:paraId="56337ED0"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27</w:t>
            </w:r>
          </w:p>
        </w:tc>
        <w:tc>
          <w:tcPr>
            <w:tcW w:w="2944" w:type="dxa"/>
            <w:shd w:val="clear" w:color="auto" w:fill="D5DCE4"/>
            <w:vAlign w:val="center"/>
            <w:hideMark/>
          </w:tcPr>
          <w:p w14:paraId="1094D60B"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Αποκεντρωμένη Διοίκηση </w:t>
            </w:r>
          </w:p>
          <w:p w14:paraId="38E42DBA"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Ηπείρου - Δυτικής Μακεδονίας</w:t>
            </w:r>
          </w:p>
        </w:tc>
        <w:tc>
          <w:tcPr>
            <w:tcW w:w="2127" w:type="dxa"/>
            <w:shd w:val="clear" w:color="auto" w:fill="D5DCE4"/>
            <w:noWrap/>
            <w:vAlign w:val="center"/>
            <w:hideMark/>
          </w:tcPr>
          <w:p w14:paraId="24BB0839"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36372968"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10</w:t>
            </w:r>
          </w:p>
        </w:tc>
        <w:tc>
          <w:tcPr>
            <w:tcW w:w="1559" w:type="dxa"/>
            <w:shd w:val="clear" w:color="auto" w:fill="D5DCE4"/>
            <w:noWrap/>
            <w:vAlign w:val="center"/>
            <w:hideMark/>
          </w:tcPr>
          <w:p w14:paraId="7D3C452E"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11</w:t>
            </w:r>
          </w:p>
        </w:tc>
        <w:tc>
          <w:tcPr>
            <w:tcW w:w="1517" w:type="dxa"/>
            <w:shd w:val="clear" w:color="auto" w:fill="D5DCE4"/>
            <w:noWrap/>
            <w:vAlign w:val="center"/>
            <w:hideMark/>
          </w:tcPr>
          <w:p w14:paraId="0C37041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10</w:t>
            </w:r>
          </w:p>
        </w:tc>
      </w:tr>
      <w:tr w:rsidR="00E71EED" w:rsidRPr="001B5C3E" w14:paraId="53A95BBF" w14:textId="77777777" w:rsidTr="006A71D3">
        <w:trPr>
          <w:cantSplit/>
          <w:jc w:val="center"/>
        </w:trPr>
        <w:tc>
          <w:tcPr>
            <w:tcW w:w="458" w:type="dxa"/>
            <w:shd w:val="clear" w:color="000000" w:fill="FFFFFF"/>
            <w:vAlign w:val="center"/>
            <w:hideMark/>
          </w:tcPr>
          <w:p w14:paraId="761B90E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A940F7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3D23398D"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0B63BBD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w:t>
            </w:r>
          </w:p>
        </w:tc>
        <w:tc>
          <w:tcPr>
            <w:tcW w:w="1559" w:type="dxa"/>
            <w:shd w:val="clear" w:color="000000" w:fill="FFFFFF"/>
            <w:noWrap/>
            <w:vAlign w:val="center"/>
            <w:hideMark/>
          </w:tcPr>
          <w:p w14:paraId="0C29732F"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11</w:t>
            </w:r>
          </w:p>
        </w:tc>
        <w:tc>
          <w:tcPr>
            <w:tcW w:w="1517" w:type="dxa"/>
            <w:shd w:val="clear" w:color="000000" w:fill="FFFFFF"/>
            <w:noWrap/>
            <w:vAlign w:val="center"/>
            <w:hideMark/>
          </w:tcPr>
          <w:p w14:paraId="2D348A4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10</w:t>
            </w:r>
          </w:p>
        </w:tc>
      </w:tr>
      <w:tr w:rsidR="00E71EED" w:rsidRPr="001B5C3E" w14:paraId="1AE9B142" w14:textId="77777777" w:rsidTr="006A71D3">
        <w:trPr>
          <w:cantSplit/>
          <w:jc w:val="center"/>
        </w:trPr>
        <w:tc>
          <w:tcPr>
            <w:tcW w:w="458" w:type="dxa"/>
            <w:shd w:val="clear" w:color="000000" w:fill="FFFFFF"/>
            <w:vAlign w:val="center"/>
            <w:hideMark/>
          </w:tcPr>
          <w:p w14:paraId="233190B2"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F88BC2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7BA6120E"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2D0F9BA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4AD2ECD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18D4130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0F6897C8" w14:textId="77777777" w:rsidTr="006A71D3">
        <w:trPr>
          <w:cantSplit/>
          <w:jc w:val="center"/>
        </w:trPr>
        <w:tc>
          <w:tcPr>
            <w:tcW w:w="458" w:type="dxa"/>
            <w:shd w:val="clear" w:color="000000" w:fill="FFFFFF"/>
            <w:vAlign w:val="center"/>
            <w:hideMark/>
          </w:tcPr>
          <w:p w14:paraId="1241E4A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04EEA76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5299CDA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7172427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476D038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3C2C6D4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1677627A" w14:textId="77777777" w:rsidTr="006A71D3">
        <w:trPr>
          <w:cantSplit/>
          <w:jc w:val="center"/>
        </w:trPr>
        <w:tc>
          <w:tcPr>
            <w:tcW w:w="458" w:type="dxa"/>
            <w:shd w:val="clear" w:color="auto" w:fill="D5DCE4"/>
            <w:vAlign w:val="center"/>
            <w:hideMark/>
          </w:tcPr>
          <w:p w14:paraId="3A939179"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28</w:t>
            </w:r>
          </w:p>
        </w:tc>
        <w:tc>
          <w:tcPr>
            <w:tcW w:w="2944" w:type="dxa"/>
            <w:shd w:val="clear" w:color="auto" w:fill="D5DCE4"/>
            <w:vAlign w:val="center"/>
            <w:hideMark/>
          </w:tcPr>
          <w:p w14:paraId="4A40A32D"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Αποκεντρωμένη Διοίκηση Πελοποννήσου - Δυτικής </w:t>
            </w:r>
          </w:p>
          <w:p w14:paraId="2CC0D57B"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Ελλάδας και Ιόνιου</w:t>
            </w:r>
          </w:p>
        </w:tc>
        <w:tc>
          <w:tcPr>
            <w:tcW w:w="2127" w:type="dxa"/>
            <w:shd w:val="clear" w:color="auto" w:fill="D5DCE4"/>
            <w:noWrap/>
            <w:vAlign w:val="center"/>
            <w:hideMark/>
          </w:tcPr>
          <w:p w14:paraId="7CCAAB3E"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06186862"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15</w:t>
            </w:r>
          </w:p>
        </w:tc>
        <w:tc>
          <w:tcPr>
            <w:tcW w:w="1559" w:type="dxa"/>
            <w:shd w:val="clear" w:color="auto" w:fill="D5DCE4"/>
            <w:noWrap/>
            <w:vAlign w:val="center"/>
            <w:hideMark/>
          </w:tcPr>
          <w:p w14:paraId="716918A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16</w:t>
            </w:r>
          </w:p>
        </w:tc>
        <w:tc>
          <w:tcPr>
            <w:tcW w:w="1517" w:type="dxa"/>
            <w:shd w:val="clear" w:color="auto" w:fill="D5DCE4"/>
            <w:noWrap/>
            <w:vAlign w:val="center"/>
            <w:hideMark/>
          </w:tcPr>
          <w:p w14:paraId="67E34FC0"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15</w:t>
            </w:r>
          </w:p>
        </w:tc>
      </w:tr>
      <w:tr w:rsidR="00E71EED" w:rsidRPr="001B5C3E" w14:paraId="319EE810" w14:textId="77777777" w:rsidTr="006A71D3">
        <w:trPr>
          <w:cantSplit/>
          <w:jc w:val="center"/>
        </w:trPr>
        <w:tc>
          <w:tcPr>
            <w:tcW w:w="458" w:type="dxa"/>
            <w:shd w:val="clear" w:color="000000" w:fill="FFFFFF"/>
            <w:vAlign w:val="center"/>
            <w:hideMark/>
          </w:tcPr>
          <w:p w14:paraId="7D09A11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576914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60AF3B9C"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3D8EB72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15</w:t>
            </w:r>
          </w:p>
        </w:tc>
        <w:tc>
          <w:tcPr>
            <w:tcW w:w="1559" w:type="dxa"/>
            <w:shd w:val="clear" w:color="000000" w:fill="FFFFFF"/>
            <w:noWrap/>
            <w:vAlign w:val="center"/>
            <w:hideMark/>
          </w:tcPr>
          <w:p w14:paraId="271500B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16</w:t>
            </w:r>
          </w:p>
        </w:tc>
        <w:tc>
          <w:tcPr>
            <w:tcW w:w="1517" w:type="dxa"/>
            <w:shd w:val="clear" w:color="000000" w:fill="FFFFFF"/>
            <w:noWrap/>
            <w:vAlign w:val="center"/>
            <w:hideMark/>
          </w:tcPr>
          <w:p w14:paraId="6BC9A3D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15</w:t>
            </w:r>
          </w:p>
        </w:tc>
      </w:tr>
      <w:tr w:rsidR="00E71EED" w:rsidRPr="001B5C3E" w14:paraId="2680F1FF" w14:textId="77777777" w:rsidTr="006A71D3">
        <w:trPr>
          <w:cantSplit/>
          <w:jc w:val="center"/>
        </w:trPr>
        <w:tc>
          <w:tcPr>
            <w:tcW w:w="458" w:type="dxa"/>
            <w:shd w:val="clear" w:color="000000" w:fill="FFFFFF"/>
            <w:vAlign w:val="center"/>
            <w:hideMark/>
          </w:tcPr>
          <w:p w14:paraId="383984F4"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11AE680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6AD875EE"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0D31129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2EA1F5C1"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165DC5F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1B26FFAD" w14:textId="77777777" w:rsidTr="006A71D3">
        <w:trPr>
          <w:cantSplit/>
          <w:jc w:val="center"/>
        </w:trPr>
        <w:tc>
          <w:tcPr>
            <w:tcW w:w="458" w:type="dxa"/>
            <w:shd w:val="clear" w:color="000000" w:fill="FFFFFF"/>
            <w:vAlign w:val="center"/>
            <w:hideMark/>
          </w:tcPr>
          <w:p w14:paraId="3BD085E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9ACABB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0044F81C"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70EEEF1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1957F41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5E3B11C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5EC0CBEA" w14:textId="77777777" w:rsidTr="006A71D3">
        <w:trPr>
          <w:cantSplit/>
          <w:jc w:val="center"/>
        </w:trPr>
        <w:tc>
          <w:tcPr>
            <w:tcW w:w="458" w:type="dxa"/>
            <w:shd w:val="clear" w:color="auto" w:fill="D5DCE4"/>
            <w:vAlign w:val="center"/>
            <w:hideMark/>
          </w:tcPr>
          <w:p w14:paraId="422B62A5"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29</w:t>
            </w:r>
          </w:p>
        </w:tc>
        <w:tc>
          <w:tcPr>
            <w:tcW w:w="2944" w:type="dxa"/>
            <w:shd w:val="clear" w:color="auto" w:fill="D5DCE4"/>
            <w:vAlign w:val="center"/>
            <w:hideMark/>
          </w:tcPr>
          <w:p w14:paraId="157422C5"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Αποκεντρωμένη Διοίκηση Αιγαίου</w:t>
            </w:r>
          </w:p>
        </w:tc>
        <w:tc>
          <w:tcPr>
            <w:tcW w:w="2127" w:type="dxa"/>
            <w:shd w:val="clear" w:color="auto" w:fill="D5DCE4"/>
            <w:noWrap/>
            <w:vAlign w:val="center"/>
            <w:hideMark/>
          </w:tcPr>
          <w:p w14:paraId="23669657"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31A258FB"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w:t>
            </w:r>
          </w:p>
        </w:tc>
        <w:tc>
          <w:tcPr>
            <w:tcW w:w="1559" w:type="dxa"/>
            <w:shd w:val="clear" w:color="auto" w:fill="D5DCE4"/>
            <w:noWrap/>
            <w:vAlign w:val="center"/>
            <w:hideMark/>
          </w:tcPr>
          <w:p w14:paraId="3C3C52B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w:t>
            </w:r>
          </w:p>
        </w:tc>
        <w:tc>
          <w:tcPr>
            <w:tcW w:w="1517" w:type="dxa"/>
            <w:shd w:val="clear" w:color="auto" w:fill="D5DCE4"/>
            <w:noWrap/>
            <w:vAlign w:val="center"/>
            <w:hideMark/>
          </w:tcPr>
          <w:p w14:paraId="713D7BBC"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w:t>
            </w:r>
          </w:p>
        </w:tc>
      </w:tr>
      <w:tr w:rsidR="00E71EED" w:rsidRPr="001B5C3E" w14:paraId="61D6EF0E" w14:textId="77777777" w:rsidTr="006A71D3">
        <w:trPr>
          <w:cantSplit/>
          <w:jc w:val="center"/>
        </w:trPr>
        <w:tc>
          <w:tcPr>
            <w:tcW w:w="458" w:type="dxa"/>
            <w:shd w:val="clear" w:color="000000" w:fill="FFFFFF"/>
            <w:vAlign w:val="center"/>
            <w:hideMark/>
          </w:tcPr>
          <w:p w14:paraId="255BAA26"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89B3AF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0632C4D2"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64B555A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w:t>
            </w:r>
          </w:p>
        </w:tc>
        <w:tc>
          <w:tcPr>
            <w:tcW w:w="1559" w:type="dxa"/>
            <w:shd w:val="clear" w:color="000000" w:fill="FFFFFF"/>
            <w:noWrap/>
            <w:vAlign w:val="center"/>
            <w:hideMark/>
          </w:tcPr>
          <w:p w14:paraId="1BA3A55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w:t>
            </w:r>
          </w:p>
        </w:tc>
        <w:tc>
          <w:tcPr>
            <w:tcW w:w="1517" w:type="dxa"/>
            <w:shd w:val="clear" w:color="000000" w:fill="FFFFFF"/>
            <w:noWrap/>
            <w:vAlign w:val="center"/>
            <w:hideMark/>
          </w:tcPr>
          <w:p w14:paraId="700A9A8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w:t>
            </w:r>
          </w:p>
        </w:tc>
      </w:tr>
      <w:tr w:rsidR="00E71EED" w:rsidRPr="001B5C3E" w14:paraId="1F9BBEC3" w14:textId="77777777" w:rsidTr="006A71D3">
        <w:trPr>
          <w:cantSplit/>
          <w:jc w:val="center"/>
        </w:trPr>
        <w:tc>
          <w:tcPr>
            <w:tcW w:w="458" w:type="dxa"/>
            <w:shd w:val="clear" w:color="000000" w:fill="FFFFFF"/>
            <w:vAlign w:val="center"/>
            <w:hideMark/>
          </w:tcPr>
          <w:p w14:paraId="0D9DC6F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78E724F5"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5681B76D"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4966A42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01B3E73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6DBA4FF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66257DD4" w14:textId="77777777" w:rsidTr="006A71D3">
        <w:trPr>
          <w:cantSplit/>
          <w:jc w:val="center"/>
        </w:trPr>
        <w:tc>
          <w:tcPr>
            <w:tcW w:w="458" w:type="dxa"/>
            <w:shd w:val="clear" w:color="000000" w:fill="FFFFFF"/>
            <w:vAlign w:val="center"/>
            <w:hideMark/>
          </w:tcPr>
          <w:p w14:paraId="34F1F03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409962B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576D068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0CA07982"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03622B8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682B749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7D8A1EE5" w14:textId="77777777" w:rsidTr="006A71D3">
        <w:trPr>
          <w:cantSplit/>
          <w:jc w:val="center"/>
        </w:trPr>
        <w:tc>
          <w:tcPr>
            <w:tcW w:w="458" w:type="dxa"/>
            <w:shd w:val="clear" w:color="auto" w:fill="D5DCE4"/>
            <w:vAlign w:val="center"/>
            <w:hideMark/>
          </w:tcPr>
          <w:p w14:paraId="47592334"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30</w:t>
            </w:r>
          </w:p>
        </w:tc>
        <w:tc>
          <w:tcPr>
            <w:tcW w:w="2944" w:type="dxa"/>
            <w:shd w:val="clear" w:color="auto" w:fill="D5DCE4"/>
            <w:vAlign w:val="center"/>
            <w:hideMark/>
          </w:tcPr>
          <w:p w14:paraId="41A85F07"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Αποκεντρωμένη Διοίκηση Κρήτης</w:t>
            </w:r>
          </w:p>
        </w:tc>
        <w:tc>
          <w:tcPr>
            <w:tcW w:w="2127" w:type="dxa"/>
            <w:shd w:val="clear" w:color="auto" w:fill="D5DCE4"/>
            <w:noWrap/>
            <w:vAlign w:val="center"/>
            <w:hideMark/>
          </w:tcPr>
          <w:p w14:paraId="735260EA"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3A5CD4E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w:t>
            </w:r>
          </w:p>
        </w:tc>
        <w:tc>
          <w:tcPr>
            <w:tcW w:w="1559" w:type="dxa"/>
            <w:shd w:val="clear" w:color="auto" w:fill="D5DCE4"/>
            <w:noWrap/>
            <w:vAlign w:val="center"/>
            <w:hideMark/>
          </w:tcPr>
          <w:p w14:paraId="165FE741"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w:t>
            </w:r>
          </w:p>
        </w:tc>
        <w:tc>
          <w:tcPr>
            <w:tcW w:w="1517" w:type="dxa"/>
            <w:shd w:val="clear" w:color="auto" w:fill="D5DCE4"/>
            <w:noWrap/>
            <w:vAlign w:val="center"/>
            <w:hideMark/>
          </w:tcPr>
          <w:p w14:paraId="78375378"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w:t>
            </w:r>
          </w:p>
        </w:tc>
      </w:tr>
      <w:tr w:rsidR="00E71EED" w:rsidRPr="001B5C3E" w14:paraId="63E67F9A" w14:textId="77777777" w:rsidTr="006A71D3">
        <w:trPr>
          <w:cantSplit/>
          <w:jc w:val="center"/>
        </w:trPr>
        <w:tc>
          <w:tcPr>
            <w:tcW w:w="458" w:type="dxa"/>
            <w:shd w:val="clear" w:color="000000" w:fill="FFFFFF"/>
            <w:vAlign w:val="center"/>
            <w:hideMark/>
          </w:tcPr>
          <w:p w14:paraId="36D04495"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6EE3D8A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35FC48CE"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2A81C64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w:t>
            </w:r>
          </w:p>
        </w:tc>
        <w:tc>
          <w:tcPr>
            <w:tcW w:w="1559" w:type="dxa"/>
            <w:shd w:val="clear" w:color="000000" w:fill="FFFFFF"/>
            <w:noWrap/>
            <w:vAlign w:val="center"/>
            <w:hideMark/>
          </w:tcPr>
          <w:p w14:paraId="4FA14C0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7</w:t>
            </w:r>
          </w:p>
        </w:tc>
        <w:tc>
          <w:tcPr>
            <w:tcW w:w="1517" w:type="dxa"/>
            <w:shd w:val="clear" w:color="000000" w:fill="FFFFFF"/>
            <w:noWrap/>
            <w:vAlign w:val="center"/>
            <w:hideMark/>
          </w:tcPr>
          <w:p w14:paraId="79EF143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6</w:t>
            </w:r>
          </w:p>
        </w:tc>
      </w:tr>
      <w:tr w:rsidR="00E71EED" w:rsidRPr="001B5C3E" w14:paraId="3F4A46A2" w14:textId="77777777" w:rsidTr="006A71D3">
        <w:trPr>
          <w:cantSplit/>
          <w:jc w:val="center"/>
        </w:trPr>
        <w:tc>
          <w:tcPr>
            <w:tcW w:w="458" w:type="dxa"/>
            <w:shd w:val="clear" w:color="000000" w:fill="FFFFFF"/>
            <w:vAlign w:val="center"/>
            <w:hideMark/>
          </w:tcPr>
          <w:p w14:paraId="1CBA350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2E920219"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326752C6"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40DF39A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4EB41064"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6CE599C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4C6104C3" w14:textId="77777777" w:rsidTr="006A71D3">
        <w:trPr>
          <w:cantSplit/>
          <w:jc w:val="center"/>
        </w:trPr>
        <w:tc>
          <w:tcPr>
            <w:tcW w:w="458" w:type="dxa"/>
            <w:shd w:val="clear" w:color="000000" w:fill="FFFFFF"/>
            <w:vAlign w:val="center"/>
            <w:hideMark/>
          </w:tcPr>
          <w:p w14:paraId="1F8483C1"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39BF40DB"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7927DECE"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099B8F75"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2FDB307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06DFA246"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5EC25EDF" w14:textId="77777777" w:rsidTr="006A71D3">
        <w:trPr>
          <w:cantSplit/>
          <w:jc w:val="center"/>
        </w:trPr>
        <w:tc>
          <w:tcPr>
            <w:tcW w:w="458" w:type="dxa"/>
            <w:shd w:val="clear" w:color="auto" w:fill="D5DCE4"/>
            <w:vAlign w:val="center"/>
            <w:hideMark/>
          </w:tcPr>
          <w:p w14:paraId="4100828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31</w:t>
            </w:r>
          </w:p>
        </w:tc>
        <w:tc>
          <w:tcPr>
            <w:tcW w:w="2944" w:type="dxa"/>
            <w:shd w:val="clear" w:color="auto" w:fill="D5DCE4"/>
            <w:vAlign w:val="center"/>
            <w:hideMark/>
          </w:tcPr>
          <w:p w14:paraId="4B9D79F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Αποκεντρωμένη Διοίκηση </w:t>
            </w:r>
          </w:p>
          <w:p w14:paraId="735E0180"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Μακεδονίας - Θράκης</w:t>
            </w:r>
          </w:p>
        </w:tc>
        <w:tc>
          <w:tcPr>
            <w:tcW w:w="2127" w:type="dxa"/>
            <w:shd w:val="clear" w:color="auto" w:fill="D5DCE4"/>
            <w:noWrap/>
            <w:vAlign w:val="center"/>
            <w:hideMark/>
          </w:tcPr>
          <w:p w14:paraId="786C91D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Ταμειακό Σύνολο</w:t>
            </w:r>
          </w:p>
        </w:tc>
        <w:tc>
          <w:tcPr>
            <w:tcW w:w="1559" w:type="dxa"/>
            <w:shd w:val="clear" w:color="auto" w:fill="D5DCE4"/>
            <w:noWrap/>
            <w:vAlign w:val="center"/>
            <w:hideMark/>
          </w:tcPr>
          <w:p w14:paraId="7823FF88"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20</w:t>
            </w:r>
          </w:p>
        </w:tc>
        <w:tc>
          <w:tcPr>
            <w:tcW w:w="1559" w:type="dxa"/>
            <w:shd w:val="clear" w:color="auto" w:fill="D5DCE4"/>
            <w:noWrap/>
            <w:vAlign w:val="center"/>
            <w:hideMark/>
          </w:tcPr>
          <w:p w14:paraId="180EEC2F"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19</w:t>
            </w:r>
          </w:p>
        </w:tc>
        <w:tc>
          <w:tcPr>
            <w:tcW w:w="1517" w:type="dxa"/>
            <w:shd w:val="clear" w:color="auto" w:fill="D5DCE4"/>
            <w:noWrap/>
            <w:vAlign w:val="center"/>
            <w:hideMark/>
          </w:tcPr>
          <w:p w14:paraId="0F879095"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18</w:t>
            </w:r>
          </w:p>
        </w:tc>
      </w:tr>
      <w:tr w:rsidR="00E71EED" w:rsidRPr="001B5C3E" w14:paraId="2A5D9789" w14:textId="77777777" w:rsidTr="006A71D3">
        <w:trPr>
          <w:cantSplit/>
          <w:jc w:val="center"/>
        </w:trPr>
        <w:tc>
          <w:tcPr>
            <w:tcW w:w="458" w:type="dxa"/>
            <w:shd w:val="clear" w:color="000000" w:fill="FFFFFF"/>
            <w:vAlign w:val="center"/>
            <w:hideMark/>
          </w:tcPr>
          <w:p w14:paraId="61BE7A6F"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636BE3F7"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Τακτικός προϋπολογισμός</w:t>
            </w:r>
          </w:p>
        </w:tc>
        <w:tc>
          <w:tcPr>
            <w:tcW w:w="2127" w:type="dxa"/>
            <w:shd w:val="clear" w:color="000000" w:fill="FFFFFF"/>
            <w:noWrap/>
            <w:vAlign w:val="center"/>
          </w:tcPr>
          <w:p w14:paraId="3D156D4C" w14:textId="77777777" w:rsidR="00E71EED" w:rsidRPr="00E71EED" w:rsidRDefault="00E71EED" w:rsidP="006A71D3">
            <w:pPr>
              <w:spacing w:after="0"/>
              <w:rPr>
                <w:rFonts w:ascii="Arial" w:hAnsi="Arial" w:cs="Arial"/>
                <w:color w:val="000000"/>
                <w:sz w:val="16"/>
                <w:szCs w:val="16"/>
              </w:rPr>
            </w:pPr>
          </w:p>
        </w:tc>
        <w:tc>
          <w:tcPr>
            <w:tcW w:w="1559" w:type="dxa"/>
            <w:shd w:val="clear" w:color="000000" w:fill="FFFFFF"/>
            <w:noWrap/>
            <w:vAlign w:val="center"/>
            <w:hideMark/>
          </w:tcPr>
          <w:p w14:paraId="7A0ECC08"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20</w:t>
            </w:r>
          </w:p>
        </w:tc>
        <w:tc>
          <w:tcPr>
            <w:tcW w:w="1559" w:type="dxa"/>
            <w:shd w:val="clear" w:color="000000" w:fill="FFFFFF"/>
            <w:noWrap/>
            <w:vAlign w:val="center"/>
            <w:hideMark/>
          </w:tcPr>
          <w:p w14:paraId="24B63D6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19</w:t>
            </w:r>
          </w:p>
        </w:tc>
        <w:tc>
          <w:tcPr>
            <w:tcW w:w="1517" w:type="dxa"/>
            <w:shd w:val="clear" w:color="000000" w:fill="FFFFFF"/>
            <w:noWrap/>
            <w:vAlign w:val="center"/>
            <w:hideMark/>
          </w:tcPr>
          <w:p w14:paraId="7E5F557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18</w:t>
            </w:r>
          </w:p>
        </w:tc>
      </w:tr>
      <w:tr w:rsidR="00E71EED" w:rsidRPr="001B5C3E" w14:paraId="5481CB89" w14:textId="77777777" w:rsidTr="006A71D3">
        <w:trPr>
          <w:cantSplit/>
          <w:jc w:val="center"/>
        </w:trPr>
        <w:tc>
          <w:tcPr>
            <w:tcW w:w="458" w:type="dxa"/>
            <w:shd w:val="clear" w:color="000000" w:fill="FFFFFF"/>
            <w:vAlign w:val="center"/>
            <w:hideMark/>
          </w:tcPr>
          <w:p w14:paraId="638B2155"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6B8AAD6A"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Προϋπολογισμός δημοσίων επενδύσεων:</w:t>
            </w:r>
          </w:p>
        </w:tc>
        <w:tc>
          <w:tcPr>
            <w:tcW w:w="2127" w:type="dxa"/>
            <w:shd w:val="clear" w:color="000000" w:fill="FFFFFF"/>
            <w:noWrap/>
            <w:vAlign w:val="center"/>
          </w:tcPr>
          <w:p w14:paraId="422BBF28" w14:textId="77777777" w:rsidR="00E71EED" w:rsidRPr="00E71EED" w:rsidRDefault="00E71EED" w:rsidP="006A71D3">
            <w:pPr>
              <w:spacing w:after="0"/>
              <w:rPr>
                <w:rFonts w:ascii="Arial" w:hAnsi="Arial" w:cs="Arial"/>
                <w:color w:val="000000"/>
                <w:sz w:val="16"/>
                <w:szCs w:val="16"/>
                <w:highlight w:val="red"/>
              </w:rPr>
            </w:pPr>
            <w:r w:rsidRPr="00E71EED">
              <w:rPr>
                <w:rFonts w:ascii="Arial" w:hAnsi="Arial" w:cs="Arial"/>
                <w:color w:val="000000"/>
                <w:sz w:val="16"/>
                <w:szCs w:val="16"/>
              </w:rPr>
              <w:t xml:space="preserve">Εθνικό και </w:t>
            </w:r>
            <w:proofErr w:type="spellStart"/>
            <w:r w:rsidRPr="00E71EED">
              <w:rPr>
                <w:rFonts w:ascii="Arial" w:hAnsi="Arial" w:cs="Arial"/>
                <w:color w:val="000000"/>
                <w:sz w:val="16"/>
                <w:szCs w:val="16"/>
              </w:rPr>
              <w:t>συγχρ</w:t>
            </w:r>
            <w:proofErr w:type="spellEnd"/>
            <w:r w:rsidRPr="00E71EED">
              <w:rPr>
                <w:rFonts w:ascii="Arial" w:hAnsi="Arial" w:cs="Arial"/>
                <w:color w:val="000000"/>
                <w:sz w:val="16"/>
                <w:szCs w:val="16"/>
              </w:rPr>
              <w:t>/</w:t>
            </w:r>
            <w:proofErr w:type="spellStart"/>
            <w:r w:rsidRPr="00E71EED">
              <w:rPr>
                <w:rFonts w:ascii="Arial" w:hAnsi="Arial" w:cs="Arial"/>
                <w:color w:val="000000"/>
                <w:sz w:val="16"/>
                <w:szCs w:val="16"/>
              </w:rPr>
              <w:t>νο</w:t>
            </w:r>
            <w:proofErr w:type="spellEnd"/>
            <w:r w:rsidRPr="00E71EED">
              <w:rPr>
                <w:rFonts w:ascii="Arial" w:hAnsi="Arial" w:cs="Arial"/>
                <w:color w:val="000000"/>
                <w:sz w:val="16"/>
                <w:szCs w:val="16"/>
              </w:rPr>
              <w:t xml:space="preserve"> σκέλος</w:t>
            </w:r>
          </w:p>
        </w:tc>
        <w:tc>
          <w:tcPr>
            <w:tcW w:w="1559" w:type="dxa"/>
            <w:shd w:val="clear" w:color="000000" w:fill="FFFFFF"/>
            <w:noWrap/>
            <w:vAlign w:val="center"/>
            <w:hideMark/>
          </w:tcPr>
          <w:p w14:paraId="235140E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7F34339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10ACE96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3DA4F8EC" w14:textId="77777777" w:rsidTr="006A71D3">
        <w:trPr>
          <w:cantSplit/>
          <w:jc w:val="center"/>
        </w:trPr>
        <w:tc>
          <w:tcPr>
            <w:tcW w:w="458" w:type="dxa"/>
            <w:shd w:val="clear" w:color="000000" w:fill="FFFFFF"/>
            <w:vAlign w:val="center"/>
            <w:hideMark/>
          </w:tcPr>
          <w:p w14:paraId="126A2170"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944" w:type="dxa"/>
            <w:shd w:val="clear" w:color="000000" w:fill="FFFFFF"/>
            <w:vAlign w:val="center"/>
            <w:hideMark/>
          </w:tcPr>
          <w:p w14:paraId="0C9170ED"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 </w:t>
            </w:r>
          </w:p>
        </w:tc>
        <w:tc>
          <w:tcPr>
            <w:tcW w:w="2127" w:type="dxa"/>
            <w:shd w:val="clear" w:color="000000" w:fill="FFFFFF"/>
            <w:noWrap/>
            <w:vAlign w:val="center"/>
          </w:tcPr>
          <w:p w14:paraId="42A5E028" w14:textId="77777777" w:rsidR="00E71EED" w:rsidRPr="00E71EED" w:rsidRDefault="00E71EED" w:rsidP="006A71D3">
            <w:pPr>
              <w:spacing w:after="0"/>
              <w:rPr>
                <w:rFonts w:ascii="Arial" w:hAnsi="Arial" w:cs="Arial"/>
                <w:color w:val="000000"/>
                <w:sz w:val="16"/>
                <w:szCs w:val="16"/>
              </w:rPr>
            </w:pPr>
            <w:r w:rsidRPr="00E71EED">
              <w:rPr>
                <w:rFonts w:ascii="Arial" w:hAnsi="Arial" w:cs="Arial"/>
                <w:color w:val="000000"/>
                <w:sz w:val="16"/>
                <w:szCs w:val="16"/>
              </w:rPr>
              <w:t>ΤΑΑ</w:t>
            </w:r>
          </w:p>
        </w:tc>
        <w:tc>
          <w:tcPr>
            <w:tcW w:w="1559" w:type="dxa"/>
            <w:shd w:val="clear" w:color="000000" w:fill="FFFFFF"/>
            <w:noWrap/>
            <w:vAlign w:val="center"/>
            <w:hideMark/>
          </w:tcPr>
          <w:p w14:paraId="709530E0"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59" w:type="dxa"/>
            <w:shd w:val="clear" w:color="000000" w:fill="FFFFFF"/>
            <w:noWrap/>
            <w:vAlign w:val="center"/>
            <w:hideMark/>
          </w:tcPr>
          <w:p w14:paraId="2680F31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c>
          <w:tcPr>
            <w:tcW w:w="1517" w:type="dxa"/>
            <w:shd w:val="clear" w:color="000000" w:fill="FFFFFF"/>
            <w:noWrap/>
            <w:vAlign w:val="center"/>
            <w:hideMark/>
          </w:tcPr>
          <w:p w14:paraId="3BFB958C"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0</w:t>
            </w:r>
          </w:p>
        </w:tc>
      </w:tr>
      <w:tr w:rsidR="00E71EED" w:rsidRPr="001B5C3E" w14:paraId="706C9DC8" w14:textId="77777777" w:rsidTr="006A71D3">
        <w:trPr>
          <w:cantSplit/>
          <w:jc w:val="center"/>
        </w:trPr>
        <w:tc>
          <w:tcPr>
            <w:tcW w:w="458" w:type="dxa"/>
            <w:shd w:val="clear" w:color="auto" w:fill="D5DCE4"/>
            <w:vAlign w:val="center"/>
            <w:hideMark/>
          </w:tcPr>
          <w:p w14:paraId="7CEE4023"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Α</w:t>
            </w:r>
          </w:p>
        </w:tc>
        <w:tc>
          <w:tcPr>
            <w:tcW w:w="5071" w:type="dxa"/>
            <w:gridSpan w:val="2"/>
            <w:shd w:val="clear" w:color="auto" w:fill="D5DCE4"/>
            <w:vAlign w:val="center"/>
            <w:hideMark/>
          </w:tcPr>
          <w:p w14:paraId="5B1F66B7"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Ταμειακό Σύνολο μη χρηματοοικονομικών δαπανών </w:t>
            </w:r>
          </w:p>
          <w:p w14:paraId="5EB458D0"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κρατικού προϋπολογισμού</w:t>
            </w:r>
          </w:p>
        </w:tc>
        <w:tc>
          <w:tcPr>
            <w:tcW w:w="1559" w:type="dxa"/>
            <w:shd w:val="clear" w:color="auto" w:fill="D5DCE4"/>
            <w:noWrap/>
            <w:vAlign w:val="center"/>
            <w:hideMark/>
          </w:tcPr>
          <w:p w14:paraId="47C017B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75.736</w:t>
            </w:r>
          </w:p>
        </w:tc>
        <w:tc>
          <w:tcPr>
            <w:tcW w:w="1559" w:type="dxa"/>
            <w:shd w:val="clear" w:color="auto" w:fill="D5DCE4"/>
            <w:noWrap/>
            <w:vAlign w:val="center"/>
            <w:hideMark/>
          </w:tcPr>
          <w:p w14:paraId="2F5A1CB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76.490</w:t>
            </w:r>
          </w:p>
        </w:tc>
        <w:tc>
          <w:tcPr>
            <w:tcW w:w="1517" w:type="dxa"/>
            <w:shd w:val="clear" w:color="auto" w:fill="D5DCE4"/>
            <w:noWrap/>
            <w:vAlign w:val="center"/>
            <w:hideMark/>
          </w:tcPr>
          <w:p w14:paraId="2F0BBD5E"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79.871</w:t>
            </w:r>
          </w:p>
        </w:tc>
      </w:tr>
      <w:tr w:rsidR="00E71EED" w:rsidRPr="001B5C3E" w14:paraId="74E4EE32" w14:textId="77777777" w:rsidTr="006A71D3">
        <w:trPr>
          <w:cantSplit/>
          <w:jc w:val="center"/>
        </w:trPr>
        <w:tc>
          <w:tcPr>
            <w:tcW w:w="458" w:type="dxa"/>
            <w:shd w:val="clear" w:color="auto" w:fill="F2F2F2" w:themeFill="background1" w:themeFillShade="F2"/>
            <w:noWrap/>
            <w:vAlign w:val="center"/>
            <w:hideMark/>
          </w:tcPr>
          <w:p w14:paraId="11EDEB4F"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Ι</w:t>
            </w:r>
          </w:p>
        </w:tc>
        <w:tc>
          <w:tcPr>
            <w:tcW w:w="5071" w:type="dxa"/>
            <w:gridSpan w:val="2"/>
            <w:shd w:val="clear" w:color="auto" w:fill="F2F2F2" w:themeFill="background1" w:themeFillShade="F2"/>
            <w:noWrap/>
            <w:vAlign w:val="center"/>
            <w:hideMark/>
          </w:tcPr>
          <w:p w14:paraId="6F68EDAB"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Σύνολο μη χρηματοοικονομικών δαπανών </w:t>
            </w:r>
          </w:p>
          <w:p w14:paraId="2772AD43"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τακτικού προϋπολογισμού</w:t>
            </w:r>
          </w:p>
        </w:tc>
        <w:tc>
          <w:tcPr>
            <w:tcW w:w="1559" w:type="dxa"/>
            <w:shd w:val="clear" w:color="auto" w:fill="F2F2F2" w:themeFill="background1" w:themeFillShade="F2"/>
            <w:noWrap/>
            <w:vAlign w:val="center"/>
            <w:hideMark/>
          </w:tcPr>
          <w:p w14:paraId="756DABCB"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63.569</w:t>
            </w:r>
          </w:p>
        </w:tc>
        <w:tc>
          <w:tcPr>
            <w:tcW w:w="1559" w:type="dxa"/>
            <w:shd w:val="clear" w:color="auto" w:fill="F2F2F2" w:themeFill="background1" w:themeFillShade="F2"/>
            <w:noWrap/>
            <w:vAlign w:val="center"/>
            <w:hideMark/>
          </w:tcPr>
          <w:p w14:paraId="0B647D6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63.340</w:t>
            </w:r>
          </w:p>
        </w:tc>
        <w:tc>
          <w:tcPr>
            <w:tcW w:w="1517" w:type="dxa"/>
            <w:shd w:val="clear" w:color="auto" w:fill="F2F2F2" w:themeFill="background1" w:themeFillShade="F2"/>
            <w:noWrap/>
            <w:vAlign w:val="center"/>
            <w:hideMark/>
          </w:tcPr>
          <w:p w14:paraId="292B1582"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65.771</w:t>
            </w:r>
          </w:p>
        </w:tc>
      </w:tr>
      <w:tr w:rsidR="00E71EED" w:rsidRPr="001B5C3E" w14:paraId="0C0FE70F" w14:textId="77777777" w:rsidTr="006A71D3">
        <w:trPr>
          <w:cantSplit/>
          <w:jc w:val="center"/>
        </w:trPr>
        <w:tc>
          <w:tcPr>
            <w:tcW w:w="458" w:type="dxa"/>
            <w:shd w:val="clear" w:color="000000" w:fill="FFFFFF"/>
            <w:vAlign w:val="center"/>
            <w:hideMark/>
          </w:tcPr>
          <w:p w14:paraId="0D92E96E"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i</w:t>
            </w:r>
          </w:p>
        </w:tc>
        <w:tc>
          <w:tcPr>
            <w:tcW w:w="5071" w:type="dxa"/>
            <w:gridSpan w:val="2"/>
            <w:shd w:val="clear" w:color="000000" w:fill="FFFFFF"/>
            <w:noWrap/>
            <w:vAlign w:val="center"/>
            <w:hideMark/>
          </w:tcPr>
          <w:p w14:paraId="5811DEC7"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Πρωτογενείς δαπάνες</w:t>
            </w:r>
          </w:p>
        </w:tc>
        <w:tc>
          <w:tcPr>
            <w:tcW w:w="1559" w:type="dxa"/>
            <w:shd w:val="clear" w:color="000000" w:fill="FFFFFF"/>
            <w:noWrap/>
            <w:vAlign w:val="center"/>
            <w:hideMark/>
          </w:tcPr>
          <w:p w14:paraId="409C4C8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55.868</w:t>
            </w:r>
          </w:p>
        </w:tc>
        <w:tc>
          <w:tcPr>
            <w:tcW w:w="1559" w:type="dxa"/>
            <w:shd w:val="clear" w:color="000000" w:fill="FFFFFF"/>
            <w:noWrap/>
            <w:vAlign w:val="center"/>
            <w:hideMark/>
          </w:tcPr>
          <w:p w14:paraId="47301DB9"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55.059</w:t>
            </w:r>
          </w:p>
        </w:tc>
        <w:tc>
          <w:tcPr>
            <w:tcW w:w="1517" w:type="dxa"/>
            <w:shd w:val="clear" w:color="000000" w:fill="FFFFFF"/>
            <w:noWrap/>
            <w:vAlign w:val="center"/>
            <w:hideMark/>
          </w:tcPr>
          <w:p w14:paraId="1BF11DC6"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58.070</w:t>
            </w:r>
          </w:p>
        </w:tc>
      </w:tr>
      <w:tr w:rsidR="00E71EED" w:rsidRPr="001B5C3E" w14:paraId="3CC7B79F" w14:textId="77777777" w:rsidTr="006A71D3">
        <w:trPr>
          <w:cantSplit/>
          <w:jc w:val="center"/>
        </w:trPr>
        <w:tc>
          <w:tcPr>
            <w:tcW w:w="458" w:type="dxa"/>
            <w:shd w:val="clear" w:color="000000" w:fill="FFFFFF"/>
            <w:vAlign w:val="center"/>
            <w:hideMark/>
          </w:tcPr>
          <w:p w14:paraId="591FF1C8" w14:textId="77777777" w:rsidR="00E71EED" w:rsidRPr="00E71EED" w:rsidRDefault="00E71EED" w:rsidP="006A71D3">
            <w:pPr>
              <w:spacing w:after="0"/>
              <w:rPr>
                <w:rFonts w:ascii="Arial" w:hAnsi="Arial" w:cs="Arial"/>
                <w:i/>
                <w:iCs/>
                <w:color w:val="000000"/>
                <w:sz w:val="16"/>
                <w:szCs w:val="16"/>
              </w:rPr>
            </w:pPr>
            <w:r w:rsidRPr="00E71EED">
              <w:rPr>
                <w:rFonts w:ascii="Arial" w:hAnsi="Arial" w:cs="Arial"/>
                <w:i/>
                <w:iCs/>
                <w:color w:val="000000"/>
                <w:sz w:val="16"/>
                <w:szCs w:val="16"/>
              </w:rPr>
              <w:t> </w:t>
            </w:r>
          </w:p>
        </w:tc>
        <w:tc>
          <w:tcPr>
            <w:tcW w:w="5071" w:type="dxa"/>
            <w:gridSpan w:val="2"/>
            <w:shd w:val="clear" w:color="000000" w:fill="FFFFFF"/>
            <w:noWrap/>
            <w:vAlign w:val="center"/>
            <w:hideMark/>
          </w:tcPr>
          <w:p w14:paraId="398B5C80" w14:textId="77777777" w:rsidR="00E71EED" w:rsidRPr="00E71EED" w:rsidRDefault="00E71EED" w:rsidP="006A71D3">
            <w:pPr>
              <w:spacing w:after="0"/>
              <w:rPr>
                <w:rFonts w:ascii="Arial" w:hAnsi="Arial" w:cs="Arial"/>
                <w:i/>
                <w:iCs/>
                <w:color w:val="000000"/>
                <w:sz w:val="16"/>
                <w:szCs w:val="16"/>
                <w:u w:val="single"/>
              </w:rPr>
            </w:pPr>
            <w:r w:rsidRPr="00E71EED">
              <w:rPr>
                <w:rFonts w:ascii="Arial" w:hAnsi="Arial" w:cs="Arial"/>
                <w:i/>
                <w:iCs/>
                <w:color w:val="000000"/>
                <w:sz w:val="16"/>
                <w:szCs w:val="16"/>
                <w:u w:val="single"/>
              </w:rPr>
              <w:t>εκ των οποίων:</w:t>
            </w:r>
          </w:p>
        </w:tc>
        <w:tc>
          <w:tcPr>
            <w:tcW w:w="1559" w:type="dxa"/>
            <w:shd w:val="clear" w:color="000000" w:fill="FFFFFF"/>
            <w:noWrap/>
            <w:vAlign w:val="center"/>
            <w:hideMark/>
          </w:tcPr>
          <w:p w14:paraId="326861FC"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 </w:t>
            </w:r>
          </w:p>
        </w:tc>
        <w:tc>
          <w:tcPr>
            <w:tcW w:w="1559" w:type="dxa"/>
            <w:shd w:val="clear" w:color="000000" w:fill="FFFFFF"/>
            <w:noWrap/>
            <w:vAlign w:val="center"/>
            <w:hideMark/>
          </w:tcPr>
          <w:p w14:paraId="6983BEF6"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 </w:t>
            </w:r>
          </w:p>
        </w:tc>
        <w:tc>
          <w:tcPr>
            <w:tcW w:w="1517" w:type="dxa"/>
            <w:shd w:val="clear" w:color="000000" w:fill="FFFFFF"/>
            <w:noWrap/>
            <w:vAlign w:val="center"/>
            <w:hideMark/>
          </w:tcPr>
          <w:p w14:paraId="7E41C8F7"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 </w:t>
            </w:r>
          </w:p>
        </w:tc>
      </w:tr>
      <w:tr w:rsidR="00E71EED" w:rsidRPr="001B5C3E" w14:paraId="673B5D96" w14:textId="77777777" w:rsidTr="006A71D3">
        <w:trPr>
          <w:cantSplit/>
          <w:jc w:val="center"/>
        </w:trPr>
        <w:tc>
          <w:tcPr>
            <w:tcW w:w="458" w:type="dxa"/>
            <w:shd w:val="clear" w:color="000000" w:fill="FFFFFF"/>
            <w:vAlign w:val="center"/>
            <w:hideMark/>
          </w:tcPr>
          <w:p w14:paraId="54DC2D65" w14:textId="77777777" w:rsidR="00E71EED" w:rsidRPr="00E71EED" w:rsidRDefault="00E71EED" w:rsidP="006A71D3">
            <w:pPr>
              <w:spacing w:after="0"/>
              <w:rPr>
                <w:rFonts w:ascii="Arial" w:hAnsi="Arial" w:cs="Arial"/>
                <w:i/>
                <w:iCs/>
                <w:color w:val="000000"/>
                <w:sz w:val="16"/>
                <w:szCs w:val="16"/>
              </w:rPr>
            </w:pPr>
            <w:r w:rsidRPr="00E71EED">
              <w:rPr>
                <w:rFonts w:ascii="Arial" w:hAnsi="Arial" w:cs="Arial"/>
                <w:i/>
                <w:iCs/>
                <w:color w:val="000000"/>
                <w:sz w:val="16"/>
                <w:szCs w:val="16"/>
              </w:rPr>
              <w:lastRenderedPageBreak/>
              <w:t> </w:t>
            </w:r>
          </w:p>
        </w:tc>
        <w:tc>
          <w:tcPr>
            <w:tcW w:w="5071" w:type="dxa"/>
            <w:gridSpan w:val="2"/>
            <w:shd w:val="clear" w:color="000000" w:fill="FFFFFF"/>
            <w:vAlign w:val="center"/>
            <w:hideMark/>
          </w:tcPr>
          <w:p w14:paraId="1DC66558" w14:textId="77777777" w:rsidR="00E71EED" w:rsidRPr="00E71EED" w:rsidRDefault="00E71EED" w:rsidP="006A71D3">
            <w:pPr>
              <w:spacing w:after="0"/>
              <w:rPr>
                <w:rFonts w:ascii="Arial" w:hAnsi="Arial" w:cs="Arial"/>
                <w:i/>
                <w:iCs/>
                <w:color w:val="000000"/>
                <w:sz w:val="16"/>
                <w:szCs w:val="16"/>
              </w:rPr>
            </w:pPr>
            <w:r w:rsidRPr="00E71EED">
              <w:rPr>
                <w:rFonts w:ascii="Arial" w:hAnsi="Arial" w:cs="Arial"/>
                <w:i/>
                <w:iCs/>
                <w:color w:val="000000"/>
                <w:sz w:val="16"/>
                <w:szCs w:val="16"/>
              </w:rPr>
              <w:t>Καταπτώσεις εγγυήσεων</w:t>
            </w:r>
          </w:p>
        </w:tc>
        <w:tc>
          <w:tcPr>
            <w:tcW w:w="1559" w:type="dxa"/>
            <w:shd w:val="clear" w:color="000000" w:fill="FFFFFF"/>
            <w:noWrap/>
            <w:vAlign w:val="center"/>
            <w:hideMark/>
          </w:tcPr>
          <w:p w14:paraId="5F2A98C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1.115</w:t>
            </w:r>
          </w:p>
        </w:tc>
        <w:tc>
          <w:tcPr>
            <w:tcW w:w="1559" w:type="dxa"/>
            <w:shd w:val="clear" w:color="000000" w:fill="FFFFFF"/>
            <w:noWrap/>
            <w:vAlign w:val="center"/>
            <w:hideMark/>
          </w:tcPr>
          <w:p w14:paraId="0034639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448</w:t>
            </w:r>
          </w:p>
        </w:tc>
        <w:tc>
          <w:tcPr>
            <w:tcW w:w="1517" w:type="dxa"/>
            <w:shd w:val="clear" w:color="000000" w:fill="FFFFFF"/>
            <w:noWrap/>
            <w:vAlign w:val="center"/>
            <w:hideMark/>
          </w:tcPr>
          <w:p w14:paraId="74DD420A"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383</w:t>
            </w:r>
          </w:p>
        </w:tc>
      </w:tr>
      <w:tr w:rsidR="00E71EED" w:rsidRPr="001B5C3E" w14:paraId="61376BD7" w14:textId="77777777" w:rsidTr="006A71D3">
        <w:trPr>
          <w:cantSplit/>
          <w:jc w:val="center"/>
        </w:trPr>
        <w:tc>
          <w:tcPr>
            <w:tcW w:w="458" w:type="dxa"/>
            <w:shd w:val="clear" w:color="000000" w:fill="FFFFFF"/>
            <w:vAlign w:val="center"/>
            <w:hideMark/>
          </w:tcPr>
          <w:p w14:paraId="6B82378E" w14:textId="77777777" w:rsidR="00E71EED" w:rsidRPr="00E71EED" w:rsidRDefault="00E71EED" w:rsidP="006A71D3">
            <w:pPr>
              <w:spacing w:after="0"/>
              <w:rPr>
                <w:rFonts w:ascii="Arial" w:hAnsi="Arial" w:cs="Arial"/>
                <w:i/>
                <w:iCs/>
                <w:color w:val="000000"/>
                <w:sz w:val="16"/>
                <w:szCs w:val="16"/>
              </w:rPr>
            </w:pPr>
            <w:r w:rsidRPr="00E71EED">
              <w:rPr>
                <w:rFonts w:ascii="Arial" w:hAnsi="Arial" w:cs="Arial"/>
                <w:i/>
                <w:iCs/>
                <w:color w:val="000000"/>
                <w:sz w:val="16"/>
                <w:szCs w:val="16"/>
              </w:rPr>
              <w:t> </w:t>
            </w:r>
          </w:p>
        </w:tc>
        <w:tc>
          <w:tcPr>
            <w:tcW w:w="5071" w:type="dxa"/>
            <w:gridSpan w:val="2"/>
            <w:shd w:val="clear" w:color="000000" w:fill="FFFFFF"/>
            <w:vAlign w:val="center"/>
            <w:hideMark/>
          </w:tcPr>
          <w:p w14:paraId="7D9A2A49" w14:textId="77777777" w:rsidR="00E71EED" w:rsidRPr="00E71EED" w:rsidRDefault="00E71EED" w:rsidP="006A71D3">
            <w:pPr>
              <w:spacing w:after="0"/>
              <w:rPr>
                <w:rFonts w:ascii="Arial" w:hAnsi="Arial" w:cs="Arial"/>
                <w:i/>
                <w:iCs/>
                <w:color w:val="000000"/>
                <w:sz w:val="16"/>
                <w:szCs w:val="16"/>
              </w:rPr>
            </w:pPr>
            <w:r w:rsidRPr="00E71EED">
              <w:rPr>
                <w:rFonts w:ascii="Arial" w:hAnsi="Arial" w:cs="Arial"/>
                <w:i/>
                <w:iCs/>
                <w:color w:val="000000"/>
                <w:sz w:val="16"/>
                <w:szCs w:val="16"/>
              </w:rPr>
              <w:t>Προμήθειες για χρηματοοικονομικές υπηρεσίες</w:t>
            </w:r>
          </w:p>
        </w:tc>
        <w:tc>
          <w:tcPr>
            <w:tcW w:w="1559" w:type="dxa"/>
            <w:shd w:val="clear" w:color="000000" w:fill="FFFFFF"/>
            <w:noWrap/>
            <w:vAlign w:val="center"/>
            <w:hideMark/>
          </w:tcPr>
          <w:p w14:paraId="1E551B59"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40</w:t>
            </w:r>
          </w:p>
        </w:tc>
        <w:tc>
          <w:tcPr>
            <w:tcW w:w="1559" w:type="dxa"/>
            <w:shd w:val="clear" w:color="000000" w:fill="FFFFFF"/>
            <w:noWrap/>
            <w:vAlign w:val="center"/>
            <w:hideMark/>
          </w:tcPr>
          <w:p w14:paraId="4206DD4E"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40</w:t>
            </w:r>
          </w:p>
        </w:tc>
        <w:tc>
          <w:tcPr>
            <w:tcW w:w="1517" w:type="dxa"/>
            <w:shd w:val="clear" w:color="000000" w:fill="FFFFFF"/>
            <w:noWrap/>
            <w:vAlign w:val="center"/>
            <w:hideMark/>
          </w:tcPr>
          <w:p w14:paraId="1C64C71D"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40</w:t>
            </w:r>
          </w:p>
        </w:tc>
      </w:tr>
      <w:tr w:rsidR="00E71EED" w:rsidRPr="001B5C3E" w14:paraId="6204A27A" w14:textId="77777777" w:rsidTr="006A71D3">
        <w:trPr>
          <w:cantSplit/>
          <w:jc w:val="center"/>
        </w:trPr>
        <w:tc>
          <w:tcPr>
            <w:tcW w:w="458" w:type="dxa"/>
            <w:shd w:val="clear" w:color="000000" w:fill="FFFFFF"/>
            <w:vAlign w:val="center"/>
            <w:hideMark/>
          </w:tcPr>
          <w:p w14:paraId="2630FBD0" w14:textId="77777777" w:rsidR="00E71EED" w:rsidRPr="00E71EED" w:rsidRDefault="00E71EED" w:rsidP="006A71D3">
            <w:pPr>
              <w:spacing w:after="0"/>
              <w:rPr>
                <w:rFonts w:ascii="Arial" w:hAnsi="Arial" w:cs="Arial"/>
                <w:i/>
                <w:iCs/>
                <w:color w:val="000000"/>
                <w:sz w:val="16"/>
                <w:szCs w:val="16"/>
              </w:rPr>
            </w:pPr>
            <w:r w:rsidRPr="00E71EED">
              <w:rPr>
                <w:rFonts w:ascii="Arial" w:hAnsi="Arial" w:cs="Arial"/>
                <w:i/>
                <w:iCs/>
                <w:color w:val="000000"/>
                <w:sz w:val="16"/>
                <w:szCs w:val="16"/>
              </w:rPr>
              <w:t> </w:t>
            </w:r>
          </w:p>
        </w:tc>
        <w:tc>
          <w:tcPr>
            <w:tcW w:w="5071" w:type="dxa"/>
            <w:gridSpan w:val="2"/>
            <w:shd w:val="clear" w:color="000000" w:fill="FFFFFF"/>
            <w:vAlign w:val="center"/>
            <w:hideMark/>
          </w:tcPr>
          <w:p w14:paraId="403912D5" w14:textId="77777777" w:rsidR="00E71EED" w:rsidRPr="00E71EED" w:rsidRDefault="00E71EED" w:rsidP="006A71D3">
            <w:pPr>
              <w:spacing w:after="0"/>
              <w:rPr>
                <w:rFonts w:ascii="Arial" w:hAnsi="Arial" w:cs="Arial"/>
                <w:i/>
                <w:iCs/>
                <w:color w:val="000000"/>
                <w:sz w:val="16"/>
                <w:szCs w:val="16"/>
              </w:rPr>
            </w:pPr>
            <w:r w:rsidRPr="00E71EED">
              <w:rPr>
                <w:rFonts w:ascii="Arial" w:hAnsi="Arial" w:cs="Arial"/>
                <w:i/>
                <w:iCs/>
                <w:color w:val="000000"/>
                <w:sz w:val="16"/>
                <w:szCs w:val="16"/>
              </w:rPr>
              <w:t>Αγορές οπλικών συστημάτων από προγράμματα εξοπλισμού</w:t>
            </w:r>
            <w:r w:rsidRPr="00E71EED">
              <w:rPr>
                <w:rFonts w:ascii="Arial" w:hAnsi="Arial" w:cs="Arial"/>
                <w:i/>
                <w:iCs/>
                <w:color w:val="000000"/>
                <w:sz w:val="16"/>
                <w:szCs w:val="16"/>
                <w:vertAlign w:val="superscript"/>
              </w:rPr>
              <w:t>4</w:t>
            </w:r>
          </w:p>
        </w:tc>
        <w:tc>
          <w:tcPr>
            <w:tcW w:w="1559" w:type="dxa"/>
            <w:shd w:val="clear" w:color="000000" w:fill="FFFFFF"/>
            <w:noWrap/>
            <w:vAlign w:val="center"/>
            <w:hideMark/>
          </w:tcPr>
          <w:p w14:paraId="68945F0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2.570</w:t>
            </w:r>
          </w:p>
        </w:tc>
        <w:tc>
          <w:tcPr>
            <w:tcW w:w="1559" w:type="dxa"/>
            <w:shd w:val="clear" w:color="000000" w:fill="FFFFFF"/>
            <w:noWrap/>
            <w:vAlign w:val="center"/>
            <w:hideMark/>
          </w:tcPr>
          <w:p w14:paraId="1F0E6DBB"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2.422</w:t>
            </w:r>
          </w:p>
        </w:tc>
        <w:tc>
          <w:tcPr>
            <w:tcW w:w="1517" w:type="dxa"/>
            <w:shd w:val="clear" w:color="000000" w:fill="FFFFFF"/>
            <w:noWrap/>
            <w:vAlign w:val="center"/>
            <w:hideMark/>
          </w:tcPr>
          <w:p w14:paraId="07945EC7" w14:textId="77777777" w:rsidR="00E71EED" w:rsidRPr="00E71EED" w:rsidRDefault="00E71EED" w:rsidP="006A71D3">
            <w:pPr>
              <w:spacing w:after="0"/>
              <w:jc w:val="right"/>
              <w:rPr>
                <w:rFonts w:ascii="Arial" w:hAnsi="Arial" w:cs="Arial"/>
                <w:color w:val="000000"/>
                <w:sz w:val="16"/>
                <w:szCs w:val="16"/>
              </w:rPr>
            </w:pPr>
            <w:r w:rsidRPr="00E71EED">
              <w:rPr>
                <w:rFonts w:ascii="Arial" w:hAnsi="Arial" w:cs="Arial"/>
                <w:color w:val="000000"/>
                <w:sz w:val="16"/>
                <w:szCs w:val="16"/>
              </w:rPr>
              <w:t>2.494</w:t>
            </w:r>
          </w:p>
        </w:tc>
      </w:tr>
      <w:tr w:rsidR="00E71EED" w:rsidRPr="001B5C3E" w14:paraId="2523CB55" w14:textId="77777777" w:rsidTr="006A71D3">
        <w:trPr>
          <w:cantSplit/>
          <w:jc w:val="center"/>
        </w:trPr>
        <w:tc>
          <w:tcPr>
            <w:tcW w:w="458" w:type="dxa"/>
            <w:shd w:val="clear" w:color="000000" w:fill="FFFFFF"/>
            <w:vAlign w:val="center"/>
            <w:hideMark/>
          </w:tcPr>
          <w:p w14:paraId="66DA0646" w14:textId="77777777" w:rsidR="00E71EED" w:rsidRPr="00E71EED" w:rsidRDefault="00E71EED" w:rsidP="006A71D3">
            <w:pPr>
              <w:spacing w:after="0"/>
              <w:jc w:val="right"/>
              <w:rPr>
                <w:rFonts w:ascii="Arial" w:hAnsi="Arial" w:cs="Arial"/>
                <w:b/>
                <w:bCs/>
                <w:color w:val="000000"/>
                <w:sz w:val="16"/>
                <w:szCs w:val="16"/>
              </w:rPr>
            </w:pPr>
            <w:proofErr w:type="spellStart"/>
            <w:r w:rsidRPr="00E71EED">
              <w:rPr>
                <w:rFonts w:ascii="Arial" w:hAnsi="Arial" w:cs="Arial"/>
                <w:b/>
                <w:bCs/>
                <w:color w:val="000000"/>
                <w:sz w:val="16"/>
                <w:szCs w:val="16"/>
              </w:rPr>
              <w:t>ii</w:t>
            </w:r>
            <w:proofErr w:type="spellEnd"/>
          </w:p>
        </w:tc>
        <w:tc>
          <w:tcPr>
            <w:tcW w:w="5071" w:type="dxa"/>
            <w:gridSpan w:val="2"/>
            <w:shd w:val="clear" w:color="000000" w:fill="FFFFFF"/>
            <w:noWrap/>
            <w:vAlign w:val="center"/>
            <w:hideMark/>
          </w:tcPr>
          <w:p w14:paraId="552F911B"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Τόκοι</w:t>
            </w:r>
          </w:p>
        </w:tc>
        <w:tc>
          <w:tcPr>
            <w:tcW w:w="1559" w:type="dxa"/>
            <w:shd w:val="clear" w:color="000000" w:fill="FFFFFF"/>
            <w:noWrap/>
            <w:vAlign w:val="center"/>
            <w:hideMark/>
          </w:tcPr>
          <w:p w14:paraId="1CDEA54F"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7.701</w:t>
            </w:r>
          </w:p>
        </w:tc>
        <w:tc>
          <w:tcPr>
            <w:tcW w:w="1559" w:type="dxa"/>
            <w:shd w:val="clear" w:color="auto" w:fill="auto"/>
            <w:noWrap/>
            <w:vAlign w:val="center"/>
            <w:hideMark/>
          </w:tcPr>
          <w:p w14:paraId="24787BC7"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8.281</w:t>
            </w:r>
          </w:p>
        </w:tc>
        <w:tc>
          <w:tcPr>
            <w:tcW w:w="1517" w:type="dxa"/>
            <w:shd w:val="clear" w:color="auto" w:fill="auto"/>
            <w:noWrap/>
            <w:vAlign w:val="center"/>
            <w:hideMark/>
          </w:tcPr>
          <w:p w14:paraId="3D313DFC"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7.701</w:t>
            </w:r>
          </w:p>
        </w:tc>
      </w:tr>
      <w:tr w:rsidR="00E71EED" w:rsidRPr="001B5C3E" w14:paraId="0E4A621C" w14:textId="77777777" w:rsidTr="006A71D3">
        <w:trPr>
          <w:cantSplit/>
          <w:jc w:val="center"/>
        </w:trPr>
        <w:tc>
          <w:tcPr>
            <w:tcW w:w="458" w:type="dxa"/>
            <w:shd w:val="clear" w:color="auto" w:fill="F2F2F2" w:themeFill="background1" w:themeFillShade="F2"/>
            <w:vAlign w:val="center"/>
            <w:hideMark/>
          </w:tcPr>
          <w:p w14:paraId="693C4D19" w14:textId="77777777" w:rsidR="00E71EED" w:rsidRPr="00E71EED" w:rsidRDefault="00E71EED" w:rsidP="006A71D3">
            <w:pPr>
              <w:spacing w:after="0"/>
              <w:rPr>
                <w:rFonts w:ascii="Arial" w:hAnsi="Arial" w:cs="Arial"/>
                <w:b/>
                <w:bCs/>
                <w:color w:val="000000"/>
                <w:sz w:val="16"/>
                <w:szCs w:val="16"/>
                <w:lang w:val="en-US"/>
              </w:rPr>
            </w:pPr>
            <w:r w:rsidRPr="00E71EED">
              <w:rPr>
                <w:rFonts w:ascii="Arial" w:hAnsi="Arial" w:cs="Arial"/>
                <w:b/>
                <w:bCs/>
                <w:color w:val="000000"/>
                <w:sz w:val="16"/>
                <w:szCs w:val="16"/>
                <w:lang w:val="en-US"/>
              </w:rPr>
              <w:t>II</w:t>
            </w:r>
          </w:p>
        </w:tc>
        <w:tc>
          <w:tcPr>
            <w:tcW w:w="5071" w:type="dxa"/>
            <w:gridSpan w:val="2"/>
            <w:shd w:val="clear" w:color="auto" w:fill="F2F2F2" w:themeFill="background1" w:themeFillShade="F2"/>
            <w:noWrap/>
            <w:vAlign w:val="center"/>
            <w:hideMark/>
          </w:tcPr>
          <w:p w14:paraId="4966B463"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Σύνολο δαπανών εθνικού και συγχρηματοδοτούμενου σκέλους</w:t>
            </w:r>
          </w:p>
        </w:tc>
        <w:tc>
          <w:tcPr>
            <w:tcW w:w="1559" w:type="dxa"/>
            <w:shd w:val="clear" w:color="auto" w:fill="F2F2F2" w:themeFill="background1" w:themeFillShade="F2"/>
            <w:noWrap/>
            <w:vAlign w:val="center"/>
            <w:hideMark/>
          </w:tcPr>
          <w:p w14:paraId="042320EC"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8.550</w:t>
            </w:r>
          </w:p>
        </w:tc>
        <w:tc>
          <w:tcPr>
            <w:tcW w:w="1559" w:type="dxa"/>
            <w:shd w:val="clear" w:color="auto" w:fill="F2F2F2" w:themeFill="background1" w:themeFillShade="F2"/>
            <w:noWrap/>
            <w:vAlign w:val="center"/>
            <w:hideMark/>
          </w:tcPr>
          <w:p w14:paraId="52B2A0E0"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9.850</w:t>
            </w:r>
          </w:p>
        </w:tc>
        <w:tc>
          <w:tcPr>
            <w:tcW w:w="1517" w:type="dxa"/>
            <w:shd w:val="clear" w:color="auto" w:fill="F2F2F2" w:themeFill="background1" w:themeFillShade="F2"/>
            <w:noWrap/>
            <w:vAlign w:val="center"/>
            <w:hideMark/>
          </w:tcPr>
          <w:p w14:paraId="29D2927C"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9.200</w:t>
            </w:r>
          </w:p>
        </w:tc>
      </w:tr>
      <w:tr w:rsidR="00E71EED" w:rsidRPr="001B5C3E" w14:paraId="1C9C1776" w14:textId="77777777" w:rsidTr="006A71D3">
        <w:trPr>
          <w:cantSplit/>
          <w:jc w:val="center"/>
        </w:trPr>
        <w:tc>
          <w:tcPr>
            <w:tcW w:w="458" w:type="dxa"/>
            <w:shd w:val="clear" w:color="auto" w:fill="F2F2F2" w:themeFill="background1" w:themeFillShade="F2"/>
            <w:vAlign w:val="center"/>
            <w:hideMark/>
          </w:tcPr>
          <w:p w14:paraId="56A29573"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ΙΙΙ</w:t>
            </w:r>
          </w:p>
        </w:tc>
        <w:tc>
          <w:tcPr>
            <w:tcW w:w="5071" w:type="dxa"/>
            <w:gridSpan w:val="2"/>
            <w:shd w:val="clear" w:color="auto" w:fill="F2F2F2" w:themeFill="background1" w:themeFillShade="F2"/>
            <w:noWrap/>
            <w:vAlign w:val="center"/>
            <w:hideMark/>
          </w:tcPr>
          <w:p w14:paraId="364C4F5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Σύνολο δαπανών ΤΑΑ</w:t>
            </w:r>
          </w:p>
        </w:tc>
        <w:tc>
          <w:tcPr>
            <w:tcW w:w="1559" w:type="dxa"/>
            <w:shd w:val="clear" w:color="auto" w:fill="F2F2F2" w:themeFill="background1" w:themeFillShade="F2"/>
            <w:noWrap/>
            <w:vAlign w:val="center"/>
            <w:hideMark/>
          </w:tcPr>
          <w:p w14:paraId="288CB265"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3.617</w:t>
            </w:r>
          </w:p>
        </w:tc>
        <w:tc>
          <w:tcPr>
            <w:tcW w:w="1559" w:type="dxa"/>
            <w:shd w:val="clear" w:color="auto" w:fill="F2F2F2" w:themeFill="background1" w:themeFillShade="F2"/>
            <w:noWrap/>
            <w:vAlign w:val="center"/>
            <w:hideMark/>
          </w:tcPr>
          <w:p w14:paraId="38A494D9"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3.300</w:t>
            </w:r>
          </w:p>
        </w:tc>
        <w:tc>
          <w:tcPr>
            <w:tcW w:w="1517" w:type="dxa"/>
            <w:shd w:val="clear" w:color="auto" w:fill="F2F2F2" w:themeFill="background1" w:themeFillShade="F2"/>
            <w:noWrap/>
            <w:vAlign w:val="center"/>
            <w:hideMark/>
          </w:tcPr>
          <w:p w14:paraId="1CEF1F9A"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4.900</w:t>
            </w:r>
          </w:p>
        </w:tc>
      </w:tr>
      <w:tr w:rsidR="00E71EED" w:rsidRPr="001B5C3E" w14:paraId="61BE67AB" w14:textId="77777777" w:rsidTr="006A71D3">
        <w:trPr>
          <w:cantSplit/>
          <w:trHeight w:val="351"/>
          <w:jc w:val="center"/>
        </w:trPr>
        <w:tc>
          <w:tcPr>
            <w:tcW w:w="458" w:type="dxa"/>
            <w:shd w:val="clear" w:color="auto" w:fill="D5DCE4"/>
            <w:vAlign w:val="center"/>
            <w:hideMark/>
          </w:tcPr>
          <w:p w14:paraId="2B3CCC68"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Β</w:t>
            </w:r>
          </w:p>
        </w:tc>
        <w:tc>
          <w:tcPr>
            <w:tcW w:w="5071" w:type="dxa"/>
            <w:gridSpan w:val="2"/>
            <w:shd w:val="clear" w:color="auto" w:fill="D5DCE4"/>
            <w:noWrap/>
            <w:vAlign w:val="center"/>
            <w:hideMark/>
          </w:tcPr>
          <w:p w14:paraId="567A70A5" w14:textId="77777777" w:rsidR="00E71EED" w:rsidRPr="00E71EED" w:rsidRDefault="00E71EED" w:rsidP="006A71D3">
            <w:pPr>
              <w:spacing w:after="0"/>
              <w:rPr>
                <w:rFonts w:ascii="Arial" w:hAnsi="Arial" w:cs="Arial"/>
                <w:b/>
                <w:bCs/>
                <w:color w:val="000000"/>
                <w:sz w:val="16"/>
                <w:szCs w:val="16"/>
              </w:rPr>
            </w:pPr>
            <w:proofErr w:type="spellStart"/>
            <w:r w:rsidRPr="00E71EED">
              <w:rPr>
                <w:rFonts w:ascii="Arial" w:hAnsi="Arial" w:cs="Arial"/>
                <w:b/>
                <w:bCs/>
                <w:color w:val="000000"/>
                <w:sz w:val="16"/>
                <w:szCs w:val="16"/>
              </w:rPr>
              <w:t>Εθνικολογιστικές</w:t>
            </w:r>
            <w:proofErr w:type="spellEnd"/>
            <w:r w:rsidRPr="00E71EED">
              <w:rPr>
                <w:rFonts w:ascii="Arial" w:hAnsi="Arial" w:cs="Arial"/>
                <w:b/>
                <w:bCs/>
                <w:color w:val="000000"/>
                <w:sz w:val="16"/>
                <w:szCs w:val="16"/>
              </w:rPr>
              <w:t xml:space="preserve"> προσαρμογές κατά ESA</w:t>
            </w:r>
            <w:r w:rsidRPr="00E71EED">
              <w:rPr>
                <w:rFonts w:ascii="Arial" w:hAnsi="Arial" w:cs="Arial"/>
                <w:b/>
                <w:bCs/>
                <w:color w:val="000000"/>
                <w:sz w:val="16"/>
                <w:szCs w:val="16"/>
                <w:vertAlign w:val="superscript"/>
              </w:rPr>
              <w:t>2</w:t>
            </w:r>
          </w:p>
        </w:tc>
        <w:tc>
          <w:tcPr>
            <w:tcW w:w="1559" w:type="dxa"/>
            <w:shd w:val="clear" w:color="auto" w:fill="D5DCE4"/>
            <w:noWrap/>
            <w:vAlign w:val="center"/>
            <w:hideMark/>
          </w:tcPr>
          <w:p w14:paraId="324052FE"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1.104</w:t>
            </w:r>
          </w:p>
        </w:tc>
        <w:tc>
          <w:tcPr>
            <w:tcW w:w="1559" w:type="dxa"/>
            <w:shd w:val="clear" w:color="auto" w:fill="D5DCE4"/>
            <w:noWrap/>
            <w:vAlign w:val="center"/>
            <w:hideMark/>
          </w:tcPr>
          <w:p w14:paraId="68BCA713"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-11</w:t>
            </w:r>
          </w:p>
        </w:tc>
        <w:tc>
          <w:tcPr>
            <w:tcW w:w="1517" w:type="dxa"/>
            <w:shd w:val="clear" w:color="auto" w:fill="D5DCE4"/>
            <w:noWrap/>
            <w:vAlign w:val="center"/>
            <w:hideMark/>
          </w:tcPr>
          <w:p w14:paraId="286264B6"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-631</w:t>
            </w:r>
          </w:p>
        </w:tc>
      </w:tr>
      <w:tr w:rsidR="00E71EED" w:rsidRPr="001B5C3E" w14:paraId="3413EE02" w14:textId="77777777" w:rsidTr="006A71D3">
        <w:trPr>
          <w:cantSplit/>
          <w:jc w:val="center"/>
        </w:trPr>
        <w:tc>
          <w:tcPr>
            <w:tcW w:w="458" w:type="dxa"/>
            <w:shd w:val="clear" w:color="auto" w:fill="D5DCE4"/>
            <w:vAlign w:val="center"/>
            <w:hideMark/>
          </w:tcPr>
          <w:p w14:paraId="609BE4E2"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Γ</w:t>
            </w:r>
          </w:p>
        </w:tc>
        <w:tc>
          <w:tcPr>
            <w:tcW w:w="5071" w:type="dxa"/>
            <w:gridSpan w:val="2"/>
            <w:shd w:val="clear" w:color="auto" w:fill="D5DCE4"/>
            <w:noWrap/>
            <w:vAlign w:val="center"/>
            <w:hideMark/>
          </w:tcPr>
          <w:p w14:paraId="57A8A32B"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 xml:space="preserve">Σύνολο μη χρηματοοικονομικών δαπανών κρατικού </w:t>
            </w:r>
          </w:p>
          <w:p w14:paraId="7B888621" w14:textId="77777777" w:rsidR="00E71EED" w:rsidRPr="00E71EED" w:rsidRDefault="00E71EED" w:rsidP="006A71D3">
            <w:pPr>
              <w:spacing w:after="0"/>
              <w:rPr>
                <w:rFonts w:ascii="Arial" w:hAnsi="Arial" w:cs="Arial"/>
                <w:b/>
                <w:bCs/>
                <w:color w:val="000000"/>
                <w:sz w:val="16"/>
                <w:szCs w:val="16"/>
              </w:rPr>
            </w:pPr>
            <w:r w:rsidRPr="00E71EED">
              <w:rPr>
                <w:rFonts w:ascii="Arial" w:hAnsi="Arial" w:cs="Arial"/>
                <w:b/>
                <w:bCs/>
                <w:color w:val="000000"/>
                <w:sz w:val="16"/>
                <w:szCs w:val="16"/>
              </w:rPr>
              <w:t>προϋπολογισμού κατά ESA (Α-Β)</w:t>
            </w:r>
          </w:p>
        </w:tc>
        <w:tc>
          <w:tcPr>
            <w:tcW w:w="1559" w:type="dxa"/>
            <w:shd w:val="clear" w:color="auto" w:fill="D5DCE4"/>
            <w:noWrap/>
            <w:vAlign w:val="center"/>
            <w:hideMark/>
          </w:tcPr>
          <w:p w14:paraId="3F8E9434"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74.632</w:t>
            </w:r>
          </w:p>
        </w:tc>
        <w:tc>
          <w:tcPr>
            <w:tcW w:w="1559" w:type="dxa"/>
            <w:shd w:val="clear" w:color="auto" w:fill="D5DCE4"/>
            <w:noWrap/>
            <w:vAlign w:val="center"/>
            <w:hideMark/>
          </w:tcPr>
          <w:p w14:paraId="5BD85E3D"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76.502</w:t>
            </w:r>
          </w:p>
        </w:tc>
        <w:tc>
          <w:tcPr>
            <w:tcW w:w="1517" w:type="dxa"/>
            <w:shd w:val="clear" w:color="auto" w:fill="D5DCE4"/>
            <w:noWrap/>
            <w:vAlign w:val="center"/>
            <w:hideMark/>
          </w:tcPr>
          <w:p w14:paraId="16A431B7" w14:textId="77777777" w:rsidR="00E71EED" w:rsidRPr="00E71EED" w:rsidRDefault="00E71EED" w:rsidP="006A71D3">
            <w:pPr>
              <w:spacing w:after="0"/>
              <w:jc w:val="right"/>
              <w:rPr>
                <w:rFonts w:ascii="Arial" w:hAnsi="Arial" w:cs="Arial"/>
                <w:b/>
                <w:bCs/>
                <w:color w:val="000000"/>
                <w:sz w:val="16"/>
                <w:szCs w:val="16"/>
              </w:rPr>
            </w:pPr>
            <w:r w:rsidRPr="00E71EED">
              <w:rPr>
                <w:rFonts w:ascii="Arial" w:hAnsi="Arial" w:cs="Arial"/>
                <w:b/>
                <w:bCs/>
                <w:color w:val="000000"/>
                <w:sz w:val="16"/>
                <w:szCs w:val="16"/>
              </w:rPr>
              <w:t>80.502</w:t>
            </w:r>
          </w:p>
        </w:tc>
      </w:tr>
      <w:tr w:rsidR="00E71EED" w:rsidRPr="001B5C3E" w14:paraId="1EAE84CC" w14:textId="77777777" w:rsidTr="006A71D3">
        <w:trPr>
          <w:cantSplit/>
          <w:jc w:val="center"/>
        </w:trPr>
        <w:tc>
          <w:tcPr>
            <w:tcW w:w="458" w:type="dxa"/>
            <w:tcBorders>
              <w:bottom w:val="single" w:sz="4" w:space="0" w:color="808080" w:themeColor="background1" w:themeShade="80"/>
            </w:tcBorders>
            <w:shd w:val="clear" w:color="auto" w:fill="auto"/>
            <w:noWrap/>
            <w:vAlign w:val="bottom"/>
            <w:hideMark/>
          </w:tcPr>
          <w:p w14:paraId="7B9E82DD" w14:textId="77777777" w:rsidR="00E71EED" w:rsidRPr="00E71EED" w:rsidRDefault="00E71EED" w:rsidP="006A71D3">
            <w:pPr>
              <w:spacing w:after="0"/>
              <w:jc w:val="right"/>
              <w:rPr>
                <w:rFonts w:ascii="Arial" w:hAnsi="Arial" w:cs="Arial"/>
                <w:b/>
                <w:bCs/>
                <w:color w:val="000000"/>
                <w:sz w:val="16"/>
                <w:szCs w:val="16"/>
              </w:rPr>
            </w:pPr>
          </w:p>
        </w:tc>
        <w:tc>
          <w:tcPr>
            <w:tcW w:w="2944" w:type="dxa"/>
            <w:tcBorders>
              <w:bottom w:val="single" w:sz="4" w:space="0" w:color="808080" w:themeColor="background1" w:themeShade="80"/>
            </w:tcBorders>
            <w:shd w:val="clear" w:color="auto" w:fill="auto"/>
            <w:noWrap/>
            <w:vAlign w:val="bottom"/>
            <w:hideMark/>
          </w:tcPr>
          <w:p w14:paraId="0B0F44B6" w14:textId="77777777" w:rsidR="00E71EED" w:rsidRPr="00E71EED" w:rsidRDefault="00E71EED" w:rsidP="006A71D3">
            <w:pPr>
              <w:spacing w:after="0"/>
              <w:rPr>
                <w:rFonts w:ascii="Arial" w:hAnsi="Arial" w:cs="Arial"/>
                <w:sz w:val="16"/>
                <w:szCs w:val="16"/>
              </w:rPr>
            </w:pPr>
          </w:p>
        </w:tc>
        <w:tc>
          <w:tcPr>
            <w:tcW w:w="2127" w:type="dxa"/>
            <w:tcBorders>
              <w:bottom w:val="single" w:sz="4" w:space="0" w:color="808080" w:themeColor="background1" w:themeShade="80"/>
            </w:tcBorders>
            <w:shd w:val="clear" w:color="auto" w:fill="auto"/>
            <w:noWrap/>
            <w:vAlign w:val="bottom"/>
            <w:hideMark/>
          </w:tcPr>
          <w:p w14:paraId="63CBA74C" w14:textId="77777777" w:rsidR="00E71EED" w:rsidRPr="00E71EED" w:rsidRDefault="00E71EED" w:rsidP="006A71D3">
            <w:pPr>
              <w:spacing w:after="0"/>
              <w:rPr>
                <w:rFonts w:ascii="Arial" w:hAnsi="Arial" w:cs="Arial"/>
                <w:sz w:val="16"/>
                <w:szCs w:val="16"/>
              </w:rPr>
            </w:pPr>
          </w:p>
        </w:tc>
        <w:tc>
          <w:tcPr>
            <w:tcW w:w="1559" w:type="dxa"/>
            <w:tcBorders>
              <w:bottom w:val="single" w:sz="4" w:space="0" w:color="808080" w:themeColor="background1" w:themeShade="80"/>
            </w:tcBorders>
            <w:shd w:val="clear" w:color="auto" w:fill="auto"/>
            <w:noWrap/>
            <w:vAlign w:val="bottom"/>
            <w:hideMark/>
          </w:tcPr>
          <w:p w14:paraId="16DDFCC2" w14:textId="77777777" w:rsidR="00E71EED" w:rsidRPr="00E71EED" w:rsidRDefault="00E71EED" w:rsidP="006A71D3">
            <w:pPr>
              <w:spacing w:after="0"/>
              <w:rPr>
                <w:rFonts w:ascii="Arial" w:hAnsi="Arial" w:cs="Arial"/>
                <w:sz w:val="16"/>
                <w:szCs w:val="16"/>
              </w:rPr>
            </w:pPr>
          </w:p>
        </w:tc>
        <w:tc>
          <w:tcPr>
            <w:tcW w:w="1559" w:type="dxa"/>
            <w:tcBorders>
              <w:bottom w:val="single" w:sz="4" w:space="0" w:color="808080" w:themeColor="background1" w:themeShade="80"/>
            </w:tcBorders>
            <w:shd w:val="clear" w:color="auto" w:fill="auto"/>
            <w:noWrap/>
            <w:vAlign w:val="bottom"/>
            <w:hideMark/>
          </w:tcPr>
          <w:p w14:paraId="5D365267" w14:textId="77777777" w:rsidR="00E71EED" w:rsidRPr="00E71EED" w:rsidRDefault="00E71EED" w:rsidP="006A71D3">
            <w:pPr>
              <w:spacing w:after="0"/>
              <w:rPr>
                <w:rFonts w:ascii="Arial" w:hAnsi="Arial" w:cs="Arial"/>
                <w:sz w:val="16"/>
                <w:szCs w:val="16"/>
              </w:rPr>
            </w:pPr>
          </w:p>
        </w:tc>
        <w:tc>
          <w:tcPr>
            <w:tcW w:w="1517" w:type="dxa"/>
            <w:tcBorders>
              <w:bottom w:val="single" w:sz="4" w:space="0" w:color="808080" w:themeColor="background1" w:themeShade="80"/>
            </w:tcBorders>
            <w:shd w:val="clear" w:color="auto" w:fill="auto"/>
            <w:noWrap/>
            <w:vAlign w:val="bottom"/>
            <w:hideMark/>
          </w:tcPr>
          <w:p w14:paraId="08040E8A" w14:textId="77777777" w:rsidR="00E71EED" w:rsidRPr="00E71EED" w:rsidRDefault="00E71EED" w:rsidP="006A71D3">
            <w:pPr>
              <w:spacing w:after="0"/>
              <w:rPr>
                <w:rFonts w:ascii="Arial" w:hAnsi="Arial" w:cs="Arial"/>
                <w:sz w:val="16"/>
                <w:szCs w:val="16"/>
              </w:rPr>
            </w:pPr>
          </w:p>
        </w:tc>
      </w:tr>
      <w:tr w:rsidR="00E71EED" w:rsidRPr="001B5C3E" w14:paraId="54EB6F1D" w14:textId="77777777" w:rsidTr="006A71D3">
        <w:trPr>
          <w:cantSplit/>
          <w:jc w:val="center"/>
        </w:trPr>
        <w:tc>
          <w:tcPr>
            <w:tcW w:w="10164" w:type="dxa"/>
            <w:gridSpan w:val="6"/>
            <w:tcBorders>
              <w:top w:val="single" w:sz="4" w:space="0" w:color="808080" w:themeColor="background1" w:themeShade="80"/>
              <w:left w:val="nil"/>
              <w:bottom w:val="nil"/>
              <w:right w:val="nil"/>
            </w:tcBorders>
            <w:shd w:val="clear" w:color="auto" w:fill="auto"/>
            <w:noWrap/>
            <w:vAlign w:val="center"/>
            <w:hideMark/>
          </w:tcPr>
          <w:p w14:paraId="28295696" w14:textId="77777777" w:rsidR="00E71EED" w:rsidRPr="00E71EED" w:rsidRDefault="00E71EED" w:rsidP="006A71D3">
            <w:pPr>
              <w:tabs>
                <w:tab w:val="left" w:pos="170"/>
              </w:tabs>
              <w:spacing w:before="60" w:after="0" w:line="240" w:lineRule="auto"/>
              <w:ind w:left="170" w:hanging="170"/>
              <w:rPr>
                <w:rFonts w:ascii="Arial" w:hAnsi="Arial" w:cs="Arial"/>
                <w:color w:val="000000"/>
                <w:sz w:val="16"/>
                <w:szCs w:val="16"/>
              </w:rPr>
            </w:pPr>
            <w:r w:rsidRPr="00E71EED">
              <w:rPr>
                <w:rFonts w:ascii="Arial" w:hAnsi="Arial" w:cs="Arial"/>
                <w:color w:val="000000"/>
                <w:sz w:val="16"/>
                <w:szCs w:val="16"/>
                <w:vertAlign w:val="superscript"/>
              </w:rPr>
              <w:t>1</w:t>
            </w:r>
            <w:r w:rsidRPr="00E71EED">
              <w:rPr>
                <w:rFonts w:ascii="Arial" w:hAnsi="Arial" w:cs="Arial"/>
                <w:color w:val="000000"/>
                <w:sz w:val="16"/>
                <w:szCs w:val="16"/>
                <w:vertAlign w:val="superscript"/>
              </w:rPr>
              <w:tab/>
            </w:r>
            <w:r w:rsidRPr="00E71EED">
              <w:rPr>
                <w:rFonts w:ascii="Arial" w:hAnsi="Arial" w:cs="Arial"/>
                <w:color w:val="000000"/>
                <w:sz w:val="16"/>
                <w:szCs w:val="16"/>
              </w:rPr>
              <w:t>Στις εκτιμήσεις των δαπανών των φορέων της Κεντρικής Διοίκησης για το 2024 περιλαμβάνονται οι δαπάνες που καλύφθηκαν από το τακτικό και το ειδικό αποθεματικό, οι εγγραφές σε ύψος δαπανών και οι δαπάνες για μεταναστευτικές ροές. Κατά συνέπεια, το ύψος των εκτιμώμενων δαπανών έτους 2024 δεν είναι συγκρίσιμο με τις προβλέψεις προϋπολογισμού 2025.</w:t>
            </w:r>
          </w:p>
        </w:tc>
      </w:tr>
      <w:tr w:rsidR="00E71EED" w:rsidRPr="001B5C3E" w14:paraId="4EF7CA00" w14:textId="77777777" w:rsidTr="006A71D3">
        <w:trPr>
          <w:cantSplit/>
          <w:jc w:val="center"/>
        </w:trPr>
        <w:tc>
          <w:tcPr>
            <w:tcW w:w="10164" w:type="dxa"/>
            <w:gridSpan w:val="6"/>
            <w:tcBorders>
              <w:top w:val="nil"/>
              <w:left w:val="nil"/>
              <w:bottom w:val="nil"/>
              <w:right w:val="nil"/>
            </w:tcBorders>
            <w:shd w:val="clear" w:color="auto" w:fill="auto"/>
            <w:noWrap/>
            <w:vAlign w:val="center"/>
            <w:hideMark/>
          </w:tcPr>
          <w:p w14:paraId="67129555" w14:textId="77777777" w:rsidR="00E71EED" w:rsidRPr="00E71EED" w:rsidRDefault="00E71EED" w:rsidP="006A71D3">
            <w:pPr>
              <w:tabs>
                <w:tab w:val="left" w:pos="170"/>
              </w:tabs>
              <w:spacing w:after="0" w:line="240" w:lineRule="auto"/>
              <w:ind w:left="170" w:hanging="170"/>
              <w:rPr>
                <w:rFonts w:ascii="Arial" w:hAnsi="Arial" w:cs="Arial"/>
                <w:color w:val="000000"/>
                <w:sz w:val="16"/>
                <w:szCs w:val="16"/>
              </w:rPr>
            </w:pPr>
            <w:r w:rsidRPr="00E71EED">
              <w:rPr>
                <w:rFonts w:ascii="Arial" w:hAnsi="Arial" w:cs="Arial"/>
                <w:color w:val="000000"/>
                <w:sz w:val="16"/>
                <w:szCs w:val="16"/>
                <w:vertAlign w:val="superscript"/>
              </w:rPr>
              <w:t>2</w:t>
            </w:r>
            <w:r w:rsidRPr="00E71EED">
              <w:rPr>
                <w:rFonts w:ascii="Arial" w:hAnsi="Arial" w:cs="Arial"/>
                <w:color w:val="000000"/>
                <w:sz w:val="16"/>
                <w:szCs w:val="16"/>
                <w:vertAlign w:val="superscript"/>
              </w:rPr>
              <w:tab/>
            </w:r>
            <w:proofErr w:type="spellStart"/>
            <w:r w:rsidRPr="00E71EED">
              <w:rPr>
                <w:rFonts w:ascii="Arial" w:hAnsi="Arial" w:cs="Arial"/>
                <w:color w:val="000000"/>
                <w:sz w:val="16"/>
                <w:szCs w:val="16"/>
              </w:rPr>
              <w:t>Εθνικολογιστικές</w:t>
            </w:r>
            <w:proofErr w:type="spellEnd"/>
            <w:r w:rsidRPr="00E71EED">
              <w:rPr>
                <w:rFonts w:ascii="Arial" w:hAnsi="Arial" w:cs="Arial"/>
                <w:color w:val="000000"/>
                <w:sz w:val="16"/>
                <w:szCs w:val="16"/>
              </w:rPr>
              <w:t xml:space="preserve"> προσαρμογές κατά ESA: (+) μείωση δαπανών / (-) αύξηση δαπανών.</w:t>
            </w:r>
          </w:p>
        </w:tc>
      </w:tr>
      <w:tr w:rsidR="00E71EED" w:rsidRPr="001B5C3E" w14:paraId="7E5B91A9" w14:textId="77777777" w:rsidTr="006A71D3">
        <w:trPr>
          <w:cantSplit/>
          <w:jc w:val="center"/>
        </w:trPr>
        <w:tc>
          <w:tcPr>
            <w:tcW w:w="10164" w:type="dxa"/>
            <w:gridSpan w:val="6"/>
            <w:tcBorders>
              <w:top w:val="nil"/>
              <w:left w:val="nil"/>
              <w:bottom w:val="nil"/>
              <w:right w:val="nil"/>
            </w:tcBorders>
            <w:shd w:val="clear" w:color="auto" w:fill="auto"/>
            <w:noWrap/>
            <w:vAlign w:val="center"/>
          </w:tcPr>
          <w:p w14:paraId="130D3FF7" w14:textId="77777777" w:rsidR="00E71EED" w:rsidRPr="00E71EED" w:rsidRDefault="00E71EED" w:rsidP="006A71D3">
            <w:pPr>
              <w:tabs>
                <w:tab w:val="left" w:pos="170"/>
              </w:tabs>
              <w:spacing w:after="0" w:line="240" w:lineRule="auto"/>
              <w:ind w:left="170" w:hanging="170"/>
              <w:rPr>
                <w:rFonts w:ascii="Arial" w:hAnsi="Arial" w:cs="Arial"/>
                <w:color w:val="000000"/>
                <w:sz w:val="16"/>
                <w:szCs w:val="16"/>
                <w:vertAlign w:val="superscript"/>
              </w:rPr>
            </w:pPr>
            <w:r w:rsidRPr="00E71EED">
              <w:rPr>
                <w:rFonts w:ascii="Arial" w:hAnsi="Arial" w:cs="Arial"/>
                <w:color w:val="000000"/>
                <w:sz w:val="16"/>
                <w:szCs w:val="16"/>
                <w:vertAlign w:val="superscript"/>
              </w:rPr>
              <w:t>3</w:t>
            </w:r>
            <w:r w:rsidRPr="00E71EED">
              <w:rPr>
                <w:rFonts w:ascii="Arial" w:hAnsi="Arial" w:cs="Arial"/>
                <w:color w:val="000000"/>
                <w:sz w:val="16"/>
                <w:szCs w:val="16"/>
              </w:rPr>
              <w:tab/>
              <w:t>Οι πιστώσεις για νέες προσλήψεις για το 2025 προβλέπονται στην κατηγορία «Πιστώσεις υπό κατανομή» των Γενικών Κρατικών Δαπανών και διατίθενται σταδιακά για τις δαπάνες των παροχών σε εργαζόμενους των φορέων της Κεντρικής Διοίκησης κατά την εκτέλεση του προϋπολογισμού, με βάση την υλοποίηση των προσλήψεων σε αυτούς.</w:t>
            </w:r>
          </w:p>
        </w:tc>
      </w:tr>
      <w:tr w:rsidR="00E71EED" w:rsidRPr="001B5C3E" w14:paraId="27C999F4" w14:textId="77777777" w:rsidTr="006A71D3">
        <w:trPr>
          <w:cantSplit/>
          <w:jc w:val="center"/>
        </w:trPr>
        <w:tc>
          <w:tcPr>
            <w:tcW w:w="10164" w:type="dxa"/>
            <w:gridSpan w:val="6"/>
            <w:tcBorders>
              <w:top w:val="nil"/>
              <w:left w:val="nil"/>
              <w:bottom w:val="nil"/>
              <w:right w:val="nil"/>
            </w:tcBorders>
            <w:shd w:val="clear" w:color="auto" w:fill="auto"/>
            <w:noWrap/>
            <w:vAlign w:val="center"/>
          </w:tcPr>
          <w:p w14:paraId="19F003AC" w14:textId="77777777" w:rsidR="00E71EED" w:rsidRPr="00E71EED" w:rsidRDefault="00E71EED" w:rsidP="006A71D3">
            <w:pPr>
              <w:tabs>
                <w:tab w:val="left" w:pos="170"/>
              </w:tabs>
              <w:spacing w:after="0" w:line="240" w:lineRule="auto"/>
              <w:ind w:left="170" w:hanging="170"/>
              <w:rPr>
                <w:rFonts w:ascii="Arial" w:hAnsi="Arial" w:cs="Arial"/>
                <w:color w:val="000000"/>
                <w:sz w:val="16"/>
                <w:szCs w:val="16"/>
                <w:vertAlign w:val="superscript"/>
              </w:rPr>
            </w:pPr>
            <w:r w:rsidRPr="00E71EED">
              <w:rPr>
                <w:rFonts w:ascii="Arial" w:hAnsi="Arial" w:cs="Arial"/>
                <w:color w:val="000000"/>
                <w:sz w:val="16"/>
                <w:szCs w:val="16"/>
                <w:vertAlign w:val="superscript"/>
              </w:rPr>
              <w:t>4</w:t>
            </w:r>
            <w:r w:rsidRPr="00E71EED">
              <w:rPr>
                <w:rFonts w:ascii="Arial" w:hAnsi="Arial" w:cs="Arial"/>
                <w:color w:val="000000"/>
                <w:sz w:val="16"/>
                <w:szCs w:val="16"/>
              </w:rPr>
              <w:t xml:space="preserve"> Τα ποσά αφορούν σε ταμειακές πληρωμές για αγορές οπλικών συστημάτων. Οι φυσικές παραλαβές εξοπλιστικών προγραμμάτων που επηρεάζουν το δημοσιονομικό αποτέλεσμα κατά </w:t>
            </w:r>
            <w:r w:rsidRPr="00E71EED">
              <w:rPr>
                <w:rFonts w:ascii="Arial" w:hAnsi="Arial" w:cs="Arial"/>
                <w:color w:val="000000"/>
                <w:sz w:val="16"/>
                <w:szCs w:val="16"/>
                <w:lang w:val="en-US"/>
              </w:rPr>
              <w:t>ESA</w:t>
            </w:r>
            <w:r w:rsidRPr="00E71EED">
              <w:rPr>
                <w:rFonts w:ascii="Arial" w:hAnsi="Arial" w:cs="Arial"/>
                <w:color w:val="000000"/>
                <w:sz w:val="16"/>
                <w:szCs w:val="16"/>
              </w:rPr>
              <w:t xml:space="preserve"> ανέρχονται σε 896 εκατ. ευρώ το 2024 και σε 1.641 εκατ. ευρώ το 2025.</w:t>
            </w:r>
          </w:p>
        </w:tc>
      </w:tr>
      <w:bookmarkEnd w:id="8"/>
    </w:tbl>
    <w:p w14:paraId="4E334C38" w14:textId="77777777" w:rsidR="00E71EED" w:rsidRDefault="00E71EED" w:rsidP="00E71EED">
      <w:pPr>
        <w:rPr>
          <w:lang w:val="en-US"/>
        </w:rPr>
      </w:pPr>
    </w:p>
    <w:p w14:paraId="40C32F0F" w14:textId="4147C1A9" w:rsidR="006C7136" w:rsidRDefault="006C7136" w:rsidP="006C7136">
      <w:pPr>
        <w:spacing w:after="240"/>
        <w:jc w:val="both"/>
      </w:pPr>
      <w:r>
        <w:t>Ειδικά για τον Προϋπολογισμό του Υπουργείου Εθνικής Άμυνας κατωτέρω παρουσιάζονται: (α)</w:t>
      </w:r>
      <w:r w:rsidRPr="00F41BD8">
        <w:t xml:space="preserve"> </w:t>
      </w:r>
      <w:r>
        <w:t>οι</w:t>
      </w:r>
      <w:r w:rsidRPr="00F41BD8">
        <w:t xml:space="preserve"> εκτιμώμενες πληρωμές και </w:t>
      </w:r>
      <w:r>
        <w:t xml:space="preserve">οι </w:t>
      </w:r>
      <w:r w:rsidRPr="00F41BD8">
        <w:t>προβλέψεις πιστώσεων για την υλοποίηση εξοπλιστικών προγραμμάτων ετών 2024</w:t>
      </w:r>
      <w:r>
        <w:t xml:space="preserve"> - </w:t>
      </w:r>
      <w:r w:rsidRPr="00F41BD8">
        <w:t>2025</w:t>
      </w:r>
      <w:r>
        <w:t>,</w:t>
      </w:r>
      <w:r w:rsidRPr="00F41BD8">
        <w:t xml:space="preserve"> οι οποίες ενσωματώνονται στις δαπάνες του τακτικού προϋπολογισμού του Υπουργείου καθώς και </w:t>
      </w:r>
      <w:r>
        <w:t xml:space="preserve">(β) οι </w:t>
      </w:r>
      <w:r w:rsidRPr="00F41BD8">
        <w:t>φυσικές παραλαβές</w:t>
      </w:r>
      <w:r>
        <w:t xml:space="preserve"> </w:t>
      </w:r>
      <w:r w:rsidRPr="00F41BD8">
        <w:t>των αντίστοιχων ετών.</w:t>
      </w:r>
    </w:p>
    <w:tbl>
      <w:tblPr>
        <w:tblW w:w="8394"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2621"/>
        <w:gridCol w:w="2637"/>
        <w:gridCol w:w="3136"/>
      </w:tblGrid>
      <w:tr w:rsidR="006C7136" w:rsidRPr="006C7136" w14:paraId="08B80235" w14:textId="77777777" w:rsidTr="006C7136">
        <w:trPr>
          <w:cantSplit/>
          <w:trHeight w:val="543"/>
          <w:jc w:val="center"/>
        </w:trPr>
        <w:tc>
          <w:tcPr>
            <w:tcW w:w="8394" w:type="dxa"/>
            <w:gridSpan w:val="3"/>
            <w:tcBorders>
              <w:top w:val="single" w:sz="4" w:space="0" w:color="808080"/>
              <w:bottom w:val="single" w:sz="4" w:space="0" w:color="808080"/>
            </w:tcBorders>
            <w:shd w:val="clear" w:color="auto" w:fill="D5DCE4"/>
            <w:vAlign w:val="center"/>
            <w:hideMark/>
          </w:tcPr>
          <w:p w14:paraId="2CB3474F" w14:textId="77777777" w:rsidR="006C7136" w:rsidRPr="006C7136" w:rsidRDefault="006C7136" w:rsidP="006C7136">
            <w:pPr>
              <w:spacing w:after="0"/>
              <w:jc w:val="center"/>
              <w:rPr>
                <w:rFonts w:ascii="Arial" w:eastAsia="Times New Roman" w:hAnsi="Arial" w:cs="Arial"/>
                <w:b/>
                <w:bCs/>
                <w:color w:val="000000"/>
                <w:sz w:val="18"/>
                <w:szCs w:val="16"/>
                <w:lang w:eastAsia="el-GR"/>
              </w:rPr>
            </w:pPr>
            <w:r w:rsidRPr="006C7136">
              <w:rPr>
                <w:rFonts w:ascii="Arial" w:eastAsia="Times New Roman" w:hAnsi="Arial" w:cs="Arial"/>
                <w:b/>
                <w:bCs/>
                <w:color w:val="000000"/>
                <w:sz w:val="18"/>
                <w:szCs w:val="16"/>
                <w:lang w:eastAsia="el-GR"/>
              </w:rPr>
              <w:t>Φυσικές παραλαβές και πληρωμές εξοπλιστικών προγραμμάτων ετών 2024 - 2025</w:t>
            </w:r>
          </w:p>
          <w:p w14:paraId="74C3704C" w14:textId="77777777" w:rsidR="006C7136" w:rsidRPr="006C7136" w:rsidRDefault="006C7136" w:rsidP="006C7136">
            <w:pPr>
              <w:spacing w:after="0"/>
              <w:jc w:val="center"/>
              <w:rPr>
                <w:rFonts w:ascii="Arial" w:eastAsia="Times New Roman" w:hAnsi="Arial" w:cs="Arial"/>
                <w:b/>
                <w:bCs/>
                <w:color w:val="000000"/>
                <w:sz w:val="16"/>
                <w:szCs w:val="16"/>
                <w:lang w:eastAsia="el-GR"/>
              </w:rPr>
            </w:pPr>
            <w:r w:rsidRPr="006C7136">
              <w:rPr>
                <w:rFonts w:ascii="Arial" w:eastAsia="Times New Roman" w:hAnsi="Arial" w:cs="Arial"/>
                <w:b/>
                <w:bCs/>
                <w:color w:val="000000"/>
                <w:sz w:val="18"/>
                <w:szCs w:val="16"/>
                <w:lang w:eastAsia="el-GR"/>
              </w:rPr>
              <w:t>(σε εκατ. ευρώ)</w:t>
            </w:r>
          </w:p>
        </w:tc>
      </w:tr>
      <w:tr w:rsidR="006C7136" w:rsidRPr="006C7136" w14:paraId="1AEF77CD" w14:textId="77777777" w:rsidTr="006C7136">
        <w:trPr>
          <w:cantSplit/>
          <w:trHeight w:val="237"/>
          <w:jc w:val="center"/>
        </w:trPr>
        <w:tc>
          <w:tcPr>
            <w:tcW w:w="2621" w:type="dxa"/>
            <w:tcBorders>
              <w:top w:val="single" w:sz="4" w:space="0" w:color="808080"/>
              <w:bottom w:val="single" w:sz="4" w:space="0" w:color="808080"/>
            </w:tcBorders>
            <w:shd w:val="clear" w:color="000000" w:fill="F2F2F2"/>
            <w:noWrap/>
            <w:vAlign w:val="bottom"/>
            <w:hideMark/>
          </w:tcPr>
          <w:p w14:paraId="163962A1" w14:textId="77777777" w:rsidR="006C7136" w:rsidRPr="006C7136" w:rsidRDefault="006C7136" w:rsidP="006C7136">
            <w:pPr>
              <w:spacing w:after="0"/>
              <w:rPr>
                <w:rFonts w:ascii="Arial" w:eastAsia="Times New Roman" w:hAnsi="Arial" w:cs="Arial"/>
                <w:color w:val="000000"/>
                <w:sz w:val="16"/>
                <w:szCs w:val="16"/>
                <w:lang w:eastAsia="el-GR"/>
              </w:rPr>
            </w:pPr>
            <w:r w:rsidRPr="006C7136">
              <w:rPr>
                <w:rFonts w:ascii="Arial" w:eastAsia="Times New Roman" w:hAnsi="Arial" w:cs="Arial"/>
                <w:color w:val="000000"/>
                <w:sz w:val="16"/>
                <w:szCs w:val="16"/>
                <w:lang w:eastAsia="el-GR"/>
              </w:rPr>
              <w:t> </w:t>
            </w:r>
          </w:p>
        </w:tc>
        <w:tc>
          <w:tcPr>
            <w:tcW w:w="2637" w:type="dxa"/>
            <w:tcBorders>
              <w:top w:val="single" w:sz="4" w:space="0" w:color="808080"/>
              <w:bottom w:val="single" w:sz="4" w:space="0" w:color="808080"/>
            </w:tcBorders>
            <w:shd w:val="clear" w:color="000000" w:fill="F2F2F2"/>
            <w:vAlign w:val="center"/>
            <w:hideMark/>
          </w:tcPr>
          <w:p w14:paraId="328976E2" w14:textId="77777777" w:rsidR="006C7136" w:rsidRPr="006C7136" w:rsidRDefault="006C7136" w:rsidP="006C7136">
            <w:pPr>
              <w:spacing w:after="0"/>
              <w:jc w:val="center"/>
              <w:rPr>
                <w:rFonts w:ascii="Arial" w:eastAsia="Times New Roman" w:hAnsi="Arial" w:cs="Arial"/>
                <w:color w:val="000000"/>
                <w:sz w:val="16"/>
                <w:szCs w:val="16"/>
                <w:lang w:eastAsia="el-GR"/>
              </w:rPr>
            </w:pPr>
            <w:r w:rsidRPr="006C7136">
              <w:rPr>
                <w:rFonts w:ascii="Arial" w:eastAsia="Times New Roman" w:hAnsi="Arial" w:cs="Arial"/>
                <w:color w:val="000000"/>
                <w:sz w:val="16"/>
                <w:szCs w:val="16"/>
                <w:lang w:eastAsia="el-GR"/>
              </w:rPr>
              <w:t>Φυσικές Παραλαβές</w:t>
            </w:r>
          </w:p>
        </w:tc>
        <w:tc>
          <w:tcPr>
            <w:tcW w:w="3136" w:type="dxa"/>
            <w:tcBorders>
              <w:top w:val="single" w:sz="4" w:space="0" w:color="808080"/>
              <w:bottom w:val="single" w:sz="4" w:space="0" w:color="808080"/>
            </w:tcBorders>
            <w:shd w:val="clear" w:color="000000" w:fill="F2F2F2"/>
            <w:vAlign w:val="center"/>
            <w:hideMark/>
          </w:tcPr>
          <w:p w14:paraId="5EA27F03" w14:textId="77777777" w:rsidR="006C7136" w:rsidRPr="006C7136" w:rsidRDefault="006C7136" w:rsidP="006C7136">
            <w:pPr>
              <w:spacing w:after="0"/>
              <w:jc w:val="center"/>
              <w:rPr>
                <w:rFonts w:ascii="Arial" w:eastAsia="Times New Roman" w:hAnsi="Arial" w:cs="Arial"/>
                <w:color w:val="000000"/>
                <w:sz w:val="16"/>
                <w:szCs w:val="16"/>
                <w:lang w:eastAsia="el-GR"/>
              </w:rPr>
            </w:pPr>
            <w:r w:rsidRPr="006C7136">
              <w:rPr>
                <w:rFonts w:ascii="Arial" w:eastAsia="Times New Roman" w:hAnsi="Arial" w:cs="Arial"/>
                <w:color w:val="000000"/>
                <w:sz w:val="16"/>
                <w:szCs w:val="16"/>
                <w:lang w:eastAsia="el-GR"/>
              </w:rPr>
              <w:t>Πληρωμές</w:t>
            </w:r>
          </w:p>
        </w:tc>
      </w:tr>
      <w:tr w:rsidR="006C7136" w:rsidRPr="006C7136" w14:paraId="7095877C" w14:textId="77777777" w:rsidTr="006C7136">
        <w:trPr>
          <w:cantSplit/>
          <w:trHeight w:val="237"/>
          <w:jc w:val="center"/>
        </w:trPr>
        <w:tc>
          <w:tcPr>
            <w:tcW w:w="2621" w:type="dxa"/>
            <w:tcBorders>
              <w:top w:val="single" w:sz="4" w:space="0" w:color="808080"/>
            </w:tcBorders>
            <w:shd w:val="clear" w:color="auto" w:fill="auto"/>
            <w:vAlign w:val="center"/>
            <w:hideMark/>
          </w:tcPr>
          <w:p w14:paraId="6FD3A18D" w14:textId="77777777" w:rsidR="006C7136" w:rsidRPr="006C7136" w:rsidRDefault="006C7136" w:rsidP="006C7136">
            <w:pPr>
              <w:spacing w:after="0"/>
              <w:rPr>
                <w:rFonts w:ascii="Arial" w:eastAsia="Times New Roman" w:hAnsi="Arial" w:cs="Arial"/>
                <w:color w:val="000000"/>
                <w:sz w:val="16"/>
                <w:szCs w:val="16"/>
                <w:lang w:eastAsia="el-GR"/>
              </w:rPr>
            </w:pPr>
            <w:r w:rsidRPr="006C7136">
              <w:rPr>
                <w:rFonts w:ascii="Arial" w:eastAsia="Times New Roman" w:hAnsi="Arial" w:cs="Arial"/>
                <w:color w:val="000000"/>
                <w:sz w:val="16"/>
                <w:szCs w:val="16"/>
                <w:lang w:eastAsia="el-GR"/>
              </w:rPr>
              <w:t>Εκτιμήσεις 2024</w:t>
            </w:r>
          </w:p>
        </w:tc>
        <w:tc>
          <w:tcPr>
            <w:tcW w:w="2637" w:type="dxa"/>
            <w:tcBorders>
              <w:top w:val="single" w:sz="4" w:space="0" w:color="808080"/>
            </w:tcBorders>
            <w:shd w:val="clear" w:color="auto" w:fill="auto"/>
            <w:noWrap/>
            <w:vAlign w:val="center"/>
            <w:hideMark/>
          </w:tcPr>
          <w:p w14:paraId="24E99343" w14:textId="77777777" w:rsidR="006C7136" w:rsidRPr="006C7136" w:rsidRDefault="006C7136" w:rsidP="006C7136">
            <w:pPr>
              <w:spacing w:after="0"/>
              <w:jc w:val="right"/>
              <w:rPr>
                <w:rFonts w:ascii="Arial" w:eastAsia="Times New Roman" w:hAnsi="Arial" w:cs="Arial"/>
                <w:color w:val="000000"/>
                <w:sz w:val="16"/>
                <w:szCs w:val="16"/>
                <w:lang w:eastAsia="el-GR"/>
              </w:rPr>
            </w:pPr>
            <w:r w:rsidRPr="006C7136">
              <w:rPr>
                <w:rFonts w:ascii="Arial" w:eastAsia="Times New Roman" w:hAnsi="Arial" w:cs="Arial"/>
                <w:color w:val="000000"/>
                <w:sz w:val="16"/>
                <w:szCs w:val="16"/>
                <w:lang w:eastAsia="el-GR"/>
              </w:rPr>
              <w:t>896</w:t>
            </w:r>
          </w:p>
        </w:tc>
        <w:tc>
          <w:tcPr>
            <w:tcW w:w="3136" w:type="dxa"/>
            <w:tcBorders>
              <w:top w:val="single" w:sz="4" w:space="0" w:color="808080"/>
            </w:tcBorders>
            <w:shd w:val="clear" w:color="auto" w:fill="auto"/>
            <w:noWrap/>
            <w:vAlign w:val="center"/>
            <w:hideMark/>
          </w:tcPr>
          <w:p w14:paraId="2FC340B1" w14:textId="77777777" w:rsidR="006C7136" w:rsidRPr="006C7136" w:rsidRDefault="006C7136" w:rsidP="006C7136">
            <w:pPr>
              <w:spacing w:after="0"/>
              <w:jc w:val="right"/>
              <w:rPr>
                <w:rFonts w:ascii="Arial" w:eastAsia="Times New Roman" w:hAnsi="Arial" w:cs="Arial"/>
                <w:color w:val="000000"/>
                <w:sz w:val="16"/>
                <w:szCs w:val="16"/>
                <w:lang w:eastAsia="el-GR"/>
              </w:rPr>
            </w:pPr>
            <w:r w:rsidRPr="006C7136">
              <w:rPr>
                <w:rFonts w:ascii="Arial" w:eastAsia="Times New Roman" w:hAnsi="Arial" w:cs="Arial"/>
                <w:color w:val="000000"/>
                <w:sz w:val="16"/>
                <w:szCs w:val="16"/>
                <w:lang w:eastAsia="el-GR"/>
              </w:rPr>
              <w:t>2.422</w:t>
            </w:r>
          </w:p>
        </w:tc>
      </w:tr>
      <w:tr w:rsidR="006C7136" w:rsidRPr="006C7136" w14:paraId="1DFC2995" w14:textId="77777777" w:rsidTr="006C7136">
        <w:trPr>
          <w:cantSplit/>
          <w:trHeight w:val="237"/>
          <w:jc w:val="center"/>
        </w:trPr>
        <w:tc>
          <w:tcPr>
            <w:tcW w:w="2621" w:type="dxa"/>
            <w:shd w:val="clear" w:color="auto" w:fill="auto"/>
            <w:vAlign w:val="center"/>
            <w:hideMark/>
          </w:tcPr>
          <w:p w14:paraId="337BA14D" w14:textId="77777777" w:rsidR="006C7136" w:rsidRPr="006C7136" w:rsidRDefault="006C7136" w:rsidP="006C7136">
            <w:pPr>
              <w:spacing w:after="0"/>
              <w:rPr>
                <w:rFonts w:ascii="Arial" w:eastAsia="Times New Roman" w:hAnsi="Arial" w:cs="Arial"/>
                <w:color w:val="000000"/>
                <w:sz w:val="16"/>
                <w:szCs w:val="16"/>
                <w:lang w:eastAsia="el-GR"/>
              </w:rPr>
            </w:pPr>
            <w:r w:rsidRPr="006C7136">
              <w:rPr>
                <w:rFonts w:ascii="Arial" w:eastAsia="Times New Roman" w:hAnsi="Arial" w:cs="Arial"/>
                <w:color w:val="000000"/>
                <w:sz w:val="16"/>
                <w:szCs w:val="16"/>
                <w:lang w:eastAsia="el-GR"/>
              </w:rPr>
              <w:t>Προβλέψεις 2025</w:t>
            </w:r>
          </w:p>
        </w:tc>
        <w:tc>
          <w:tcPr>
            <w:tcW w:w="2637" w:type="dxa"/>
            <w:shd w:val="clear" w:color="auto" w:fill="auto"/>
            <w:noWrap/>
            <w:vAlign w:val="center"/>
            <w:hideMark/>
          </w:tcPr>
          <w:p w14:paraId="28E7C730" w14:textId="77777777" w:rsidR="006C7136" w:rsidRPr="006C7136" w:rsidRDefault="006C7136" w:rsidP="006C7136">
            <w:pPr>
              <w:spacing w:after="0"/>
              <w:jc w:val="right"/>
              <w:rPr>
                <w:rFonts w:ascii="Arial" w:eastAsia="Times New Roman" w:hAnsi="Arial" w:cs="Arial"/>
                <w:color w:val="000000"/>
                <w:sz w:val="16"/>
                <w:szCs w:val="16"/>
                <w:lang w:eastAsia="el-GR"/>
              </w:rPr>
            </w:pPr>
            <w:r w:rsidRPr="006C7136">
              <w:rPr>
                <w:rFonts w:ascii="Arial" w:eastAsia="Times New Roman" w:hAnsi="Arial" w:cs="Arial"/>
                <w:color w:val="000000"/>
                <w:sz w:val="16"/>
                <w:szCs w:val="16"/>
                <w:lang w:eastAsia="el-GR"/>
              </w:rPr>
              <w:t>1.641</w:t>
            </w:r>
          </w:p>
        </w:tc>
        <w:tc>
          <w:tcPr>
            <w:tcW w:w="3136" w:type="dxa"/>
            <w:shd w:val="clear" w:color="auto" w:fill="auto"/>
            <w:noWrap/>
            <w:vAlign w:val="center"/>
            <w:hideMark/>
          </w:tcPr>
          <w:p w14:paraId="5ED14976" w14:textId="77777777" w:rsidR="006C7136" w:rsidRPr="006C7136" w:rsidRDefault="006C7136" w:rsidP="006C7136">
            <w:pPr>
              <w:spacing w:after="0"/>
              <w:jc w:val="right"/>
              <w:rPr>
                <w:rFonts w:ascii="Arial" w:eastAsia="Times New Roman" w:hAnsi="Arial" w:cs="Arial"/>
                <w:color w:val="000000"/>
                <w:sz w:val="16"/>
                <w:szCs w:val="16"/>
                <w:lang w:eastAsia="el-GR"/>
              </w:rPr>
            </w:pPr>
            <w:r w:rsidRPr="006C7136">
              <w:rPr>
                <w:rFonts w:ascii="Arial" w:eastAsia="Times New Roman" w:hAnsi="Arial" w:cs="Arial"/>
                <w:color w:val="000000"/>
                <w:sz w:val="16"/>
                <w:szCs w:val="16"/>
                <w:lang w:eastAsia="el-GR"/>
              </w:rPr>
              <w:t>2.494</w:t>
            </w:r>
          </w:p>
        </w:tc>
      </w:tr>
    </w:tbl>
    <w:p w14:paraId="43CA9DC1" w14:textId="5BBECC37" w:rsidR="006C7136" w:rsidRPr="006C7136" w:rsidRDefault="006C7136" w:rsidP="00E71EED"/>
    <w:p w14:paraId="7D4392F0" w14:textId="3BAD1373" w:rsidR="00E71EED" w:rsidRDefault="00DD7572" w:rsidP="00E71EED">
      <w:pPr>
        <w:jc w:val="both"/>
      </w:pPr>
      <w:r>
        <w:t>Αναφορικά με τα Νοσοκομεία και την Πρωτοβάθμια Φροντίδα Υγείας, η</w:t>
      </w:r>
      <w:r w:rsidR="00E71EED">
        <w:t xml:space="preserve"> μετάβαση του δημόσιου συστήματος υγείας στη μετά </w:t>
      </w:r>
      <w:r w:rsidR="00E71EED">
        <w:rPr>
          <w:lang w:val="en-US"/>
        </w:rPr>
        <w:t>Covid</w:t>
      </w:r>
      <w:r w:rsidR="00E71EED">
        <w:t>-</w:t>
      </w:r>
      <w:r w:rsidR="00E71EED" w:rsidRPr="000D7A96">
        <w:t xml:space="preserve">19 </w:t>
      </w:r>
      <w:r w:rsidR="00E71EED">
        <w:t>εποχή και η συνεχιζόμενη προσπάθεια αναβάθμισης των παρεχόμενων προς τους πολίτες υπηρεσιών υγείας καθιστούν απαραίτητη την περαιτέρω στήριξή του σε επίπεδο χρηματοδότησης από τον κρατικό προϋπολογισμό.</w:t>
      </w:r>
    </w:p>
    <w:p w14:paraId="152DCE8C" w14:textId="77777777" w:rsidR="00E71EED" w:rsidRPr="00E71EED" w:rsidRDefault="00E71EED" w:rsidP="00E71EED">
      <w:pPr>
        <w:jc w:val="both"/>
      </w:pPr>
      <w:r>
        <w:t>Το δημοσιονομικό αποτέλεσμα των νοσοκομείων και της ΠΦΥ προβλέπεται ότι θα διαμορφωθεί σε πλεόνασμα ύψους 273 εκατ. ευρώ, παρουσιάζοντας βελτίωση κατά 55 εκατ. ευρώ σε σχέση με το αντίστοιχο εκτιμώμενο μέγεθος για το 2024.</w:t>
      </w:r>
    </w:p>
    <w:p w14:paraId="2521AF40" w14:textId="77777777" w:rsidR="00E71EED" w:rsidRPr="00E71EED" w:rsidRDefault="00E71EED" w:rsidP="00E71EED">
      <w:pPr>
        <w:jc w:val="both"/>
        <w:rPr>
          <w:rFonts w:cstheme="minorHAnsi"/>
        </w:rPr>
      </w:pPr>
      <w:r w:rsidRPr="00E71EED">
        <w:rPr>
          <w:rFonts w:cstheme="minorHAnsi"/>
        </w:rPr>
        <w:t>Τα συνολικά έσοδα προβλέπεται να ανέλθουν σε 4.744 εκατ. ευρώ, παρουσιάζοντας αύξηση σε σχέση με το 2024 κατά 363 εκατ. ευρώ και αντικατοπτρίζοντας κατά κύριο λόγο:</w:t>
      </w:r>
    </w:p>
    <w:p w14:paraId="184CF269" w14:textId="77777777" w:rsidR="00E71EED" w:rsidRPr="00E71EED" w:rsidRDefault="00E71EED" w:rsidP="00E71EED">
      <w:pPr>
        <w:spacing w:after="60"/>
        <w:jc w:val="both"/>
        <w:rPr>
          <w:rFonts w:cstheme="minorHAnsi"/>
        </w:rPr>
      </w:pPr>
      <w:r w:rsidRPr="00E71EED">
        <w:rPr>
          <w:rFonts w:cstheme="minorHAnsi"/>
        </w:rPr>
        <w:t>(α) την αύξηση των μεταβιβάσεων από τον τακτικό προϋπολογισμό κατά 212 εκατ. ευρώ που προορίζεται για:</w:t>
      </w:r>
    </w:p>
    <w:p w14:paraId="5AFC568C" w14:textId="77777777" w:rsidR="00E71EED" w:rsidRPr="00E71EED" w:rsidRDefault="00E71EED" w:rsidP="006E68DE">
      <w:pPr>
        <w:pStyle w:val="af0"/>
        <w:numPr>
          <w:ilvl w:val="0"/>
          <w:numId w:val="2"/>
        </w:numPr>
        <w:spacing w:before="60" w:after="60" w:line="300" w:lineRule="auto"/>
        <w:ind w:left="641" w:hanging="357"/>
        <w:contextualSpacing w:val="0"/>
        <w:rPr>
          <w:rFonts w:asciiTheme="minorHAnsi" w:hAnsiTheme="minorHAnsi" w:cstheme="minorHAnsi"/>
        </w:rPr>
      </w:pPr>
      <w:r w:rsidRPr="00E71EED">
        <w:rPr>
          <w:rFonts w:asciiTheme="minorHAnsi" w:hAnsiTheme="minorHAnsi" w:cstheme="minorHAnsi"/>
        </w:rPr>
        <w:lastRenderedPageBreak/>
        <w:t>την κάλυψη των αυξημένων λειτουργικών αναγκών των νοσοκομείων και της ΠΦΥ που προκύπτουν από την αύξηση των τιμών στα αγαθά και τις υπηρεσίες,</w:t>
      </w:r>
    </w:p>
    <w:p w14:paraId="1D911FBD" w14:textId="77777777" w:rsidR="00E71EED" w:rsidRPr="00E71EED" w:rsidRDefault="00E71EED" w:rsidP="006E68DE">
      <w:pPr>
        <w:pStyle w:val="af0"/>
        <w:numPr>
          <w:ilvl w:val="0"/>
          <w:numId w:val="2"/>
        </w:numPr>
        <w:spacing w:before="60" w:after="60" w:line="300" w:lineRule="auto"/>
        <w:ind w:left="641" w:hanging="357"/>
        <w:contextualSpacing w:val="0"/>
        <w:rPr>
          <w:rFonts w:asciiTheme="minorHAnsi" w:hAnsiTheme="minorHAnsi" w:cstheme="minorHAnsi"/>
        </w:rPr>
      </w:pPr>
      <w:r w:rsidRPr="00E71EED">
        <w:rPr>
          <w:rFonts w:asciiTheme="minorHAnsi" w:hAnsiTheme="minorHAnsi" w:cstheme="minorHAnsi"/>
        </w:rPr>
        <w:t>την κάλυψη της δαπάνης μισθοδοσίας του επικουρικού προσωπικού,</w:t>
      </w:r>
    </w:p>
    <w:p w14:paraId="637B5832" w14:textId="77777777" w:rsidR="00E71EED" w:rsidRPr="00E71EED" w:rsidRDefault="00E71EED" w:rsidP="006E68DE">
      <w:pPr>
        <w:pStyle w:val="af0"/>
        <w:numPr>
          <w:ilvl w:val="0"/>
          <w:numId w:val="2"/>
        </w:numPr>
        <w:spacing w:before="60" w:after="60" w:line="300" w:lineRule="auto"/>
        <w:ind w:left="641" w:hanging="357"/>
        <w:contextualSpacing w:val="0"/>
        <w:rPr>
          <w:rFonts w:asciiTheme="minorHAnsi" w:hAnsiTheme="minorHAnsi" w:cstheme="minorHAnsi"/>
        </w:rPr>
      </w:pPr>
      <w:r w:rsidRPr="00E71EED">
        <w:rPr>
          <w:rFonts w:asciiTheme="minorHAnsi" w:hAnsiTheme="minorHAnsi" w:cstheme="minorHAnsi"/>
        </w:rPr>
        <w:t>την ανάγκη ανταπόκρισης των υγειονομικών υπηρεσιών στην απαίτηση για πρόσβαση των ασθενών σε νέες αποτελεσματικές θεραπείες και</w:t>
      </w:r>
    </w:p>
    <w:p w14:paraId="0DF35B65" w14:textId="77777777" w:rsidR="00E71EED" w:rsidRPr="00E71EED" w:rsidRDefault="00E71EED" w:rsidP="006E68DE">
      <w:pPr>
        <w:pStyle w:val="af0"/>
        <w:numPr>
          <w:ilvl w:val="0"/>
          <w:numId w:val="2"/>
        </w:numPr>
        <w:spacing w:before="60" w:after="60" w:line="300" w:lineRule="auto"/>
        <w:ind w:left="641" w:hanging="357"/>
        <w:contextualSpacing w:val="0"/>
        <w:rPr>
          <w:rFonts w:asciiTheme="minorHAnsi" w:hAnsiTheme="minorHAnsi" w:cstheme="minorHAnsi"/>
        </w:rPr>
      </w:pPr>
      <w:r w:rsidRPr="00E71EED">
        <w:rPr>
          <w:rFonts w:asciiTheme="minorHAnsi" w:hAnsiTheme="minorHAnsi" w:cstheme="minorHAnsi"/>
        </w:rPr>
        <w:t>την κάλυψη μέρους των απλήρωτων υποχρεώσεων προηγούμενων οικονομικών ετών προς τρίτους,</w:t>
      </w:r>
    </w:p>
    <w:p w14:paraId="4C05F461" w14:textId="77777777" w:rsidR="00E71EED" w:rsidRPr="00A21B76" w:rsidRDefault="00E71EED" w:rsidP="00E71EED">
      <w:pPr>
        <w:spacing w:before="120"/>
        <w:jc w:val="both"/>
        <w:rPr>
          <w:rFonts w:cstheme="minorHAnsi"/>
        </w:rPr>
      </w:pPr>
      <w:r w:rsidRPr="00E71EED">
        <w:rPr>
          <w:rFonts w:cstheme="minorHAnsi"/>
        </w:rPr>
        <w:t xml:space="preserve">(β) την αύξηση κατά 134 εκατ. ευρώ των μεταβιβάσεων από τον προϋπολογισμό δημοσίων επενδύσεων, που προορίζονται κυρίως για την ενίσχυση των υποδομών και την αναβάθμιση του </w:t>
      </w:r>
      <w:proofErr w:type="spellStart"/>
      <w:r w:rsidRPr="00E71EED">
        <w:rPr>
          <w:rFonts w:cstheme="minorHAnsi"/>
        </w:rPr>
        <w:t>ιατροτεχνολογικού</w:t>
      </w:r>
      <w:proofErr w:type="spellEnd"/>
      <w:r w:rsidRPr="00E71EED">
        <w:rPr>
          <w:rFonts w:cstheme="minorHAnsi"/>
        </w:rPr>
        <w:t xml:space="preserve"> εξοπλισμού των νοσοκομείων.</w:t>
      </w:r>
    </w:p>
    <w:p w14:paraId="747D4B35" w14:textId="7F16EBB7" w:rsidR="00730831" w:rsidRPr="00730831" w:rsidRDefault="00730831" w:rsidP="00E71EED">
      <w:pPr>
        <w:spacing w:before="120"/>
        <w:jc w:val="both"/>
        <w:rPr>
          <w:rFonts w:cstheme="minorHAnsi"/>
        </w:rPr>
      </w:pPr>
      <w:r w:rsidRPr="00140164">
        <w:t>Παρακάτω</w:t>
      </w:r>
      <w:r w:rsidRPr="00730831">
        <w:t xml:space="preserve"> </w:t>
      </w:r>
      <w:r w:rsidRPr="00140164">
        <w:t>απεικονίζε</w:t>
      </w:r>
      <w:r w:rsidRPr="00D811EC">
        <w:t>ται ο προϋπολογισμός των νοσοκομείων και της ΠΦΥ σε δεδουλευμένη βάση</w:t>
      </w:r>
    </w:p>
    <w:tbl>
      <w:tblPr>
        <w:tblW w:w="9252"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249"/>
        <w:gridCol w:w="1528"/>
        <w:gridCol w:w="1475"/>
      </w:tblGrid>
      <w:tr w:rsidR="00730831" w:rsidRPr="00730831" w14:paraId="1DB2D34F" w14:textId="77777777" w:rsidTr="00730831">
        <w:trPr>
          <w:cantSplit/>
          <w:trHeight w:val="220"/>
          <w:jc w:val="center"/>
        </w:trPr>
        <w:tc>
          <w:tcPr>
            <w:tcW w:w="9252" w:type="dxa"/>
            <w:gridSpan w:val="3"/>
            <w:tcBorders>
              <w:top w:val="single" w:sz="4" w:space="0" w:color="808080"/>
              <w:bottom w:val="single" w:sz="4" w:space="0" w:color="808080"/>
            </w:tcBorders>
            <w:shd w:val="clear" w:color="000000" w:fill="D5DCE4"/>
            <w:vAlign w:val="center"/>
            <w:hideMark/>
          </w:tcPr>
          <w:p w14:paraId="0FA73BEE" w14:textId="71B249EC" w:rsidR="00730831" w:rsidRPr="00730831" w:rsidRDefault="00730831" w:rsidP="00730831">
            <w:pPr>
              <w:spacing w:after="0"/>
              <w:jc w:val="center"/>
              <w:rPr>
                <w:rFonts w:ascii="Arial" w:eastAsia="Times New Roman" w:hAnsi="Arial" w:cs="Arial"/>
                <w:b/>
                <w:bCs/>
                <w:sz w:val="18"/>
                <w:szCs w:val="18"/>
                <w:lang w:eastAsia="el-GR"/>
              </w:rPr>
            </w:pPr>
            <w:bookmarkStart w:id="9" w:name="_Toc182928050"/>
            <w:r w:rsidRPr="00730831">
              <w:rPr>
                <w:rFonts w:ascii="Arial" w:eastAsia="Times New Roman" w:hAnsi="Arial" w:cs="Arial"/>
                <w:b/>
                <w:bCs/>
                <w:sz w:val="18"/>
                <w:szCs w:val="18"/>
                <w:lang w:eastAsia="el-GR"/>
              </w:rPr>
              <w:t>Προϋπολογισμοί Νοσοκομείων και ΠΦΥ σε δεδουλευμένη βάση (σε εκατ. ευρώ)*</w:t>
            </w:r>
            <w:bookmarkEnd w:id="9"/>
          </w:p>
        </w:tc>
      </w:tr>
      <w:tr w:rsidR="00730831" w:rsidRPr="00730831" w14:paraId="192F70BE" w14:textId="77777777" w:rsidTr="00730831">
        <w:trPr>
          <w:cantSplit/>
          <w:trHeight w:val="146"/>
          <w:jc w:val="center"/>
        </w:trPr>
        <w:tc>
          <w:tcPr>
            <w:tcW w:w="6249" w:type="dxa"/>
            <w:vMerge w:val="restart"/>
            <w:tcBorders>
              <w:top w:val="single" w:sz="4" w:space="0" w:color="808080"/>
              <w:bottom w:val="nil"/>
            </w:tcBorders>
            <w:shd w:val="clear" w:color="auto" w:fill="F2F2F2"/>
            <w:vAlign w:val="center"/>
            <w:hideMark/>
          </w:tcPr>
          <w:p w14:paraId="706139DD" w14:textId="77777777" w:rsidR="00730831" w:rsidRPr="00730831" w:rsidRDefault="00730831" w:rsidP="00730831">
            <w:pPr>
              <w:spacing w:after="0"/>
              <w:jc w:val="center"/>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 </w:t>
            </w:r>
          </w:p>
        </w:tc>
        <w:tc>
          <w:tcPr>
            <w:tcW w:w="1528" w:type="dxa"/>
            <w:tcBorders>
              <w:top w:val="single" w:sz="4" w:space="0" w:color="808080"/>
              <w:bottom w:val="nil"/>
            </w:tcBorders>
            <w:shd w:val="clear" w:color="auto" w:fill="F2F2F2"/>
            <w:vAlign w:val="center"/>
            <w:hideMark/>
          </w:tcPr>
          <w:p w14:paraId="5CF5CE04" w14:textId="77777777" w:rsidR="00730831" w:rsidRPr="00730831" w:rsidRDefault="00730831" w:rsidP="00730831">
            <w:pPr>
              <w:spacing w:after="0"/>
              <w:jc w:val="center"/>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2024</w:t>
            </w:r>
          </w:p>
        </w:tc>
        <w:tc>
          <w:tcPr>
            <w:tcW w:w="1475" w:type="dxa"/>
            <w:tcBorders>
              <w:top w:val="single" w:sz="4" w:space="0" w:color="808080"/>
              <w:bottom w:val="nil"/>
            </w:tcBorders>
            <w:shd w:val="clear" w:color="auto" w:fill="F2F2F2"/>
            <w:vAlign w:val="center"/>
            <w:hideMark/>
          </w:tcPr>
          <w:p w14:paraId="5CED5DAC" w14:textId="77777777" w:rsidR="00730831" w:rsidRPr="00730831" w:rsidRDefault="00730831" w:rsidP="00730831">
            <w:pPr>
              <w:spacing w:after="0"/>
              <w:jc w:val="center"/>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2025</w:t>
            </w:r>
          </w:p>
        </w:tc>
      </w:tr>
      <w:tr w:rsidR="00730831" w:rsidRPr="00730831" w14:paraId="6F7CFA10" w14:textId="77777777" w:rsidTr="00730831">
        <w:trPr>
          <w:cantSplit/>
          <w:trHeight w:val="293"/>
          <w:jc w:val="center"/>
        </w:trPr>
        <w:tc>
          <w:tcPr>
            <w:tcW w:w="6249" w:type="dxa"/>
            <w:vMerge/>
            <w:tcBorders>
              <w:top w:val="nil"/>
              <w:bottom w:val="single" w:sz="4" w:space="0" w:color="808080"/>
            </w:tcBorders>
            <w:shd w:val="clear" w:color="auto" w:fill="F2F2F2"/>
            <w:vAlign w:val="center"/>
            <w:hideMark/>
          </w:tcPr>
          <w:p w14:paraId="4C04FA05" w14:textId="77777777" w:rsidR="00730831" w:rsidRPr="00730831" w:rsidRDefault="00730831" w:rsidP="00730831">
            <w:pPr>
              <w:spacing w:after="0"/>
              <w:rPr>
                <w:rFonts w:ascii="Arial" w:eastAsia="Times New Roman" w:hAnsi="Arial" w:cs="Arial"/>
                <w:b/>
                <w:bCs/>
                <w:color w:val="000000"/>
                <w:sz w:val="16"/>
                <w:szCs w:val="16"/>
                <w:lang w:eastAsia="el-GR"/>
              </w:rPr>
            </w:pPr>
          </w:p>
        </w:tc>
        <w:tc>
          <w:tcPr>
            <w:tcW w:w="1528" w:type="dxa"/>
            <w:tcBorders>
              <w:top w:val="nil"/>
              <w:bottom w:val="single" w:sz="4" w:space="0" w:color="808080"/>
            </w:tcBorders>
            <w:shd w:val="clear" w:color="auto" w:fill="F2F2F2"/>
            <w:vAlign w:val="center"/>
            <w:hideMark/>
          </w:tcPr>
          <w:p w14:paraId="75F87937" w14:textId="77777777" w:rsidR="00730831" w:rsidRPr="00730831" w:rsidRDefault="00730831" w:rsidP="00730831">
            <w:pPr>
              <w:spacing w:after="0"/>
              <w:jc w:val="center"/>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Εκτιμήσεις</w:t>
            </w:r>
          </w:p>
        </w:tc>
        <w:tc>
          <w:tcPr>
            <w:tcW w:w="1475" w:type="dxa"/>
            <w:tcBorders>
              <w:top w:val="nil"/>
              <w:bottom w:val="single" w:sz="4" w:space="0" w:color="808080"/>
            </w:tcBorders>
            <w:shd w:val="clear" w:color="auto" w:fill="F2F2F2"/>
            <w:vAlign w:val="center"/>
            <w:hideMark/>
          </w:tcPr>
          <w:p w14:paraId="584F264B" w14:textId="77777777" w:rsidR="00730831" w:rsidRPr="00730831" w:rsidRDefault="00730831" w:rsidP="00730831">
            <w:pPr>
              <w:spacing w:after="0"/>
              <w:jc w:val="center"/>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Προβλέψεις</w:t>
            </w:r>
          </w:p>
        </w:tc>
      </w:tr>
      <w:tr w:rsidR="00730831" w:rsidRPr="00730831" w14:paraId="3FAF92C2" w14:textId="77777777" w:rsidTr="00730831">
        <w:trPr>
          <w:cantSplit/>
          <w:trHeight w:val="293"/>
          <w:jc w:val="center"/>
        </w:trPr>
        <w:tc>
          <w:tcPr>
            <w:tcW w:w="6249" w:type="dxa"/>
            <w:tcBorders>
              <w:top w:val="single" w:sz="4" w:space="0" w:color="808080"/>
            </w:tcBorders>
            <w:shd w:val="clear" w:color="000000" w:fill="D5DCE4"/>
            <w:vAlign w:val="center"/>
            <w:hideMark/>
          </w:tcPr>
          <w:p w14:paraId="28922A74" w14:textId="77777777" w:rsidR="00730831" w:rsidRPr="00730831" w:rsidRDefault="00730831" w:rsidP="00730831">
            <w:pPr>
              <w:spacing w:after="0"/>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Νοσοκομεία και ΠΦΥ συγκεντρωτικά</w:t>
            </w:r>
          </w:p>
        </w:tc>
        <w:tc>
          <w:tcPr>
            <w:tcW w:w="1528" w:type="dxa"/>
            <w:tcBorders>
              <w:top w:val="single" w:sz="4" w:space="0" w:color="808080"/>
              <w:bottom w:val="nil"/>
            </w:tcBorders>
            <w:shd w:val="clear" w:color="000000" w:fill="D5DCE4"/>
            <w:vAlign w:val="center"/>
            <w:hideMark/>
          </w:tcPr>
          <w:p w14:paraId="0A737AB0" w14:textId="77777777" w:rsidR="00730831" w:rsidRPr="00730831" w:rsidRDefault="00730831" w:rsidP="00730831">
            <w:pPr>
              <w:spacing w:after="0"/>
              <w:jc w:val="right"/>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 </w:t>
            </w:r>
          </w:p>
        </w:tc>
        <w:tc>
          <w:tcPr>
            <w:tcW w:w="1475" w:type="dxa"/>
            <w:tcBorders>
              <w:top w:val="single" w:sz="4" w:space="0" w:color="808080"/>
              <w:bottom w:val="nil"/>
            </w:tcBorders>
            <w:shd w:val="clear" w:color="000000" w:fill="D5DCE4"/>
            <w:vAlign w:val="center"/>
            <w:hideMark/>
          </w:tcPr>
          <w:p w14:paraId="0B365D8D" w14:textId="77777777" w:rsidR="00730831" w:rsidRPr="00730831" w:rsidRDefault="00730831" w:rsidP="00730831">
            <w:pPr>
              <w:spacing w:after="0"/>
              <w:jc w:val="right"/>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 </w:t>
            </w:r>
          </w:p>
        </w:tc>
      </w:tr>
      <w:tr w:rsidR="00730831" w:rsidRPr="00730831" w14:paraId="574C3EF6" w14:textId="77777777" w:rsidTr="00730831">
        <w:trPr>
          <w:cantSplit/>
          <w:trHeight w:val="293"/>
          <w:jc w:val="center"/>
        </w:trPr>
        <w:tc>
          <w:tcPr>
            <w:tcW w:w="6249" w:type="dxa"/>
            <w:shd w:val="clear" w:color="auto" w:fill="auto"/>
            <w:vAlign w:val="center"/>
            <w:hideMark/>
          </w:tcPr>
          <w:p w14:paraId="4D9E0095" w14:textId="77777777" w:rsidR="00730831" w:rsidRPr="00730831" w:rsidRDefault="00730831" w:rsidP="00730831">
            <w:pPr>
              <w:spacing w:after="0"/>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Έσοδα</w:t>
            </w:r>
          </w:p>
        </w:tc>
        <w:tc>
          <w:tcPr>
            <w:tcW w:w="1528" w:type="dxa"/>
            <w:tcBorders>
              <w:top w:val="nil"/>
              <w:left w:val="nil"/>
              <w:bottom w:val="nil"/>
              <w:right w:val="nil"/>
            </w:tcBorders>
            <w:shd w:val="clear" w:color="auto" w:fill="auto"/>
            <w:vAlign w:val="center"/>
          </w:tcPr>
          <w:p w14:paraId="41892161" w14:textId="77777777" w:rsidR="00730831" w:rsidRPr="00730831" w:rsidRDefault="00730831" w:rsidP="00730831">
            <w:pPr>
              <w:spacing w:after="0"/>
              <w:jc w:val="right"/>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4.381</w:t>
            </w:r>
          </w:p>
        </w:tc>
        <w:tc>
          <w:tcPr>
            <w:tcW w:w="1475" w:type="dxa"/>
            <w:tcBorders>
              <w:top w:val="nil"/>
              <w:left w:val="nil"/>
              <w:bottom w:val="nil"/>
              <w:right w:val="single" w:sz="4" w:space="0" w:color="808080"/>
            </w:tcBorders>
            <w:shd w:val="clear" w:color="auto" w:fill="auto"/>
            <w:vAlign w:val="center"/>
          </w:tcPr>
          <w:p w14:paraId="44D26A7E" w14:textId="77777777" w:rsidR="00730831" w:rsidRPr="00730831" w:rsidRDefault="00730831" w:rsidP="00730831">
            <w:pPr>
              <w:spacing w:after="0"/>
              <w:jc w:val="right"/>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4.744</w:t>
            </w:r>
          </w:p>
        </w:tc>
      </w:tr>
      <w:tr w:rsidR="00730831" w:rsidRPr="00730831" w14:paraId="43CBEBAA" w14:textId="77777777" w:rsidTr="00730831">
        <w:trPr>
          <w:cantSplit/>
          <w:trHeight w:val="293"/>
          <w:jc w:val="center"/>
        </w:trPr>
        <w:tc>
          <w:tcPr>
            <w:tcW w:w="6249" w:type="dxa"/>
            <w:shd w:val="clear" w:color="auto" w:fill="auto"/>
            <w:vAlign w:val="center"/>
            <w:hideMark/>
          </w:tcPr>
          <w:p w14:paraId="23183F62" w14:textId="77777777" w:rsidR="00730831" w:rsidRPr="00730831" w:rsidRDefault="00730831" w:rsidP="00730831">
            <w:pPr>
              <w:spacing w:after="0"/>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Ίδια έσοδα</w:t>
            </w:r>
          </w:p>
        </w:tc>
        <w:tc>
          <w:tcPr>
            <w:tcW w:w="1528" w:type="dxa"/>
            <w:tcBorders>
              <w:top w:val="nil"/>
              <w:left w:val="nil"/>
              <w:bottom w:val="nil"/>
              <w:right w:val="nil"/>
            </w:tcBorders>
            <w:shd w:val="clear" w:color="auto" w:fill="auto"/>
            <w:vAlign w:val="center"/>
          </w:tcPr>
          <w:p w14:paraId="7444482C"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150</w:t>
            </w:r>
          </w:p>
        </w:tc>
        <w:tc>
          <w:tcPr>
            <w:tcW w:w="1475" w:type="dxa"/>
            <w:tcBorders>
              <w:top w:val="nil"/>
              <w:left w:val="nil"/>
              <w:bottom w:val="nil"/>
              <w:right w:val="single" w:sz="4" w:space="0" w:color="808080"/>
            </w:tcBorders>
            <w:shd w:val="clear" w:color="auto" w:fill="auto"/>
            <w:vAlign w:val="center"/>
          </w:tcPr>
          <w:p w14:paraId="7A91BB50"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152</w:t>
            </w:r>
          </w:p>
        </w:tc>
      </w:tr>
      <w:tr w:rsidR="00730831" w:rsidRPr="00730831" w14:paraId="5EA52EED" w14:textId="77777777" w:rsidTr="00730831">
        <w:trPr>
          <w:cantSplit/>
          <w:trHeight w:val="293"/>
          <w:jc w:val="center"/>
        </w:trPr>
        <w:tc>
          <w:tcPr>
            <w:tcW w:w="6249" w:type="dxa"/>
            <w:shd w:val="clear" w:color="auto" w:fill="auto"/>
            <w:vAlign w:val="center"/>
            <w:hideMark/>
          </w:tcPr>
          <w:p w14:paraId="011CBF7D" w14:textId="77777777" w:rsidR="00730831" w:rsidRPr="00730831" w:rsidRDefault="00730831" w:rsidP="00730831">
            <w:pPr>
              <w:spacing w:after="0"/>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Μεταβιβάσεις από τακτικό προϋπολογισμό</w:t>
            </w:r>
          </w:p>
        </w:tc>
        <w:tc>
          <w:tcPr>
            <w:tcW w:w="1528" w:type="dxa"/>
            <w:tcBorders>
              <w:top w:val="nil"/>
              <w:left w:val="nil"/>
              <w:bottom w:val="nil"/>
              <w:right w:val="nil"/>
            </w:tcBorders>
            <w:shd w:val="clear" w:color="auto" w:fill="auto"/>
            <w:vAlign w:val="center"/>
          </w:tcPr>
          <w:p w14:paraId="46EAD302"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2.680</w:t>
            </w:r>
          </w:p>
        </w:tc>
        <w:tc>
          <w:tcPr>
            <w:tcW w:w="1475" w:type="dxa"/>
            <w:tcBorders>
              <w:top w:val="nil"/>
              <w:left w:val="nil"/>
              <w:bottom w:val="nil"/>
              <w:right w:val="single" w:sz="4" w:space="0" w:color="808080"/>
            </w:tcBorders>
            <w:shd w:val="clear" w:color="auto" w:fill="auto"/>
            <w:vAlign w:val="center"/>
          </w:tcPr>
          <w:p w14:paraId="39ADE133"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2.892</w:t>
            </w:r>
          </w:p>
        </w:tc>
      </w:tr>
      <w:tr w:rsidR="00730831" w:rsidRPr="00730831" w14:paraId="7E910830" w14:textId="77777777" w:rsidTr="00730831">
        <w:trPr>
          <w:cantSplit/>
          <w:trHeight w:val="293"/>
          <w:jc w:val="center"/>
        </w:trPr>
        <w:tc>
          <w:tcPr>
            <w:tcW w:w="6249" w:type="dxa"/>
            <w:shd w:val="clear" w:color="auto" w:fill="auto"/>
            <w:vAlign w:val="center"/>
            <w:hideMark/>
          </w:tcPr>
          <w:p w14:paraId="02062C4B" w14:textId="77777777" w:rsidR="00730831" w:rsidRPr="00730831" w:rsidRDefault="00730831" w:rsidP="00730831">
            <w:pPr>
              <w:spacing w:after="0"/>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Μεταβιβάσεις από φορείς κοινωνικής ασφάλισης</w:t>
            </w:r>
          </w:p>
        </w:tc>
        <w:tc>
          <w:tcPr>
            <w:tcW w:w="1528" w:type="dxa"/>
            <w:tcBorders>
              <w:top w:val="nil"/>
              <w:left w:val="nil"/>
              <w:bottom w:val="nil"/>
              <w:right w:val="nil"/>
            </w:tcBorders>
            <w:shd w:val="clear" w:color="auto" w:fill="auto"/>
            <w:vAlign w:val="center"/>
          </w:tcPr>
          <w:p w14:paraId="41DDE5D4"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902</w:t>
            </w:r>
          </w:p>
        </w:tc>
        <w:tc>
          <w:tcPr>
            <w:tcW w:w="1475" w:type="dxa"/>
            <w:tcBorders>
              <w:top w:val="nil"/>
              <w:left w:val="nil"/>
              <w:bottom w:val="nil"/>
              <w:right w:val="single" w:sz="4" w:space="0" w:color="808080"/>
            </w:tcBorders>
            <w:shd w:val="clear" w:color="auto" w:fill="auto"/>
            <w:vAlign w:val="center"/>
          </w:tcPr>
          <w:p w14:paraId="78C6D2C7"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911</w:t>
            </w:r>
          </w:p>
        </w:tc>
      </w:tr>
      <w:tr w:rsidR="00730831" w:rsidRPr="00730831" w14:paraId="78A61845" w14:textId="77777777" w:rsidTr="00730831">
        <w:trPr>
          <w:cantSplit/>
          <w:trHeight w:val="293"/>
          <w:jc w:val="center"/>
        </w:trPr>
        <w:tc>
          <w:tcPr>
            <w:tcW w:w="6249" w:type="dxa"/>
            <w:shd w:val="clear" w:color="auto" w:fill="auto"/>
            <w:vAlign w:val="center"/>
            <w:hideMark/>
          </w:tcPr>
          <w:p w14:paraId="1CF408DC" w14:textId="77777777" w:rsidR="00730831" w:rsidRPr="00730831" w:rsidRDefault="00730831" w:rsidP="00730831">
            <w:pPr>
              <w:spacing w:after="0"/>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Μεταβιβάσεις από προϋπολογισμό δημοσίων επενδύσεων</w:t>
            </w:r>
          </w:p>
        </w:tc>
        <w:tc>
          <w:tcPr>
            <w:tcW w:w="1528" w:type="dxa"/>
            <w:tcBorders>
              <w:top w:val="nil"/>
              <w:left w:val="nil"/>
              <w:bottom w:val="nil"/>
              <w:right w:val="nil"/>
            </w:tcBorders>
            <w:shd w:val="clear" w:color="auto" w:fill="auto"/>
            <w:vAlign w:val="center"/>
          </w:tcPr>
          <w:p w14:paraId="5904974B"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165</w:t>
            </w:r>
          </w:p>
        </w:tc>
        <w:tc>
          <w:tcPr>
            <w:tcW w:w="1475" w:type="dxa"/>
            <w:tcBorders>
              <w:top w:val="nil"/>
              <w:left w:val="nil"/>
              <w:bottom w:val="nil"/>
              <w:right w:val="single" w:sz="4" w:space="0" w:color="808080"/>
            </w:tcBorders>
            <w:shd w:val="clear" w:color="auto" w:fill="auto"/>
            <w:vAlign w:val="center"/>
          </w:tcPr>
          <w:p w14:paraId="202CFB01"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299</w:t>
            </w:r>
          </w:p>
        </w:tc>
      </w:tr>
      <w:tr w:rsidR="00730831" w:rsidRPr="00730831" w14:paraId="713D553C" w14:textId="77777777" w:rsidTr="00730831">
        <w:trPr>
          <w:cantSplit/>
          <w:trHeight w:val="293"/>
          <w:jc w:val="center"/>
        </w:trPr>
        <w:tc>
          <w:tcPr>
            <w:tcW w:w="6249" w:type="dxa"/>
            <w:shd w:val="clear" w:color="auto" w:fill="auto"/>
            <w:vAlign w:val="center"/>
            <w:hideMark/>
          </w:tcPr>
          <w:p w14:paraId="16FE1724" w14:textId="77777777" w:rsidR="00730831" w:rsidRPr="00730831" w:rsidRDefault="00730831" w:rsidP="00730831">
            <w:pPr>
              <w:spacing w:after="0"/>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Έσοδα υπέρ Δημοσίου και τρίτων</w:t>
            </w:r>
          </w:p>
        </w:tc>
        <w:tc>
          <w:tcPr>
            <w:tcW w:w="1528" w:type="dxa"/>
            <w:tcBorders>
              <w:top w:val="nil"/>
              <w:left w:val="nil"/>
              <w:bottom w:val="nil"/>
              <w:right w:val="nil"/>
            </w:tcBorders>
            <w:shd w:val="clear" w:color="auto" w:fill="auto"/>
            <w:vAlign w:val="center"/>
          </w:tcPr>
          <w:p w14:paraId="2CCA6E29"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484</w:t>
            </w:r>
          </w:p>
        </w:tc>
        <w:tc>
          <w:tcPr>
            <w:tcW w:w="1475" w:type="dxa"/>
            <w:tcBorders>
              <w:top w:val="nil"/>
              <w:left w:val="nil"/>
              <w:bottom w:val="nil"/>
              <w:right w:val="single" w:sz="4" w:space="0" w:color="808080"/>
            </w:tcBorders>
            <w:shd w:val="clear" w:color="auto" w:fill="auto"/>
            <w:vAlign w:val="center"/>
          </w:tcPr>
          <w:p w14:paraId="6CF0E991"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490</w:t>
            </w:r>
          </w:p>
        </w:tc>
      </w:tr>
      <w:tr w:rsidR="00730831" w:rsidRPr="00730831" w14:paraId="0DFE6017" w14:textId="77777777" w:rsidTr="00730831">
        <w:trPr>
          <w:cantSplit/>
          <w:trHeight w:val="293"/>
          <w:jc w:val="center"/>
        </w:trPr>
        <w:tc>
          <w:tcPr>
            <w:tcW w:w="6249" w:type="dxa"/>
            <w:shd w:val="clear" w:color="auto" w:fill="auto"/>
            <w:vAlign w:val="center"/>
            <w:hideMark/>
          </w:tcPr>
          <w:p w14:paraId="58FBDED9" w14:textId="77777777" w:rsidR="00730831" w:rsidRPr="00730831" w:rsidRDefault="00730831" w:rsidP="00730831">
            <w:pPr>
              <w:spacing w:after="0"/>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Δαπάνες</w:t>
            </w:r>
          </w:p>
        </w:tc>
        <w:tc>
          <w:tcPr>
            <w:tcW w:w="1528" w:type="dxa"/>
            <w:tcBorders>
              <w:top w:val="nil"/>
              <w:left w:val="nil"/>
              <w:bottom w:val="nil"/>
              <w:right w:val="nil"/>
            </w:tcBorders>
            <w:shd w:val="clear" w:color="auto" w:fill="auto"/>
            <w:vAlign w:val="center"/>
          </w:tcPr>
          <w:p w14:paraId="51A11501" w14:textId="77777777" w:rsidR="00730831" w:rsidRPr="00730831" w:rsidRDefault="00730831" w:rsidP="00730831">
            <w:pPr>
              <w:spacing w:after="0"/>
              <w:jc w:val="right"/>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4.162</w:t>
            </w:r>
          </w:p>
        </w:tc>
        <w:tc>
          <w:tcPr>
            <w:tcW w:w="1475" w:type="dxa"/>
            <w:tcBorders>
              <w:top w:val="nil"/>
              <w:left w:val="nil"/>
              <w:bottom w:val="nil"/>
              <w:right w:val="single" w:sz="4" w:space="0" w:color="808080"/>
            </w:tcBorders>
            <w:shd w:val="clear" w:color="auto" w:fill="auto"/>
            <w:vAlign w:val="center"/>
          </w:tcPr>
          <w:p w14:paraId="2BAFAFF7" w14:textId="77777777" w:rsidR="00730831" w:rsidRPr="00730831" w:rsidRDefault="00730831" w:rsidP="00730831">
            <w:pPr>
              <w:spacing w:after="0"/>
              <w:jc w:val="right"/>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4.471</w:t>
            </w:r>
          </w:p>
        </w:tc>
      </w:tr>
      <w:tr w:rsidR="00730831" w:rsidRPr="00730831" w14:paraId="4562BE96" w14:textId="77777777" w:rsidTr="00730831">
        <w:trPr>
          <w:cantSplit/>
          <w:trHeight w:val="293"/>
          <w:jc w:val="center"/>
        </w:trPr>
        <w:tc>
          <w:tcPr>
            <w:tcW w:w="6249" w:type="dxa"/>
            <w:shd w:val="clear" w:color="auto" w:fill="auto"/>
            <w:vAlign w:val="center"/>
            <w:hideMark/>
          </w:tcPr>
          <w:p w14:paraId="72B8FF29" w14:textId="77777777" w:rsidR="00730831" w:rsidRPr="00730831" w:rsidRDefault="00730831" w:rsidP="00730831">
            <w:pPr>
              <w:spacing w:after="0"/>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Αγορά αγαθών και υπηρεσιών</w:t>
            </w:r>
          </w:p>
        </w:tc>
        <w:tc>
          <w:tcPr>
            <w:tcW w:w="1528" w:type="dxa"/>
            <w:tcBorders>
              <w:top w:val="nil"/>
              <w:left w:val="nil"/>
              <w:bottom w:val="nil"/>
              <w:right w:val="nil"/>
            </w:tcBorders>
            <w:shd w:val="clear" w:color="auto" w:fill="auto"/>
            <w:vAlign w:val="center"/>
          </w:tcPr>
          <w:p w14:paraId="3E21B990"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2.635</w:t>
            </w:r>
          </w:p>
        </w:tc>
        <w:tc>
          <w:tcPr>
            <w:tcW w:w="1475" w:type="dxa"/>
            <w:tcBorders>
              <w:top w:val="nil"/>
              <w:left w:val="nil"/>
              <w:bottom w:val="nil"/>
              <w:right w:val="single" w:sz="4" w:space="0" w:color="808080"/>
            </w:tcBorders>
            <w:shd w:val="clear" w:color="auto" w:fill="auto"/>
            <w:vAlign w:val="center"/>
          </w:tcPr>
          <w:p w14:paraId="2ED891EB"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2.784</w:t>
            </w:r>
          </w:p>
        </w:tc>
      </w:tr>
      <w:tr w:rsidR="00730831" w:rsidRPr="00730831" w14:paraId="13634760" w14:textId="77777777" w:rsidTr="00730831">
        <w:trPr>
          <w:cantSplit/>
          <w:trHeight w:val="293"/>
          <w:jc w:val="center"/>
        </w:trPr>
        <w:tc>
          <w:tcPr>
            <w:tcW w:w="6249" w:type="dxa"/>
            <w:shd w:val="clear" w:color="auto" w:fill="auto"/>
            <w:vAlign w:val="center"/>
            <w:hideMark/>
          </w:tcPr>
          <w:p w14:paraId="78364EA4" w14:textId="77777777" w:rsidR="00730831" w:rsidRPr="00730831" w:rsidRDefault="00730831" w:rsidP="00730831">
            <w:pPr>
              <w:spacing w:after="0"/>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Δαπάνες προσωπικού</w:t>
            </w:r>
          </w:p>
        </w:tc>
        <w:tc>
          <w:tcPr>
            <w:tcW w:w="1528" w:type="dxa"/>
            <w:tcBorders>
              <w:top w:val="nil"/>
              <w:left w:val="nil"/>
              <w:bottom w:val="nil"/>
              <w:right w:val="nil"/>
            </w:tcBorders>
            <w:shd w:val="clear" w:color="auto" w:fill="auto"/>
            <w:vAlign w:val="center"/>
          </w:tcPr>
          <w:p w14:paraId="5673D4B9"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878</w:t>
            </w:r>
          </w:p>
        </w:tc>
        <w:tc>
          <w:tcPr>
            <w:tcW w:w="1475" w:type="dxa"/>
            <w:tcBorders>
              <w:top w:val="nil"/>
              <w:left w:val="nil"/>
              <w:bottom w:val="nil"/>
              <w:right w:val="single" w:sz="4" w:space="0" w:color="808080"/>
            </w:tcBorders>
            <w:shd w:val="clear" w:color="auto" w:fill="auto"/>
            <w:vAlign w:val="center"/>
          </w:tcPr>
          <w:p w14:paraId="34B4B3D2"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898</w:t>
            </w:r>
          </w:p>
        </w:tc>
      </w:tr>
      <w:tr w:rsidR="00730831" w:rsidRPr="00730831" w14:paraId="1704F744" w14:textId="77777777" w:rsidTr="00730831">
        <w:trPr>
          <w:cantSplit/>
          <w:trHeight w:val="293"/>
          <w:jc w:val="center"/>
        </w:trPr>
        <w:tc>
          <w:tcPr>
            <w:tcW w:w="6249" w:type="dxa"/>
            <w:shd w:val="clear" w:color="auto" w:fill="auto"/>
            <w:vAlign w:val="center"/>
            <w:hideMark/>
          </w:tcPr>
          <w:p w14:paraId="62B5D74F" w14:textId="77777777" w:rsidR="00730831" w:rsidRPr="00730831" w:rsidRDefault="00730831" w:rsidP="00730831">
            <w:pPr>
              <w:spacing w:after="0"/>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Δαπάνες για επενδύσεις</w:t>
            </w:r>
          </w:p>
        </w:tc>
        <w:tc>
          <w:tcPr>
            <w:tcW w:w="1528" w:type="dxa"/>
            <w:tcBorders>
              <w:top w:val="nil"/>
              <w:left w:val="nil"/>
              <w:bottom w:val="nil"/>
              <w:right w:val="nil"/>
            </w:tcBorders>
            <w:shd w:val="clear" w:color="auto" w:fill="auto"/>
            <w:vAlign w:val="center"/>
          </w:tcPr>
          <w:p w14:paraId="7511DCB2"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165</w:t>
            </w:r>
          </w:p>
        </w:tc>
        <w:tc>
          <w:tcPr>
            <w:tcW w:w="1475" w:type="dxa"/>
            <w:tcBorders>
              <w:top w:val="nil"/>
              <w:left w:val="nil"/>
              <w:bottom w:val="nil"/>
              <w:right w:val="single" w:sz="4" w:space="0" w:color="808080"/>
            </w:tcBorders>
            <w:shd w:val="clear" w:color="auto" w:fill="auto"/>
            <w:vAlign w:val="center"/>
          </w:tcPr>
          <w:p w14:paraId="494C8130"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299</w:t>
            </w:r>
          </w:p>
        </w:tc>
      </w:tr>
      <w:tr w:rsidR="00730831" w:rsidRPr="00730831" w14:paraId="66D2C376" w14:textId="77777777" w:rsidTr="00730831">
        <w:trPr>
          <w:cantSplit/>
          <w:trHeight w:val="293"/>
          <w:jc w:val="center"/>
        </w:trPr>
        <w:tc>
          <w:tcPr>
            <w:tcW w:w="6249" w:type="dxa"/>
            <w:shd w:val="clear" w:color="auto" w:fill="auto"/>
            <w:vAlign w:val="center"/>
            <w:hideMark/>
          </w:tcPr>
          <w:p w14:paraId="348EA39A" w14:textId="77777777" w:rsidR="00730831" w:rsidRPr="00730831" w:rsidRDefault="00730831" w:rsidP="00730831">
            <w:pPr>
              <w:spacing w:after="0"/>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Απόδοση εισπράξεων τρίτων</w:t>
            </w:r>
          </w:p>
        </w:tc>
        <w:tc>
          <w:tcPr>
            <w:tcW w:w="1528" w:type="dxa"/>
            <w:tcBorders>
              <w:top w:val="nil"/>
              <w:left w:val="nil"/>
              <w:bottom w:val="nil"/>
              <w:right w:val="nil"/>
            </w:tcBorders>
            <w:shd w:val="clear" w:color="auto" w:fill="auto"/>
            <w:vAlign w:val="center"/>
          </w:tcPr>
          <w:p w14:paraId="5F2711C0"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484</w:t>
            </w:r>
          </w:p>
        </w:tc>
        <w:tc>
          <w:tcPr>
            <w:tcW w:w="1475" w:type="dxa"/>
            <w:tcBorders>
              <w:top w:val="nil"/>
              <w:left w:val="nil"/>
              <w:bottom w:val="nil"/>
              <w:right w:val="single" w:sz="4" w:space="0" w:color="808080"/>
            </w:tcBorders>
            <w:shd w:val="clear" w:color="auto" w:fill="auto"/>
            <w:vAlign w:val="center"/>
          </w:tcPr>
          <w:p w14:paraId="78E0E589" w14:textId="77777777" w:rsidR="00730831" w:rsidRPr="00730831" w:rsidRDefault="00730831" w:rsidP="00730831">
            <w:pPr>
              <w:spacing w:after="0"/>
              <w:jc w:val="right"/>
              <w:rPr>
                <w:rFonts w:ascii="Arial" w:eastAsia="Times New Roman" w:hAnsi="Arial" w:cs="Arial"/>
                <w:color w:val="000000"/>
                <w:sz w:val="16"/>
                <w:szCs w:val="16"/>
                <w:lang w:eastAsia="el-GR"/>
              </w:rPr>
            </w:pPr>
            <w:r w:rsidRPr="00730831">
              <w:rPr>
                <w:rFonts w:ascii="Arial" w:eastAsia="Times New Roman" w:hAnsi="Arial" w:cs="Arial"/>
                <w:color w:val="000000"/>
                <w:sz w:val="16"/>
                <w:szCs w:val="16"/>
                <w:lang w:eastAsia="el-GR"/>
              </w:rPr>
              <w:t>490</w:t>
            </w:r>
          </w:p>
        </w:tc>
      </w:tr>
      <w:tr w:rsidR="00730831" w:rsidRPr="00730831" w14:paraId="71AB98D8" w14:textId="77777777" w:rsidTr="00730831">
        <w:trPr>
          <w:cantSplit/>
          <w:trHeight w:val="293"/>
          <w:jc w:val="center"/>
        </w:trPr>
        <w:tc>
          <w:tcPr>
            <w:tcW w:w="6249" w:type="dxa"/>
            <w:tcBorders>
              <w:bottom w:val="single" w:sz="4" w:space="0" w:color="808080"/>
            </w:tcBorders>
            <w:shd w:val="clear" w:color="auto" w:fill="D5DCE4"/>
            <w:vAlign w:val="center"/>
            <w:hideMark/>
          </w:tcPr>
          <w:p w14:paraId="3EA16819" w14:textId="77777777" w:rsidR="00730831" w:rsidRPr="00730831" w:rsidRDefault="00730831" w:rsidP="00730831">
            <w:pPr>
              <w:spacing w:after="0"/>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Ισοζύγιο κατά ESA</w:t>
            </w:r>
          </w:p>
        </w:tc>
        <w:tc>
          <w:tcPr>
            <w:tcW w:w="1528" w:type="dxa"/>
            <w:tcBorders>
              <w:top w:val="nil"/>
              <w:left w:val="nil"/>
              <w:bottom w:val="single" w:sz="4" w:space="0" w:color="808080"/>
              <w:right w:val="nil"/>
            </w:tcBorders>
            <w:shd w:val="clear" w:color="auto" w:fill="D5DCE4"/>
            <w:vAlign w:val="center"/>
          </w:tcPr>
          <w:p w14:paraId="512365F1" w14:textId="77777777" w:rsidR="00730831" w:rsidRPr="00730831" w:rsidRDefault="00730831" w:rsidP="00730831">
            <w:pPr>
              <w:spacing w:after="0"/>
              <w:jc w:val="right"/>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218</w:t>
            </w:r>
          </w:p>
        </w:tc>
        <w:tc>
          <w:tcPr>
            <w:tcW w:w="1475" w:type="dxa"/>
            <w:tcBorders>
              <w:top w:val="nil"/>
              <w:left w:val="nil"/>
              <w:bottom w:val="single" w:sz="4" w:space="0" w:color="808080"/>
              <w:right w:val="single" w:sz="4" w:space="0" w:color="808080"/>
            </w:tcBorders>
            <w:shd w:val="clear" w:color="auto" w:fill="D5DCE4"/>
            <w:vAlign w:val="center"/>
          </w:tcPr>
          <w:p w14:paraId="560AA6BE" w14:textId="77777777" w:rsidR="00730831" w:rsidRPr="00730831" w:rsidRDefault="00730831" w:rsidP="00730831">
            <w:pPr>
              <w:spacing w:after="0"/>
              <w:jc w:val="right"/>
              <w:rPr>
                <w:rFonts w:ascii="Arial" w:eastAsia="Times New Roman" w:hAnsi="Arial" w:cs="Arial"/>
                <w:b/>
                <w:bCs/>
                <w:color w:val="000000"/>
                <w:sz w:val="16"/>
                <w:szCs w:val="16"/>
                <w:lang w:eastAsia="el-GR"/>
              </w:rPr>
            </w:pPr>
            <w:r w:rsidRPr="00730831">
              <w:rPr>
                <w:rFonts w:ascii="Arial" w:eastAsia="Times New Roman" w:hAnsi="Arial" w:cs="Arial"/>
                <w:b/>
                <w:bCs/>
                <w:color w:val="000000"/>
                <w:sz w:val="16"/>
                <w:szCs w:val="16"/>
                <w:lang w:eastAsia="el-GR"/>
              </w:rPr>
              <w:t>273</w:t>
            </w:r>
          </w:p>
        </w:tc>
      </w:tr>
      <w:tr w:rsidR="00730831" w:rsidRPr="00730831" w14:paraId="09CDC12C" w14:textId="77777777" w:rsidTr="00730831">
        <w:trPr>
          <w:cantSplit/>
          <w:trHeight w:val="57"/>
          <w:jc w:val="center"/>
        </w:trPr>
        <w:tc>
          <w:tcPr>
            <w:tcW w:w="9252" w:type="dxa"/>
            <w:gridSpan w:val="3"/>
            <w:tcBorders>
              <w:top w:val="single" w:sz="4" w:space="0" w:color="808080"/>
              <w:left w:val="nil"/>
              <w:bottom w:val="nil"/>
              <w:right w:val="nil"/>
            </w:tcBorders>
            <w:shd w:val="clear" w:color="auto" w:fill="auto"/>
            <w:vAlign w:val="center"/>
          </w:tcPr>
          <w:p w14:paraId="5F137DCB" w14:textId="77777777" w:rsidR="00730831" w:rsidRPr="00730831" w:rsidRDefault="00730831" w:rsidP="00730831">
            <w:pPr>
              <w:tabs>
                <w:tab w:val="left" w:pos="170"/>
              </w:tabs>
              <w:spacing w:before="60" w:after="0" w:line="240" w:lineRule="auto"/>
              <w:jc w:val="both"/>
              <w:rPr>
                <w:rFonts w:ascii="Arial" w:eastAsia="Times New Roman" w:hAnsi="Arial" w:cs="Arial"/>
                <w:bCs/>
                <w:color w:val="000000"/>
                <w:sz w:val="16"/>
                <w:szCs w:val="16"/>
                <w:lang w:eastAsia="el-GR"/>
              </w:rPr>
            </w:pPr>
            <w:r w:rsidRPr="00730831">
              <w:rPr>
                <w:rFonts w:ascii="Arial" w:eastAsia="Times New Roman" w:hAnsi="Arial" w:cs="Arial"/>
                <w:bCs/>
                <w:color w:val="000000"/>
                <w:sz w:val="16"/>
                <w:szCs w:val="16"/>
                <w:lang w:eastAsia="el-GR"/>
              </w:rPr>
              <w:t>*</w:t>
            </w:r>
            <w:r w:rsidRPr="00730831">
              <w:rPr>
                <w:rFonts w:ascii="Arial" w:eastAsia="Times New Roman" w:hAnsi="Arial" w:cs="Arial"/>
                <w:bCs/>
                <w:color w:val="000000"/>
                <w:sz w:val="16"/>
                <w:szCs w:val="16"/>
                <w:lang w:eastAsia="el-GR"/>
              </w:rPr>
              <w:tab/>
              <w:t xml:space="preserve">Στο ισοζύγιο κατά </w:t>
            </w:r>
            <w:r w:rsidRPr="00730831">
              <w:rPr>
                <w:rFonts w:ascii="Arial" w:eastAsia="Times New Roman" w:hAnsi="Arial" w:cs="Arial"/>
                <w:bCs/>
                <w:color w:val="000000"/>
                <w:sz w:val="16"/>
                <w:szCs w:val="16"/>
                <w:lang w:val="en-US" w:eastAsia="el-GR"/>
              </w:rPr>
              <w:t>ESA</w:t>
            </w:r>
            <w:r w:rsidRPr="00730831">
              <w:rPr>
                <w:rFonts w:ascii="Arial" w:eastAsia="Times New Roman" w:hAnsi="Arial" w:cs="Arial"/>
                <w:bCs/>
                <w:color w:val="000000"/>
                <w:sz w:val="16"/>
                <w:szCs w:val="16"/>
                <w:lang w:eastAsia="el-GR"/>
              </w:rPr>
              <w:t xml:space="preserve"> περιλαμβάνεται και το αντίστοιχο ισοζύγιο της ΕΚΑΠΥ.</w:t>
            </w:r>
          </w:p>
        </w:tc>
      </w:tr>
    </w:tbl>
    <w:p w14:paraId="1FFA0441" w14:textId="77777777" w:rsidR="00E71EED" w:rsidRPr="00A21B76" w:rsidRDefault="00E71EED" w:rsidP="00E71EED">
      <w:pPr>
        <w:jc w:val="both"/>
      </w:pPr>
    </w:p>
    <w:p w14:paraId="06A27DDB" w14:textId="22C2FA1A" w:rsidR="00730831" w:rsidRPr="00730831" w:rsidRDefault="00730831" w:rsidP="00730831">
      <w:pPr>
        <w:jc w:val="both"/>
      </w:pPr>
      <w:r w:rsidRPr="003942D6">
        <w:t xml:space="preserve">Το ισοζύγιο </w:t>
      </w:r>
      <w:r>
        <w:t xml:space="preserve">κατά </w:t>
      </w:r>
      <w:r>
        <w:rPr>
          <w:lang w:val="en-US"/>
        </w:rPr>
        <w:t>ESA</w:t>
      </w:r>
      <w:r w:rsidRPr="00BC327F">
        <w:t xml:space="preserve"> </w:t>
      </w:r>
      <w:r w:rsidRPr="003942D6">
        <w:t>των Ο</w:t>
      </w:r>
      <w:r>
        <w:t>ΚΑ</w:t>
      </w:r>
      <w:r w:rsidRPr="003942D6">
        <w:t xml:space="preserve"> (Ασφαλιστικά Ταμεία, ΔΥΠΑ, ΕΟΠΥΥ, ΟΠΕΚΑ και </w:t>
      </w:r>
      <w:r>
        <w:t xml:space="preserve">Ναυτικό Απομαχικό Ταμείο - </w:t>
      </w:r>
      <w:r w:rsidRPr="003942D6">
        <w:t>ΝΑΤ) για το 202</w:t>
      </w:r>
      <w:r>
        <w:t>5</w:t>
      </w:r>
      <w:r w:rsidRPr="003942D6">
        <w:t xml:space="preserve"> προβλέπεται να διαμορφωθεί σε πλεόνασμα ύψους </w:t>
      </w:r>
      <w:r>
        <w:t>999</w:t>
      </w:r>
      <w:r w:rsidRPr="003942D6">
        <w:t xml:space="preserve"> εκατ. ευρώ, </w:t>
      </w:r>
      <w:r>
        <w:t>παρουσιάζοντας μείωση</w:t>
      </w:r>
      <w:r w:rsidRPr="003942D6">
        <w:t xml:space="preserve"> κατά </w:t>
      </w:r>
      <w:r>
        <w:t>161</w:t>
      </w:r>
      <w:r w:rsidRPr="003942D6">
        <w:t xml:space="preserve"> εκατ. ευρώ σε σχέση με το 202</w:t>
      </w:r>
      <w:r>
        <w:t>4</w:t>
      </w:r>
      <w:r w:rsidRPr="00730831">
        <w:t>.</w:t>
      </w:r>
    </w:p>
    <w:p w14:paraId="1891DC92" w14:textId="5AABA9EB" w:rsidR="00730831" w:rsidRDefault="00730831" w:rsidP="00730831">
      <w:pPr>
        <w:jc w:val="both"/>
      </w:pPr>
      <w:r>
        <w:t>Το ισοζύγιο των ασφαλιστικών ταμείων κατά ESA για το 2025 προβλέπεται να παρουσιάσει πλεόνασμα ύψους 647 εκατ. ευρώ, παρουσιάζοντας μείωση κατά 311 εκατ. ευρώ σε σχέση με τις εκτιμήσεις για το οικονομικό έτος 2024.</w:t>
      </w:r>
    </w:p>
    <w:p w14:paraId="4C4B1793" w14:textId="77777777" w:rsidR="00730831" w:rsidRDefault="00730831" w:rsidP="00730831">
      <w:pPr>
        <w:jc w:val="both"/>
      </w:pPr>
      <w:r>
        <w:t>Ειδικότερα, τα έσοδα προβλέπεται να είναι αυξημένα κατά 206 εκατ. ευρώ κυρίως λόγω της αύξησης κατά 1.047 εκατ. ευρώ των εσόδων από ασφαλιστικές εισφορές (συμπεριλαμβανομένων των εσόδων από ρυθμίσεις οφειλών), γεγονός που οφείλεται κατά κύριο λόγο:</w:t>
      </w:r>
    </w:p>
    <w:p w14:paraId="77D44E4C" w14:textId="77777777" w:rsidR="00730831" w:rsidRPr="001B6FC6" w:rsidRDefault="00730831" w:rsidP="00730831">
      <w:pPr>
        <w:numPr>
          <w:ilvl w:val="0"/>
          <w:numId w:val="1"/>
        </w:numPr>
        <w:spacing w:before="120" w:after="60" w:line="300" w:lineRule="auto"/>
        <w:ind w:left="568" w:hanging="284"/>
        <w:jc w:val="both"/>
      </w:pPr>
      <w:r w:rsidRPr="001B6FC6">
        <w:lastRenderedPageBreak/>
        <w:t>στην αύξηση των μισθών και της απασχόλησης ως αποτέλεσμα του ρυθμού ανάπτυξης της οικονομίας,</w:t>
      </w:r>
    </w:p>
    <w:p w14:paraId="26CCA908" w14:textId="77777777" w:rsidR="00730831" w:rsidRPr="001B6FC6" w:rsidRDefault="00730831" w:rsidP="00730831">
      <w:pPr>
        <w:numPr>
          <w:ilvl w:val="0"/>
          <w:numId w:val="1"/>
        </w:numPr>
        <w:spacing w:before="60" w:after="60" w:line="300" w:lineRule="auto"/>
        <w:ind w:left="568" w:hanging="284"/>
        <w:jc w:val="both"/>
      </w:pPr>
      <w:r w:rsidRPr="001B6FC6">
        <w:t>στη νέα αναμενόμενη αύξηση του κατώτατου μισθού στον ιδιωτικό τομέα εντός του 2025 και</w:t>
      </w:r>
    </w:p>
    <w:p w14:paraId="147D4F48" w14:textId="77777777" w:rsidR="00730831" w:rsidRPr="001B6FC6" w:rsidRDefault="00730831" w:rsidP="00730831">
      <w:pPr>
        <w:numPr>
          <w:ilvl w:val="0"/>
          <w:numId w:val="1"/>
        </w:numPr>
        <w:spacing w:before="60" w:after="120" w:line="300" w:lineRule="auto"/>
        <w:ind w:left="568" w:hanging="284"/>
        <w:jc w:val="both"/>
      </w:pPr>
      <w:r w:rsidRPr="001B6FC6">
        <w:t>στην αύξηση του μισθολογίου του δημ</w:t>
      </w:r>
      <w:r>
        <w:t>όσιου</w:t>
      </w:r>
      <w:r w:rsidRPr="001B6FC6">
        <w:t xml:space="preserve"> τομέα από τον Απρίλιο 2025 σε συνέχεια της αναπροσαρμογής του κατώτατου μισθού</w:t>
      </w:r>
      <w:r>
        <w:t>.</w:t>
      </w:r>
    </w:p>
    <w:p w14:paraId="02AA685E" w14:textId="77777777" w:rsidR="00730831" w:rsidRDefault="00730831" w:rsidP="00730831">
      <w:pPr>
        <w:jc w:val="both"/>
      </w:pPr>
      <w:r>
        <w:t>Το σύνολο των δαπανών σε σχέση με το 2024 προβλέπεται να είναι αυξημένο κατά 441 εκατ. ευρώ.</w:t>
      </w:r>
    </w:p>
    <w:p w14:paraId="5E7284BC" w14:textId="77777777" w:rsidR="00730831" w:rsidRDefault="00730831" w:rsidP="00730831">
      <w:pPr>
        <w:jc w:val="both"/>
      </w:pPr>
      <w:r>
        <w:t>Η δαπάνη των κύριων συντάξεων προβλέπεται να είναι αυξημένη κατά 880 εκατ. ευρώ ως αποτέλεσμα:</w:t>
      </w:r>
    </w:p>
    <w:p w14:paraId="6A5B0F0A" w14:textId="77777777" w:rsidR="00730831" w:rsidRPr="001B6FC6" w:rsidRDefault="00730831" w:rsidP="00730831">
      <w:pPr>
        <w:numPr>
          <w:ilvl w:val="0"/>
          <w:numId w:val="1"/>
        </w:numPr>
        <w:spacing w:before="120" w:after="60" w:line="300" w:lineRule="auto"/>
        <w:ind w:left="568" w:hanging="284"/>
        <w:jc w:val="both"/>
      </w:pPr>
      <w:r w:rsidRPr="001B6FC6">
        <w:t>της αναπροσαρμογής των συντάξεων με βάση το</w:t>
      </w:r>
      <w:r>
        <w:t>ν</w:t>
      </w:r>
      <w:r w:rsidRPr="001B6FC6">
        <w:t xml:space="preserve"> συντελεστή που προκύπτει από το</w:t>
      </w:r>
      <w:r>
        <w:t xml:space="preserve">ν μέσο όρο </w:t>
      </w:r>
      <w:r w:rsidRPr="001B6FC6">
        <w:t xml:space="preserve">του ετήσιου ποσοστού μεταβολής του ΑΕΠ και του ποσοστού μεταβολής του μέσου ετήσιου </w:t>
      </w:r>
      <w:r w:rsidRPr="00C62582">
        <w:t>ΓΔΤΚ</w:t>
      </w:r>
      <w:r w:rsidRPr="001B6FC6">
        <w:t xml:space="preserve"> του προηγούμενου έτους</w:t>
      </w:r>
      <w:r>
        <w:t>,</w:t>
      </w:r>
      <w:r w:rsidRPr="001B6FC6">
        <w:t xml:space="preserve"> σύμφωνα με το άρθρο 14 παρ.4 του ν.4387/2016, η οποία προβλέπεται να ανέλθει σε 398 εκατ. ευρώ περίπου και</w:t>
      </w:r>
    </w:p>
    <w:p w14:paraId="425CF54F" w14:textId="77777777" w:rsidR="00730831" w:rsidRPr="001B6FC6" w:rsidRDefault="00730831" w:rsidP="00730831">
      <w:pPr>
        <w:numPr>
          <w:ilvl w:val="0"/>
          <w:numId w:val="1"/>
        </w:numPr>
        <w:spacing w:before="60" w:after="120" w:line="300" w:lineRule="auto"/>
        <w:ind w:left="568" w:hanging="284"/>
        <w:jc w:val="both"/>
      </w:pPr>
      <w:r w:rsidRPr="001B6FC6">
        <w:t>της προβλεπόμενης αύξησης του ρυθμού απονομής νέων συντάξεων, γεγονός που</w:t>
      </w:r>
      <w:r>
        <w:t xml:space="preserve"> </w:t>
      </w:r>
      <w:r w:rsidRPr="001B6FC6">
        <w:t>συμπαρασύρει και τη δαπάνη για τις επικουρικές συντάξεις, η οποία αναμένεται να παρουσιάσει αύξηση κατά 80 εκατ. ευρώ σε σχέση με το 2024.</w:t>
      </w:r>
    </w:p>
    <w:tbl>
      <w:tblPr>
        <w:tblW w:w="9072"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87"/>
        <w:gridCol w:w="1529"/>
        <w:gridCol w:w="1556"/>
      </w:tblGrid>
      <w:tr w:rsidR="004D7B71" w:rsidRPr="004D7B71" w14:paraId="3B429070" w14:textId="77777777" w:rsidTr="004D7B71">
        <w:trPr>
          <w:cantSplit/>
          <w:tblHeader/>
          <w:jc w:val="center"/>
        </w:trPr>
        <w:tc>
          <w:tcPr>
            <w:tcW w:w="9072" w:type="dxa"/>
            <w:gridSpan w:val="3"/>
            <w:tcBorders>
              <w:top w:val="single" w:sz="4" w:space="0" w:color="808080"/>
              <w:bottom w:val="single" w:sz="4" w:space="0" w:color="808080"/>
            </w:tcBorders>
            <w:shd w:val="clear" w:color="000000" w:fill="D5DCE4"/>
            <w:vAlign w:val="center"/>
            <w:hideMark/>
          </w:tcPr>
          <w:p w14:paraId="0032E331" w14:textId="22B6A732" w:rsidR="004D7B71" w:rsidRPr="004D7B71" w:rsidRDefault="004D7B71" w:rsidP="004D7B71">
            <w:pPr>
              <w:spacing w:after="0" w:line="240" w:lineRule="auto"/>
              <w:jc w:val="center"/>
              <w:rPr>
                <w:rFonts w:ascii="Arial" w:eastAsia="Times New Roman" w:hAnsi="Arial" w:cs="Arial"/>
                <w:b/>
                <w:bCs/>
                <w:sz w:val="18"/>
                <w:szCs w:val="18"/>
                <w:lang w:eastAsia="el-GR"/>
              </w:rPr>
            </w:pPr>
            <w:bookmarkStart w:id="10" w:name="_Toc182928051"/>
            <w:r w:rsidRPr="004D7B71">
              <w:rPr>
                <w:rFonts w:ascii="Arial" w:eastAsia="Times New Roman" w:hAnsi="Arial" w:cs="Arial"/>
                <w:b/>
                <w:bCs/>
                <w:sz w:val="18"/>
                <w:szCs w:val="18"/>
                <w:lang w:eastAsia="el-GR"/>
              </w:rPr>
              <w:t xml:space="preserve"> Προϋπολογισμοί Οργανισμών Κοινωνικής Ασφάλισης</w:t>
            </w:r>
            <w:r w:rsidRPr="004D7B71">
              <w:rPr>
                <w:rFonts w:ascii="Arial" w:eastAsia="Times New Roman" w:hAnsi="Arial" w:cs="Arial"/>
                <w:b/>
                <w:bCs/>
                <w:sz w:val="18"/>
                <w:szCs w:val="18"/>
                <w:lang w:eastAsia="el-GR"/>
              </w:rPr>
              <w:br/>
              <w:t>(σε εκατ. ευρώ)</w:t>
            </w:r>
            <w:bookmarkEnd w:id="10"/>
          </w:p>
        </w:tc>
      </w:tr>
      <w:tr w:rsidR="004D7B71" w:rsidRPr="004D7B71" w14:paraId="71F9A77B" w14:textId="77777777" w:rsidTr="004D7B71">
        <w:trPr>
          <w:cantSplit/>
          <w:tblHeader/>
          <w:jc w:val="center"/>
        </w:trPr>
        <w:tc>
          <w:tcPr>
            <w:tcW w:w="5987" w:type="dxa"/>
            <w:vMerge w:val="restart"/>
            <w:tcBorders>
              <w:top w:val="single" w:sz="4" w:space="0" w:color="808080"/>
            </w:tcBorders>
            <w:shd w:val="clear" w:color="auto" w:fill="auto"/>
            <w:hideMark/>
          </w:tcPr>
          <w:p w14:paraId="03ABF707" w14:textId="77777777" w:rsidR="004D7B71" w:rsidRPr="004D7B71" w:rsidRDefault="004D7B71" w:rsidP="004D7B71">
            <w:pPr>
              <w:spacing w:after="0"/>
              <w:jc w:val="center"/>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w:t>
            </w:r>
          </w:p>
        </w:tc>
        <w:tc>
          <w:tcPr>
            <w:tcW w:w="1529" w:type="dxa"/>
            <w:tcBorders>
              <w:top w:val="single" w:sz="4" w:space="0" w:color="808080"/>
            </w:tcBorders>
            <w:shd w:val="clear" w:color="auto" w:fill="auto"/>
            <w:vAlign w:val="center"/>
            <w:hideMark/>
          </w:tcPr>
          <w:p w14:paraId="77307D57" w14:textId="77777777" w:rsidR="004D7B71" w:rsidRPr="004D7B71" w:rsidRDefault="004D7B71" w:rsidP="004D7B71">
            <w:pPr>
              <w:spacing w:after="0"/>
              <w:jc w:val="center"/>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2024</w:t>
            </w:r>
          </w:p>
        </w:tc>
        <w:tc>
          <w:tcPr>
            <w:tcW w:w="1556" w:type="dxa"/>
            <w:tcBorders>
              <w:top w:val="single" w:sz="4" w:space="0" w:color="808080"/>
            </w:tcBorders>
            <w:shd w:val="clear" w:color="auto" w:fill="auto"/>
            <w:vAlign w:val="center"/>
            <w:hideMark/>
          </w:tcPr>
          <w:p w14:paraId="1A455C7B" w14:textId="77777777" w:rsidR="004D7B71" w:rsidRPr="004D7B71" w:rsidRDefault="004D7B71" w:rsidP="004D7B71">
            <w:pPr>
              <w:spacing w:after="0"/>
              <w:jc w:val="center"/>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2025</w:t>
            </w:r>
          </w:p>
        </w:tc>
      </w:tr>
      <w:tr w:rsidR="004D7B71" w:rsidRPr="004D7B71" w14:paraId="074037E5" w14:textId="77777777" w:rsidTr="004D7B71">
        <w:trPr>
          <w:cantSplit/>
          <w:tblHeader/>
          <w:jc w:val="center"/>
        </w:trPr>
        <w:tc>
          <w:tcPr>
            <w:tcW w:w="5987" w:type="dxa"/>
            <w:vMerge/>
            <w:tcBorders>
              <w:bottom w:val="single" w:sz="4" w:space="0" w:color="808080"/>
            </w:tcBorders>
            <w:vAlign w:val="center"/>
            <w:hideMark/>
          </w:tcPr>
          <w:p w14:paraId="119B20DB" w14:textId="77777777" w:rsidR="004D7B71" w:rsidRPr="004D7B71" w:rsidRDefault="004D7B71" w:rsidP="004D7B71">
            <w:pPr>
              <w:spacing w:after="0"/>
              <w:rPr>
                <w:rFonts w:ascii="Arial" w:eastAsia="Times New Roman" w:hAnsi="Arial" w:cs="Arial"/>
                <w:b/>
                <w:bCs/>
                <w:color w:val="000000"/>
                <w:sz w:val="16"/>
                <w:szCs w:val="16"/>
                <w:lang w:eastAsia="el-GR"/>
              </w:rPr>
            </w:pPr>
          </w:p>
        </w:tc>
        <w:tc>
          <w:tcPr>
            <w:tcW w:w="1529" w:type="dxa"/>
            <w:tcBorders>
              <w:bottom w:val="single" w:sz="4" w:space="0" w:color="808080"/>
            </w:tcBorders>
            <w:shd w:val="clear" w:color="auto" w:fill="auto"/>
            <w:vAlign w:val="center"/>
            <w:hideMark/>
          </w:tcPr>
          <w:p w14:paraId="07483F1D" w14:textId="77777777" w:rsidR="004D7B71" w:rsidRPr="004D7B71" w:rsidRDefault="004D7B71" w:rsidP="004D7B71">
            <w:pPr>
              <w:spacing w:after="0"/>
              <w:jc w:val="center"/>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Εκτιμήσεις</w:t>
            </w:r>
          </w:p>
        </w:tc>
        <w:tc>
          <w:tcPr>
            <w:tcW w:w="1556" w:type="dxa"/>
            <w:tcBorders>
              <w:bottom w:val="single" w:sz="4" w:space="0" w:color="808080"/>
            </w:tcBorders>
            <w:shd w:val="clear" w:color="auto" w:fill="auto"/>
            <w:vAlign w:val="center"/>
            <w:hideMark/>
          </w:tcPr>
          <w:p w14:paraId="79A9EEEF" w14:textId="77777777" w:rsidR="004D7B71" w:rsidRPr="004D7B71" w:rsidRDefault="004D7B71" w:rsidP="004D7B71">
            <w:pPr>
              <w:spacing w:after="0"/>
              <w:jc w:val="center"/>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Προβλέψεις</w:t>
            </w:r>
          </w:p>
        </w:tc>
      </w:tr>
      <w:tr w:rsidR="004D7B71" w:rsidRPr="004D7B71" w14:paraId="3D247C14" w14:textId="77777777" w:rsidTr="004D7B71">
        <w:trPr>
          <w:cantSplit/>
          <w:jc w:val="center"/>
        </w:trPr>
        <w:tc>
          <w:tcPr>
            <w:tcW w:w="5987" w:type="dxa"/>
            <w:tcBorders>
              <w:top w:val="single" w:sz="4" w:space="0" w:color="808080"/>
              <w:bottom w:val="nil"/>
            </w:tcBorders>
            <w:shd w:val="clear" w:color="000000" w:fill="D5DCE4"/>
            <w:vAlign w:val="center"/>
            <w:hideMark/>
          </w:tcPr>
          <w:p w14:paraId="45AD036A"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Οργανισμοί Κοινωνικής Ασφάλισης</w:t>
            </w:r>
          </w:p>
        </w:tc>
        <w:tc>
          <w:tcPr>
            <w:tcW w:w="1529" w:type="dxa"/>
            <w:tcBorders>
              <w:top w:val="single" w:sz="4" w:space="0" w:color="808080"/>
              <w:bottom w:val="nil"/>
            </w:tcBorders>
            <w:shd w:val="clear" w:color="000000" w:fill="D5DCE4"/>
            <w:vAlign w:val="center"/>
            <w:hideMark/>
          </w:tcPr>
          <w:p w14:paraId="1968CE54"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w:t>
            </w:r>
          </w:p>
        </w:tc>
        <w:tc>
          <w:tcPr>
            <w:tcW w:w="1556" w:type="dxa"/>
            <w:tcBorders>
              <w:top w:val="single" w:sz="4" w:space="0" w:color="808080"/>
              <w:bottom w:val="nil"/>
            </w:tcBorders>
            <w:shd w:val="clear" w:color="000000" w:fill="D5DCE4"/>
            <w:vAlign w:val="center"/>
            <w:hideMark/>
          </w:tcPr>
          <w:p w14:paraId="64C037AB"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w:t>
            </w:r>
          </w:p>
        </w:tc>
      </w:tr>
      <w:tr w:rsidR="004D7B71" w:rsidRPr="004D7B71" w14:paraId="5596B196" w14:textId="77777777" w:rsidTr="004D7B71">
        <w:trPr>
          <w:cantSplit/>
          <w:jc w:val="center"/>
        </w:trPr>
        <w:tc>
          <w:tcPr>
            <w:tcW w:w="5987" w:type="dxa"/>
            <w:tcBorders>
              <w:top w:val="nil"/>
            </w:tcBorders>
            <w:shd w:val="clear" w:color="000000" w:fill="D5DCE4"/>
            <w:vAlign w:val="center"/>
            <w:hideMark/>
          </w:tcPr>
          <w:p w14:paraId="3BB8E6C1"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α) Ασφαλιστικά Ταμεία</w:t>
            </w:r>
          </w:p>
        </w:tc>
        <w:tc>
          <w:tcPr>
            <w:tcW w:w="1529" w:type="dxa"/>
            <w:tcBorders>
              <w:top w:val="nil"/>
            </w:tcBorders>
            <w:shd w:val="clear" w:color="000000" w:fill="D5DCE4"/>
            <w:vAlign w:val="center"/>
            <w:hideMark/>
          </w:tcPr>
          <w:p w14:paraId="3F794BA3"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 </w:t>
            </w:r>
          </w:p>
        </w:tc>
        <w:tc>
          <w:tcPr>
            <w:tcW w:w="1556" w:type="dxa"/>
            <w:tcBorders>
              <w:top w:val="nil"/>
            </w:tcBorders>
            <w:shd w:val="clear" w:color="000000" w:fill="D5DCE4"/>
            <w:vAlign w:val="center"/>
            <w:hideMark/>
          </w:tcPr>
          <w:p w14:paraId="2B5777AB"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 </w:t>
            </w:r>
          </w:p>
        </w:tc>
      </w:tr>
      <w:tr w:rsidR="004D7B71" w:rsidRPr="004D7B71" w14:paraId="22A729EE" w14:textId="77777777" w:rsidTr="004D7B71">
        <w:trPr>
          <w:cantSplit/>
          <w:jc w:val="center"/>
        </w:trPr>
        <w:tc>
          <w:tcPr>
            <w:tcW w:w="5987" w:type="dxa"/>
            <w:shd w:val="clear" w:color="auto" w:fill="auto"/>
            <w:vAlign w:val="center"/>
            <w:hideMark/>
          </w:tcPr>
          <w:p w14:paraId="1127B8DD"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Έσοδα</w:t>
            </w:r>
          </w:p>
        </w:tc>
        <w:tc>
          <w:tcPr>
            <w:tcW w:w="1529" w:type="dxa"/>
            <w:shd w:val="clear" w:color="auto" w:fill="auto"/>
            <w:vAlign w:val="center"/>
            <w:hideMark/>
          </w:tcPr>
          <w:p w14:paraId="3BEBA2F1"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52.172</w:t>
            </w:r>
          </w:p>
        </w:tc>
        <w:tc>
          <w:tcPr>
            <w:tcW w:w="1556" w:type="dxa"/>
            <w:shd w:val="clear" w:color="auto" w:fill="auto"/>
            <w:vAlign w:val="center"/>
            <w:hideMark/>
          </w:tcPr>
          <w:p w14:paraId="59D6DB47"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52.378</w:t>
            </w:r>
          </w:p>
        </w:tc>
      </w:tr>
      <w:tr w:rsidR="004D7B71" w:rsidRPr="004D7B71" w14:paraId="55B3D53C" w14:textId="77777777" w:rsidTr="004D7B71">
        <w:trPr>
          <w:cantSplit/>
          <w:jc w:val="center"/>
        </w:trPr>
        <w:tc>
          <w:tcPr>
            <w:tcW w:w="5987" w:type="dxa"/>
            <w:shd w:val="clear" w:color="auto" w:fill="auto"/>
            <w:vAlign w:val="center"/>
            <w:hideMark/>
          </w:tcPr>
          <w:p w14:paraId="020061F6"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Ασφαλιστικές εισφορές</w:t>
            </w:r>
          </w:p>
        </w:tc>
        <w:tc>
          <w:tcPr>
            <w:tcW w:w="1529" w:type="dxa"/>
            <w:shd w:val="clear" w:color="auto" w:fill="auto"/>
            <w:vAlign w:val="center"/>
            <w:hideMark/>
          </w:tcPr>
          <w:p w14:paraId="63BACD5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18.112</w:t>
            </w:r>
          </w:p>
        </w:tc>
        <w:tc>
          <w:tcPr>
            <w:tcW w:w="1556" w:type="dxa"/>
            <w:shd w:val="clear" w:color="000000" w:fill="FFFFFF"/>
            <w:vAlign w:val="center"/>
            <w:hideMark/>
          </w:tcPr>
          <w:p w14:paraId="10638A0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19.161</w:t>
            </w:r>
          </w:p>
        </w:tc>
      </w:tr>
      <w:tr w:rsidR="004D7B71" w:rsidRPr="004D7B71" w14:paraId="56DC8769" w14:textId="77777777" w:rsidTr="004D7B71">
        <w:trPr>
          <w:cantSplit/>
          <w:jc w:val="center"/>
        </w:trPr>
        <w:tc>
          <w:tcPr>
            <w:tcW w:w="5987" w:type="dxa"/>
            <w:shd w:val="clear" w:color="auto" w:fill="auto"/>
            <w:vAlign w:val="center"/>
            <w:hideMark/>
          </w:tcPr>
          <w:p w14:paraId="6F0847B2"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Ρύθμιση οφειλών</w:t>
            </w:r>
          </w:p>
        </w:tc>
        <w:tc>
          <w:tcPr>
            <w:tcW w:w="1529" w:type="dxa"/>
            <w:shd w:val="clear" w:color="auto" w:fill="auto"/>
            <w:vAlign w:val="center"/>
            <w:hideMark/>
          </w:tcPr>
          <w:p w14:paraId="2BB35CE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1.403</w:t>
            </w:r>
          </w:p>
        </w:tc>
        <w:tc>
          <w:tcPr>
            <w:tcW w:w="1556" w:type="dxa"/>
            <w:shd w:val="clear" w:color="auto" w:fill="auto"/>
            <w:vAlign w:val="center"/>
            <w:hideMark/>
          </w:tcPr>
          <w:p w14:paraId="1AFF7FF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1.401</w:t>
            </w:r>
          </w:p>
        </w:tc>
      </w:tr>
      <w:tr w:rsidR="004D7B71" w:rsidRPr="004D7B71" w14:paraId="234C284E" w14:textId="77777777" w:rsidTr="004D7B71">
        <w:trPr>
          <w:cantSplit/>
          <w:jc w:val="center"/>
        </w:trPr>
        <w:tc>
          <w:tcPr>
            <w:tcW w:w="5987" w:type="dxa"/>
            <w:shd w:val="clear" w:color="auto" w:fill="auto"/>
            <w:vAlign w:val="center"/>
            <w:hideMark/>
          </w:tcPr>
          <w:p w14:paraId="6543A3D4"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Κοινωνικοί πόροι</w:t>
            </w:r>
          </w:p>
        </w:tc>
        <w:tc>
          <w:tcPr>
            <w:tcW w:w="1529" w:type="dxa"/>
            <w:shd w:val="clear" w:color="auto" w:fill="auto"/>
            <w:vAlign w:val="center"/>
            <w:hideMark/>
          </w:tcPr>
          <w:p w14:paraId="6EF0F04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742</w:t>
            </w:r>
          </w:p>
        </w:tc>
        <w:tc>
          <w:tcPr>
            <w:tcW w:w="1556" w:type="dxa"/>
            <w:shd w:val="clear" w:color="auto" w:fill="auto"/>
            <w:vAlign w:val="center"/>
            <w:hideMark/>
          </w:tcPr>
          <w:p w14:paraId="2C3FB694"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717</w:t>
            </w:r>
          </w:p>
        </w:tc>
      </w:tr>
      <w:tr w:rsidR="004D7B71" w:rsidRPr="004D7B71" w14:paraId="0C1EA887" w14:textId="77777777" w:rsidTr="004D7B71">
        <w:trPr>
          <w:cantSplit/>
          <w:jc w:val="center"/>
        </w:trPr>
        <w:tc>
          <w:tcPr>
            <w:tcW w:w="5987" w:type="dxa"/>
            <w:shd w:val="clear" w:color="auto" w:fill="auto"/>
            <w:vAlign w:val="center"/>
            <w:hideMark/>
          </w:tcPr>
          <w:p w14:paraId="3BB2F853"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από τακτικό προϋπολογισμό</w:t>
            </w:r>
          </w:p>
        </w:tc>
        <w:tc>
          <w:tcPr>
            <w:tcW w:w="1529" w:type="dxa"/>
            <w:shd w:val="clear" w:color="auto" w:fill="auto"/>
            <w:vAlign w:val="center"/>
            <w:hideMark/>
          </w:tcPr>
          <w:p w14:paraId="5BED66A3"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15.613</w:t>
            </w:r>
          </w:p>
        </w:tc>
        <w:tc>
          <w:tcPr>
            <w:tcW w:w="1556" w:type="dxa"/>
            <w:shd w:val="clear" w:color="auto" w:fill="auto"/>
            <w:vAlign w:val="center"/>
            <w:hideMark/>
          </w:tcPr>
          <w:p w14:paraId="3D8756E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15.374</w:t>
            </w:r>
          </w:p>
        </w:tc>
      </w:tr>
      <w:tr w:rsidR="004D7B71" w:rsidRPr="004D7B71" w14:paraId="259C83A1" w14:textId="77777777" w:rsidTr="004D7B71">
        <w:trPr>
          <w:cantSplit/>
          <w:jc w:val="center"/>
        </w:trPr>
        <w:tc>
          <w:tcPr>
            <w:tcW w:w="5987" w:type="dxa"/>
            <w:shd w:val="clear" w:color="auto" w:fill="auto"/>
            <w:vAlign w:val="center"/>
            <w:hideMark/>
          </w:tcPr>
          <w:p w14:paraId="0F340223"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Απόδοση περιουσίας</w:t>
            </w:r>
          </w:p>
        </w:tc>
        <w:tc>
          <w:tcPr>
            <w:tcW w:w="1529" w:type="dxa"/>
            <w:shd w:val="clear" w:color="auto" w:fill="auto"/>
            <w:vAlign w:val="center"/>
            <w:hideMark/>
          </w:tcPr>
          <w:p w14:paraId="5942A9F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1.221</w:t>
            </w:r>
          </w:p>
        </w:tc>
        <w:tc>
          <w:tcPr>
            <w:tcW w:w="1556" w:type="dxa"/>
            <w:shd w:val="clear" w:color="auto" w:fill="auto"/>
            <w:vAlign w:val="center"/>
            <w:hideMark/>
          </w:tcPr>
          <w:p w14:paraId="6D7E695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1.236</w:t>
            </w:r>
          </w:p>
        </w:tc>
      </w:tr>
      <w:tr w:rsidR="004D7B71" w:rsidRPr="004D7B71" w14:paraId="27908011" w14:textId="77777777" w:rsidTr="004D7B71">
        <w:trPr>
          <w:cantSplit/>
          <w:jc w:val="center"/>
        </w:trPr>
        <w:tc>
          <w:tcPr>
            <w:tcW w:w="5987" w:type="dxa"/>
            <w:shd w:val="clear" w:color="auto" w:fill="auto"/>
            <w:vAlign w:val="center"/>
            <w:hideMark/>
          </w:tcPr>
          <w:p w14:paraId="00727A8E"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Εισπράξεις υπέρ Δημοσίου και τρίτων</w:t>
            </w:r>
          </w:p>
        </w:tc>
        <w:tc>
          <w:tcPr>
            <w:tcW w:w="1529" w:type="dxa"/>
            <w:shd w:val="clear" w:color="auto" w:fill="auto"/>
            <w:vAlign w:val="center"/>
            <w:hideMark/>
          </w:tcPr>
          <w:p w14:paraId="42D43C8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14.888</w:t>
            </w:r>
          </w:p>
        </w:tc>
        <w:tc>
          <w:tcPr>
            <w:tcW w:w="1556" w:type="dxa"/>
            <w:shd w:val="clear" w:color="auto" w:fill="auto"/>
            <w:vAlign w:val="center"/>
            <w:hideMark/>
          </w:tcPr>
          <w:p w14:paraId="6321ED1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14.296</w:t>
            </w:r>
          </w:p>
        </w:tc>
      </w:tr>
      <w:tr w:rsidR="004D7B71" w:rsidRPr="004D7B71" w14:paraId="2FB54414" w14:textId="77777777" w:rsidTr="004D7B71">
        <w:trPr>
          <w:cantSplit/>
          <w:jc w:val="center"/>
        </w:trPr>
        <w:tc>
          <w:tcPr>
            <w:tcW w:w="5987" w:type="dxa"/>
            <w:shd w:val="clear" w:color="auto" w:fill="auto"/>
            <w:vAlign w:val="center"/>
            <w:hideMark/>
          </w:tcPr>
          <w:p w14:paraId="6D8DCC50"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Λοιπά έσοδα</w:t>
            </w:r>
          </w:p>
        </w:tc>
        <w:tc>
          <w:tcPr>
            <w:tcW w:w="1529" w:type="dxa"/>
            <w:shd w:val="clear" w:color="auto" w:fill="auto"/>
            <w:vAlign w:val="center"/>
            <w:hideMark/>
          </w:tcPr>
          <w:p w14:paraId="73E4057B"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192</w:t>
            </w:r>
          </w:p>
        </w:tc>
        <w:tc>
          <w:tcPr>
            <w:tcW w:w="1556" w:type="dxa"/>
            <w:shd w:val="clear" w:color="auto" w:fill="auto"/>
            <w:vAlign w:val="center"/>
            <w:hideMark/>
          </w:tcPr>
          <w:p w14:paraId="0DB3399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192</w:t>
            </w:r>
          </w:p>
        </w:tc>
      </w:tr>
      <w:tr w:rsidR="004D7B71" w:rsidRPr="004D7B71" w14:paraId="0395B164" w14:textId="77777777" w:rsidTr="004D7B71">
        <w:trPr>
          <w:cantSplit/>
          <w:jc w:val="center"/>
        </w:trPr>
        <w:tc>
          <w:tcPr>
            <w:tcW w:w="5987" w:type="dxa"/>
            <w:shd w:val="clear" w:color="auto" w:fill="auto"/>
            <w:vAlign w:val="center"/>
            <w:hideMark/>
          </w:tcPr>
          <w:p w14:paraId="58016E28"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Δαπάνες</w:t>
            </w:r>
          </w:p>
        </w:tc>
        <w:tc>
          <w:tcPr>
            <w:tcW w:w="1529" w:type="dxa"/>
            <w:shd w:val="clear" w:color="auto" w:fill="auto"/>
            <w:vAlign w:val="center"/>
            <w:hideMark/>
          </w:tcPr>
          <w:p w14:paraId="49EBEBE4"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51.320</w:t>
            </w:r>
          </w:p>
        </w:tc>
        <w:tc>
          <w:tcPr>
            <w:tcW w:w="1556" w:type="dxa"/>
            <w:shd w:val="clear" w:color="auto" w:fill="auto"/>
            <w:vAlign w:val="center"/>
            <w:hideMark/>
          </w:tcPr>
          <w:p w14:paraId="7AC5713A"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51.761</w:t>
            </w:r>
          </w:p>
        </w:tc>
      </w:tr>
      <w:tr w:rsidR="004D7B71" w:rsidRPr="004D7B71" w14:paraId="581E6CA8" w14:textId="77777777" w:rsidTr="004D7B71">
        <w:trPr>
          <w:cantSplit/>
          <w:jc w:val="center"/>
        </w:trPr>
        <w:tc>
          <w:tcPr>
            <w:tcW w:w="5987" w:type="dxa"/>
            <w:shd w:val="clear" w:color="auto" w:fill="auto"/>
            <w:vAlign w:val="center"/>
            <w:hideMark/>
          </w:tcPr>
          <w:p w14:paraId="20C2EB6C"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Συντάξεις</w:t>
            </w:r>
          </w:p>
        </w:tc>
        <w:tc>
          <w:tcPr>
            <w:tcW w:w="1529" w:type="dxa"/>
            <w:shd w:val="clear" w:color="auto" w:fill="auto"/>
            <w:vAlign w:val="center"/>
            <w:hideMark/>
          </w:tcPr>
          <w:p w14:paraId="70CE5A82"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33.396</w:t>
            </w:r>
          </w:p>
        </w:tc>
        <w:tc>
          <w:tcPr>
            <w:tcW w:w="1556" w:type="dxa"/>
            <w:shd w:val="clear" w:color="auto" w:fill="auto"/>
            <w:vAlign w:val="center"/>
            <w:hideMark/>
          </w:tcPr>
          <w:p w14:paraId="377329FC"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34.357</w:t>
            </w:r>
          </w:p>
        </w:tc>
      </w:tr>
      <w:tr w:rsidR="004D7B71" w:rsidRPr="004D7B71" w14:paraId="1B5E9D84" w14:textId="77777777" w:rsidTr="004D7B71">
        <w:trPr>
          <w:cantSplit/>
          <w:jc w:val="center"/>
        </w:trPr>
        <w:tc>
          <w:tcPr>
            <w:tcW w:w="5987" w:type="dxa"/>
            <w:shd w:val="clear" w:color="auto" w:fill="auto"/>
            <w:vAlign w:val="center"/>
            <w:hideMark/>
          </w:tcPr>
          <w:p w14:paraId="223B4725" w14:textId="77777777" w:rsidR="004D7B71" w:rsidRPr="004D7B71" w:rsidRDefault="004D7B71" w:rsidP="004D7B71">
            <w:pPr>
              <w:tabs>
                <w:tab w:val="left" w:pos="284"/>
              </w:tabs>
              <w:spacing w:after="0"/>
              <w:ind w:firstLineChars="13" w:firstLine="21"/>
              <w:rPr>
                <w:rFonts w:ascii="Arial" w:eastAsia="Times New Roman" w:hAnsi="Arial" w:cs="Arial"/>
                <w:i/>
                <w:iCs/>
                <w:color w:val="000000"/>
                <w:sz w:val="16"/>
                <w:szCs w:val="16"/>
                <w:lang w:eastAsia="el-GR"/>
              </w:rPr>
            </w:pPr>
            <w:r w:rsidRPr="004D7B71">
              <w:rPr>
                <w:rFonts w:ascii="Arial" w:eastAsia="Times New Roman" w:hAnsi="Arial" w:cs="Arial"/>
                <w:i/>
                <w:iCs/>
                <w:color w:val="000000"/>
                <w:sz w:val="16"/>
                <w:szCs w:val="16"/>
                <w:lang w:eastAsia="el-GR"/>
              </w:rPr>
              <w:tab/>
              <w:t>Κύριας ασφάλισης</w:t>
            </w:r>
          </w:p>
        </w:tc>
        <w:tc>
          <w:tcPr>
            <w:tcW w:w="1529" w:type="dxa"/>
            <w:shd w:val="clear" w:color="auto" w:fill="auto"/>
            <w:vAlign w:val="center"/>
            <w:hideMark/>
          </w:tcPr>
          <w:p w14:paraId="57250F50"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29.004</w:t>
            </w:r>
          </w:p>
        </w:tc>
        <w:tc>
          <w:tcPr>
            <w:tcW w:w="1556" w:type="dxa"/>
            <w:shd w:val="clear" w:color="auto" w:fill="auto"/>
            <w:vAlign w:val="center"/>
            <w:hideMark/>
          </w:tcPr>
          <w:p w14:paraId="43C944BB"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29.884</w:t>
            </w:r>
          </w:p>
        </w:tc>
      </w:tr>
      <w:tr w:rsidR="004D7B71" w:rsidRPr="004D7B71" w14:paraId="4F6CFB51" w14:textId="77777777" w:rsidTr="004D7B71">
        <w:trPr>
          <w:cantSplit/>
          <w:jc w:val="center"/>
        </w:trPr>
        <w:tc>
          <w:tcPr>
            <w:tcW w:w="5987" w:type="dxa"/>
            <w:shd w:val="clear" w:color="auto" w:fill="auto"/>
            <w:vAlign w:val="center"/>
            <w:hideMark/>
          </w:tcPr>
          <w:p w14:paraId="17CD93CB" w14:textId="77777777" w:rsidR="004D7B71" w:rsidRPr="004D7B71" w:rsidRDefault="004D7B71" w:rsidP="004D7B71">
            <w:pPr>
              <w:tabs>
                <w:tab w:val="left" w:pos="284"/>
              </w:tabs>
              <w:spacing w:after="0"/>
              <w:ind w:firstLineChars="13" w:firstLine="21"/>
              <w:rPr>
                <w:rFonts w:ascii="Arial" w:eastAsia="Times New Roman" w:hAnsi="Arial" w:cs="Arial"/>
                <w:i/>
                <w:iCs/>
                <w:color w:val="000000"/>
                <w:sz w:val="16"/>
                <w:szCs w:val="16"/>
                <w:lang w:eastAsia="el-GR"/>
              </w:rPr>
            </w:pPr>
            <w:r w:rsidRPr="004D7B71">
              <w:rPr>
                <w:rFonts w:ascii="Arial" w:eastAsia="Times New Roman" w:hAnsi="Arial" w:cs="Arial"/>
                <w:i/>
                <w:iCs/>
                <w:color w:val="000000"/>
                <w:sz w:val="16"/>
                <w:szCs w:val="16"/>
                <w:lang w:eastAsia="el-GR"/>
              </w:rPr>
              <w:tab/>
              <w:t>Επικουρικής ασφάλισης</w:t>
            </w:r>
          </w:p>
        </w:tc>
        <w:tc>
          <w:tcPr>
            <w:tcW w:w="1529" w:type="dxa"/>
            <w:shd w:val="clear" w:color="auto" w:fill="auto"/>
            <w:vAlign w:val="center"/>
            <w:hideMark/>
          </w:tcPr>
          <w:p w14:paraId="44AB871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4.392</w:t>
            </w:r>
          </w:p>
        </w:tc>
        <w:tc>
          <w:tcPr>
            <w:tcW w:w="1556" w:type="dxa"/>
            <w:shd w:val="clear" w:color="auto" w:fill="auto"/>
            <w:vAlign w:val="center"/>
            <w:hideMark/>
          </w:tcPr>
          <w:p w14:paraId="036B88D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4.472</w:t>
            </w:r>
          </w:p>
        </w:tc>
      </w:tr>
      <w:tr w:rsidR="004D7B71" w:rsidRPr="004D7B71" w14:paraId="2A3775AB" w14:textId="77777777" w:rsidTr="004D7B71">
        <w:trPr>
          <w:cantSplit/>
          <w:jc w:val="center"/>
        </w:trPr>
        <w:tc>
          <w:tcPr>
            <w:tcW w:w="5987" w:type="dxa"/>
            <w:shd w:val="clear" w:color="auto" w:fill="auto"/>
            <w:vAlign w:val="center"/>
            <w:hideMark/>
          </w:tcPr>
          <w:p w14:paraId="22F22526"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Λοιπές παροχές ασθένειας</w:t>
            </w:r>
          </w:p>
        </w:tc>
        <w:tc>
          <w:tcPr>
            <w:tcW w:w="1529" w:type="dxa"/>
            <w:shd w:val="clear" w:color="auto" w:fill="auto"/>
            <w:vAlign w:val="center"/>
            <w:hideMark/>
          </w:tcPr>
          <w:p w14:paraId="3E87EAA9"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288</w:t>
            </w:r>
          </w:p>
        </w:tc>
        <w:tc>
          <w:tcPr>
            <w:tcW w:w="1556" w:type="dxa"/>
            <w:shd w:val="clear" w:color="auto" w:fill="auto"/>
            <w:vAlign w:val="center"/>
            <w:hideMark/>
          </w:tcPr>
          <w:p w14:paraId="7F4236A6"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339</w:t>
            </w:r>
          </w:p>
        </w:tc>
      </w:tr>
      <w:tr w:rsidR="004D7B71" w:rsidRPr="004D7B71" w14:paraId="21F1EF7E" w14:textId="77777777" w:rsidTr="004D7B71">
        <w:trPr>
          <w:cantSplit/>
          <w:jc w:val="center"/>
        </w:trPr>
        <w:tc>
          <w:tcPr>
            <w:tcW w:w="5987" w:type="dxa"/>
            <w:shd w:val="clear" w:color="auto" w:fill="auto"/>
            <w:vAlign w:val="center"/>
            <w:hideMark/>
          </w:tcPr>
          <w:p w14:paraId="2CA9E23C" w14:textId="77777777" w:rsidR="004D7B71" w:rsidRPr="004D7B71" w:rsidRDefault="004D7B71" w:rsidP="004D7B71">
            <w:pPr>
              <w:spacing w:after="0"/>
              <w:rPr>
                <w:rFonts w:ascii="Arial" w:eastAsia="Times New Roman" w:hAnsi="Arial" w:cs="Arial"/>
                <w:color w:val="000000"/>
                <w:sz w:val="16"/>
                <w:szCs w:val="16"/>
                <w:lang w:eastAsia="el-GR"/>
              </w:rPr>
            </w:pPr>
            <w:proofErr w:type="spellStart"/>
            <w:r w:rsidRPr="004D7B71">
              <w:rPr>
                <w:rFonts w:ascii="Arial" w:eastAsia="Times New Roman" w:hAnsi="Arial" w:cs="Arial"/>
                <w:color w:val="000000"/>
                <w:sz w:val="16"/>
                <w:szCs w:val="16"/>
                <w:lang w:eastAsia="el-GR"/>
              </w:rPr>
              <w:t>Προνοιακές</w:t>
            </w:r>
            <w:proofErr w:type="spellEnd"/>
            <w:r w:rsidRPr="004D7B71">
              <w:rPr>
                <w:rFonts w:ascii="Arial" w:eastAsia="Times New Roman" w:hAnsi="Arial" w:cs="Arial"/>
                <w:color w:val="000000"/>
                <w:sz w:val="16"/>
                <w:szCs w:val="16"/>
                <w:lang w:eastAsia="el-GR"/>
              </w:rPr>
              <w:t xml:space="preserve"> παροχές</w:t>
            </w:r>
          </w:p>
        </w:tc>
        <w:tc>
          <w:tcPr>
            <w:tcW w:w="1529" w:type="dxa"/>
            <w:shd w:val="clear" w:color="auto" w:fill="auto"/>
            <w:vAlign w:val="center"/>
            <w:hideMark/>
          </w:tcPr>
          <w:p w14:paraId="0C58EBB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1.437</w:t>
            </w:r>
          </w:p>
        </w:tc>
        <w:tc>
          <w:tcPr>
            <w:tcW w:w="1556" w:type="dxa"/>
            <w:shd w:val="clear" w:color="auto" w:fill="auto"/>
            <w:vAlign w:val="center"/>
            <w:hideMark/>
          </w:tcPr>
          <w:p w14:paraId="4A57B61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1.446</w:t>
            </w:r>
          </w:p>
        </w:tc>
      </w:tr>
      <w:tr w:rsidR="004D7B71" w:rsidRPr="004D7B71" w14:paraId="171EC4F7" w14:textId="77777777" w:rsidTr="004D7B71">
        <w:trPr>
          <w:cantSplit/>
          <w:jc w:val="center"/>
        </w:trPr>
        <w:tc>
          <w:tcPr>
            <w:tcW w:w="5987" w:type="dxa"/>
            <w:shd w:val="clear" w:color="auto" w:fill="auto"/>
            <w:vAlign w:val="center"/>
            <w:hideMark/>
          </w:tcPr>
          <w:p w14:paraId="597D8BC4"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Λοιπές μεταβιβάσεις σε τρίτους</w:t>
            </w:r>
          </w:p>
        </w:tc>
        <w:tc>
          <w:tcPr>
            <w:tcW w:w="1529" w:type="dxa"/>
            <w:shd w:val="clear" w:color="auto" w:fill="auto"/>
            <w:vAlign w:val="center"/>
            <w:hideMark/>
          </w:tcPr>
          <w:p w14:paraId="4067B39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726</w:t>
            </w:r>
          </w:p>
        </w:tc>
        <w:tc>
          <w:tcPr>
            <w:tcW w:w="1556" w:type="dxa"/>
            <w:shd w:val="clear" w:color="auto" w:fill="auto"/>
            <w:vAlign w:val="center"/>
            <w:hideMark/>
          </w:tcPr>
          <w:p w14:paraId="6562B74C"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714</w:t>
            </w:r>
          </w:p>
        </w:tc>
      </w:tr>
      <w:tr w:rsidR="004D7B71" w:rsidRPr="004D7B71" w14:paraId="3F6BA848" w14:textId="77777777" w:rsidTr="004D7B71">
        <w:trPr>
          <w:cantSplit/>
          <w:jc w:val="center"/>
        </w:trPr>
        <w:tc>
          <w:tcPr>
            <w:tcW w:w="5987" w:type="dxa"/>
            <w:shd w:val="clear" w:color="auto" w:fill="auto"/>
            <w:vAlign w:val="center"/>
            <w:hideMark/>
          </w:tcPr>
          <w:p w14:paraId="1276EFDB"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Απόδοση εισπράξεων τρίτων</w:t>
            </w:r>
          </w:p>
        </w:tc>
        <w:tc>
          <w:tcPr>
            <w:tcW w:w="1529" w:type="dxa"/>
            <w:shd w:val="clear" w:color="auto" w:fill="auto"/>
            <w:vAlign w:val="center"/>
            <w:hideMark/>
          </w:tcPr>
          <w:p w14:paraId="77DC59E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14.888</w:t>
            </w:r>
          </w:p>
        </w:tc>
        <w:tc>
          <w:tcPr>
            <w:tcW w:w="1556" w:type="dxa"/>
            <w:shd w:val="clear" w:color="auto" w:fill="auto"/>
            <w:vAlign w:val="center"/>
            <w:hideMark/>
          </w:tcPr>
          <w:p w14:paraId="5B71FFB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14.296</w:t>
            </w:r>
          </w:p>
        </w:tc>
      </w:tr>
      <w:tr w:rsidR="004D7B71" w:rsidRPr="004D7B71" w14:paraId="5C338C5A" w14:textId="77777777" w:rsidTr="004D7B71">
        <w:trPr>
          <w:cantSplit/>
          <w:jc w:val="center"/>
        </w:trPr>
        <w:tc>
          <w:tcPr>
            <w:tcW w:w="5987" w:type="dxa"/>
            <w:shd w:val="clear" w:color="auto" w:fill="auto"/>
            <w:vAlign w:val="center"/>
            <w:hideMark/>
          </w:tcPr>
          <w:p w14:paraId="2023B0B8"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Λοιπές δαπάνες</w:t>
            </w:r>
          </w:p>
        </w:tc>
        <w:tc>
          <w:tcPr>
            <w:tcW w:w="1529" w:type="dxa"/>
            <w:shd w:val="clear" w:color="auto" w:fill="auto"/>
            <w:vAlign w:val="center"/>
            <w:hideMark/>
          </w:tcPr>
          <w:p w14:paraId="143F3F2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366</w:t>
            </w:r>
          </w:p>
        </w:tc>
        <w:tc>
          <w:tcPr>
            <w:tcW w:w="1556" w:type="dxa"/>
            <w:shd w:val="clear" w:color="auto" w:fill="auto"/>
            <w:vAlign w:val="center"/>
            <w:hideMark/>
          </w:tcPr>
          <w:p w14:paraId="5966EA33"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390</w:t>
            </w:r>
          </w:p>
        </w:tc>
      </w:tr>
      <w:tr w:rsidR="004D7B71" w:rsidRPr="004D7B71" w14:paraId="4E4C887B" w14:textId="77777777" w:rsidTr="004D7B71">
        <w:trPr>
          <w:cantSplit/>
          <w:jc w:val="center"/>
        </w:trPr>
        <w:tc>
          <w:tcPr>
            <w:tcW w:w="5987" w:type="dxa"/>
            <w:shd w:val="clear" w:color="auto" w:fill="auto"/>
            <w:vAlign w:val="center"/>
            <w:hideMark/>
          </w:tcPr>
          <w:p w14:paraId="409C5321"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Δαπάνες προσωπικού</w:t>
            </w:r>
          </w:p>
        </w:tc>
        <w:tc>
          <w:tcPr>
            <w:tcW w:w="1529" w:type="dxa"/>
            <w:shd w:val="clear" w:color="auto" w:fill="auto"/>
            <w:vAlign w:val="center"/>
            <w:hideMark/>
          </w:tcPr>
          <w:p w14:paraId="482DEB2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219</w:t>
            </w:r>
          </w:p>
        </w:tc>
        <w:tc>
          <w:tcPr>
            <w:tcW w:w="1556" w:type="dxa"/>
            <w:shd w:val="clear" w:color="auto" w:fill="auto"/>
            <w:vAlign w:val="center"/>
            <w:hideMark/>
          </w:tcPr>
          <w:p w14:paraId="24A44DE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219</w:t>
            </w:r>
          </w:p>
        </w:tc>
      </w:tr>
      <w:tr w:rsidR="004D7B71" w:rsidRPr="004D7B71" w14:paraId="1B7B6F32" w14:textId="77777777" w:rsidTr="004D7B71">
        <w:trPr>
          <w:cantSplit/>
          <w:jc w:val="center"/>
        </w:trPr>
        <w:tc>
          <w:tcPr>
            <w:tcW w:w="5987" w:type="dxa"/>
            <w:shd w:val="clear" w:color="000000" w:fill="F2F2F2"/>
            <w:vAlign w:val="center"/>
            <w:hideMark/>
          </w:tcPr>
          <w:p w14:paraId="691CA50E"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Ταμειακό ισοζύγιο</w:t>
            </w:r>
          </w:p>
        </w:tc>
        <w:tc>
          <w:tcPr>
            <w:tcW w:w="1529" w:type="dxa"/>
            <w:shd w:val="clear" w:color="000000" w:fill="F2F2F2"/>
            <w:vAlign w:val="center"/>
            <w:hideMark/>
          </w:tcPr>
          <w:p w14:paraId="0AF50A24"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852</w:t>
            </w:r>
          </w:p>
        </w:tc>
        <w:tc>
          <w:tcPr>
            <w:tcW w:w="1556" w:type="dxa"/>
            <w:shd w:val="clear" w:color="000000" w:fill="F2F2F2"/>
            <w:vAlign w:val="center"/>
            <w:hideMark/>
          </w:tcPr>
          <w:p w14:paraId="7592CACF"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617</w:t>
            </w:r>
          </w:p>
        </w:tc>
      </w:tr>
      <w:tr w:rsidR="004D7B71" w:rsidRPr="004D7B71" w14:paraId="33B1F971" w14:textId="77777777" w:rsidTr="004D7B71">
        <w:trPr>
          <w:cantSplit/>
          <w:jc w:val="center"/>
        </w:trPr>
        <w:tc>
          <w:tcPr>
            <w:tcW w:w="5987" w:type="dxa"/>
            <w:shd w:val="clear" w:color="000000" w:fill="F2F2F2"/>
            <w:vAlign w:val="center"/>
            <w:hideMark/>
          </w:tcPr>
          <w:p w14:paraId="69659EB6" w14:textId="77777777" w:rsidR="004D7B71" w:rsidRPr="004D7B71" w:rsidRDefault="004D7B71" w:rsidP="004D7B71">
            <w:pPr>
              <w:spacing w:after="0"/>
              <w:rPr>
                <w:rFonts w:ascii="Arial" w:eastAsia="Times New Roman" w:hAnsi="Arial" w:cs="Arial"/>
                <w:b/>
                <w:bCs/>
                <w:color w:val="000000"/>
                <w:sz w:val="16"/>
                <w:szCs w:val="16"/>
                <w:lang w:eastAsia="el-GR"/>
              </w:rPr>
            </w:pPr>
            <w:proofErr w:type="spellStart"/>
            <w:r w:rsidRPr="004D7B71">
              <w:rPr>
                <w:rFonts w:ascii="Arial" w:eastAsia="Times New Roman" w:hAnsi="Arial" w:cs="Arial"/>
                <w:b/>
                <w:bCs/>
                <w:color w:val="000000"/>
                <w:sz w:val="16"/>
                <w:szCs w:val="16"/>
                <w:lang w:eastAsia="el-GR"/>
              </w:rPr>
              <w:t>Εθνικολογιστικές</w:t>
            </w:r>
            <w:proofErr w:type="spellEnd"/>
            <w:r w:rsidRPr="004D7B71">
              <w:rPr>
                <w:rFonts w:ascii="Arial" w:eastAsia="Times New Roman" w:hAnsi="Arial" w:cs="Arial"/>
                <w:b/>
                <w:bCs/>
                <w:color w:val="000000"/>
                <w:sz w:val="16"/>
                <w:szCs w:val="16"/>
                <w:lang w:eastAsia="el-GR"/>
              </w:rPr>
              <w:t xml:space="preserve"> προσαρμογές</w:t>
            </w:r>
          </w:p>
        </w:tc>
        <w:tc>
          <w:tcPr>
            <w:tcW w:w="1529" w:type="dxa"/>
            <w:shd w:val="clear" w:color="000000" w:fill="F2F2F2"/>
            <w:vAlign w:val="center"/>
            <w:hideMark/>
          </w:tcPr>
          <w:p w14:paraId="7A86AC3E"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106</w:t>
            </w:r>
          </w:p>
        </w:tc>
        <w:tc>
          <w:tcPr>
            <w:tcW w:w="1556" w:type="dxa"/>
            <w:shd w:val="clear" w:color="000000" w:fill="F2F2F2"/>
            <w:vAlign w:val="center"/>
            <w:hideMark/>
          </w:tcPr>
          <w:p w14:paraId="1B8AB798"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30</w:t>
            </w:r>
          </w:p>
        </w:tc>
      </w:tr>
      <w:tr w:rsidR="004D7B71" w:rsidRPr="004D7B71" w14:paraId="79229377" w14:textId="77777777" w:rsidTr="004D7B71">
        <w:trPr>
          <w:cantSplit/>
          <w:jc w:val="center"/>
        </w:trPr>
        <w:tc>
          <w:tcPr>
            <w:tcW w:w="5987" w:type="dxa"/>
            <w:shd w:val="clear" w:color="000000" w:fill="F2F2F2"/>
            <w:vAlign w:val="center"/>
            <w:hideMark/>
          </w:tcPr>
          <w:p w14:paraId="4DBB38DE"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xml:space="preserve">Ισοζύγιο κατά ESA </w:t>
            </w:r>
          </w:p>
        </w:tc>
        <w:tc>
          <w:tcPr>
            <w:tcW w:w="1529" w:type="dxa"/>
            <w:shd w:val="clear" w:color="000000" w:fill="F2F2F2"/>
            <w:vAlign w:val="center"/>
            <w:hideMark/>
          </w:tcPr>
          <w:p w14:paraId="22818E2B"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958</w:t>
            </w:r>
          </w:p>
        </w:tc>
        <w:tc>
          <w:tcPr>
            <w:tcW w:w="1556" w:type="dxa"/>
            <w:shd w:val="clear" w:color="000000" w:fill="F2F2F2"/>
            <w:vAlign w:val="center"/>
            <w:hideMark/>
          </w:tcPr>
          <w:p w14:paraId="5F37C237"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647</w:t>
            </w:r>
          </w:p>
        </w:tc>
      </w:tr>
      <w:tr w:rsidR="004D7B71" w:rsidRPr="004D7B71" w14:paraId="534B5B43" w14:textId="77777777" w:rsidTr="004D7B71">
        <w:trPr>
          <w:cantSplit/>
          <w:jc w:val="center"/>
        </w:trPr>
        <w:tc>
          <w:tcPr>
            <w:tcW w:w="5987" w:type="dxa"/>
            <w:shd w:val="clear" w:color="000000" w:fill="D5DCE4"/>
            <w:vAlign w:val="center"/>
            <w:hideMark/>
          </w:tcPr>
          <w:p w14:paraId="3E80341E"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β) ΔΥΠΑ</w:t>
            </w:r>
          </w:p>
        </w:tc>
        <w:tc>
          <w:tcPr>
            <w:tcW w:w="1529" w:type="dxa"/>
            <w:shd w:val="clear" w:color="000000" w:fill="D5DCE4"/>
            <w:vAlign w:val="center"/>
            <w:hideMark/>
          </w:tcPr>
          <w:p w14:paraId="575C2E5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 </w:t>
            </w:r>
          </w:p>
        </w:tc>
        <w:tc>
          <w:tcPr>
            <w:tcW w:w="1556" w:type="dxa"/>
            <w:shd w:val="clear" w:color="000000" w:fill="D5DCE4"/>
            <w:vAlign w:val="center"/>
            <w:hideMark/>
          </w:tcPr>
          <w:p w14:paraId="066B092B"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 </w:t>
            </w:r>
          </w:p>
        </w:tc>
      </w:tr>
      <w:tr w:rsidR="004D7B71" w:rsidRPr="004D7B71" w14:paraId="7FCF690B" w14:textId="77777777" w:rsidTr="004D7B71">
        <w:trPr>
          <w:cantSplit/>
          <w:jc w:val="center"/>
        </w:trPr>
        <w:tc>
          <w:tcPr>
            <w:tcW w:w="5987" w:type="dxa"/>
            <w:shd w:val="clear" w:color="auto" w:fill="auto"/>
            <w:vAlign w:val="center"/>
            <w:hideMark/>
          </w:tcPr>
          <w:p w14:paraId="0CF8EC5D"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Έσοδα</w:t>
            </w:r>
          </w:p>
        </w:tc>
        <w:tc>
          <w:tcPr>
            <w:tcW w:w="1529" w:type="dxa"/>
            <w:shd w:val="clear" w:color="auto" w:fill="auto"/>
            <w:vAlign w:val="center"/>
            <w:hideMark/>
          </w:tcPr>
          <w:p w14:paraId="44906927"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3.390</w:t>
            </w:r>
          </w:p>
        </w:tc>
        <w:tc>
          <w:tcPr>
            <w:tcW w:w="1556" w:type="dxa"/>
            <w:shd w:val="clear" w:color="auto" w:fill="auto"/>
            <w:vAlign w:val="center"/>
            <w:hideMark/>
          </w:tcPr>
          <w:p w14:paraId="731ECDF0"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3.614</w:t>
            </w:r>
          </w:p>
        </w:tc>
      </w:tr>
      <w:tr w:rsidR="004D7B71" w:rsidRPr="004D7B71" w14:paraId="75679444" w14:textId="77777777" w:rsidTr="004D7B71">
        <w:trPr>
          <w:cantSplit/>
          <w:jc w:val="center"/>
        </w:trPr>
        <w:tc>
          <w:tcPr>
            <w:tcW w:w="5987" w:type="dxa"/>
            <w:shd w:val="clear" w:color="auto" w:fill="auto"/>
            <w:vAlign w:val="center"/>
            <w:hideMark/>
          </w:tcPr>
          <w:p w14:paraId="52FDCABF"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Ασφαλιστικές εισφορές</w:t>
            </w:r>
          </w:p>
        </w:tc>
        <w:tc>
          <w:tcPr>
            <w:tcW w:w="1529" w:type="dxa"/>
            <w:shd w:val="clear" w:color="auto" w:fill="auto"/>
            <w:vAlign w:val="center"/>
            <w:hideMark/>
          </w:tcPr>
          <w:p w14:paraId="6D57F60C"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1.515</w:t>
            </w:r>
          </w:p>
        </w:tc>
        <w:tc>
          <w:tcPr>
            <w:tcW w:w="1556" w:type="dxa"/>
            <w:shd w:val="clear" w:color="000000" w:fill="FFFFFF"/>
            <w:vAlign w:val="center"/>
            <w:hideMark/>
          </w:tcPr>
          <w:p w14:paraId="6287237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1.454</w:t>
            </w:r>
          </w:p>
        </w:tc>
      </w:tr>
      <w:tr w:rsidR="004D7B71" w:rsidRPr="004D7B71" w14:paraId="543A1C23" w14:textId="77777777" w:rsidTr="004D7B71">
        <w:trPr>
          <w:cantSplit/>
          <w:jc w:val="center"/>
        </w:trPr>
        <w:tc>
          <w:tcPr>
            <w:tcW w:w="5987" w:type="dxa"/>
            <w:shd w:val="clear" w:color="auto" w:fill="auto"/>
            <w:vAlign w:val="center"/>
            <w:hideMark/>
          </w:tcPr>
          <w:p w14:paraId="21AFFC53"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Ρύθμιση οφειλών</w:t>
            </w:r>
          </w:p>
        </w:tc>
        <w:tc>
          <w:tcPr>
            <w:tcW w:w="1529" w:type="dxa"/>
            <w:shd w:val="clear" w:color="auto" w:fill="auto"/>
            <w:vAlign w:val="center"/>
            <w:hideMark/>
          </w:tcPr>
          <w:p w14:paraId="776FCD4C"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105</w:t>
            </w:r>
          </w:p>
        </w:tc>
        <w:tc>
          <w:tcPr>
            <w:tcW w:w="1556" w:type="dxa"/>
            <w:shd w:val="clear" w:color="auto" w:fill="auto"/>
            <w:vAlign w:val="center"/>
            <w:hideMark/>
          </w:tcPr>
          <w:p w14:paraId="1723D1F3"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104</w:t>
            </w:r>
          </w:p>
        </w:tc>
      </w:tr>
      <w:tr w:rsidR="004D7B71" w:rsidRPr="004D7B71" w14:paraId="106DEAE0" w14:textId="77777777" w:rsidTr="004D7B71">
        <w:trPr>
          <w:cantSplit/>
          <w:jc w:val="center"/>
        </w:trPr>
        <w:tc>
          <w:tcPr>
            <w:tcW w:w="5987" w:type="dxa"/>
            <w:shd w:val="clear" w:color="auto" w:fill="auto"/>
            <w:vAlign w:val="center"/>
            <w:hideMark/>
          </w:tcPr>
          <w:p w14:paraId="545641C8"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από τακτικό προϋπολογισμό</w:t>
            </w:r>
          </w:p>
        </w:tc>
        <w:tc>
          <w:tcPr>
            <w:tcW w:w="1529" w:type="dxa"/>
            <w:shd w:val="clear" w:color="auto" w:fill="auto"/>
            <w:vAlign w:val="center"/>
            <w:hideMark/>
          </w:tcPr>
          <w:p w14:paraId="0C26720C"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988</w:t>
            </w:r>
          </w:p>
        </w:tc>
        <w:tc>
          <w:tcPr>
            <w:tcW w:w="1556" w:type="dxa"/>
            <w:shd w:val="clear" w:color="auto" w:fill="auto"/>
            <w:vAlign w:val="center"/>
            <w:hideMark/>
          </w:tcPr>
          <w:p w14:paraId="39F1E86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1.323</w:t>
            </w:r>
          </w:p>
        </w:tc>
      </w:tr>
      <w:tr w:rsidR="004D7B71" w:rsidRPr="004D7B71" w14:paraId="0FE7A0E7" w14:textId="77777777" w:rsidTr="004D7B71">
        <w:trPr>
          <w:cantSplit/>
          <w:jc w:val="center"/>
        </w:trPr>
        <w:tc>
          <w:tcPr>
            <w:tcW w:w="5987" w:type="dxa"/>
            <w:shd w:val="clear" w:color="auto" w:fill="auto"/>
            <w:vAlign w:val="center"/>
            <w:hideMark/>
          </w:tcPr>
          <w:p w14:paraId="63D847F9"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από προϋπολογισμό δημοσίων επενδύσεων</w:t>
            </w:r>
          </w:p>
        </w:tc>
        <w:tc>
          <w:tcPr>
            <w:tcW w:w="1529" w:type="dxa"/>
            <w:shd w:val="clear" w:color="auto" w:fill="auto"/>
            <w:vAlign w:val="center"/>
            <w:hideMark/>
          </w:tcPr>
          <w:p w14:paraId="7B4E08E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479</w:t>
            </w:r>
          </w:p>
        </w:tc>
        <w:tc>
          <w:tcPr>
            <w:tcW w:w="1556" w:type="dxa"/>
            <w:shd w:val="clear" w:color="auto" w:fill="auto"/>
            <w:vAlign w:val="center"/>
            <w:hideMark/>
          </w:tcPr>
          <w:p w14:paraId="7BB9546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422</w:t>
            </w:r>
          </w:p>
        </w:tc>
      </w:tr>
      <w:tr w:rsidR="004D7B71" w:rsidRPr="004D7B71" w14:paraId="08C2B557" w14:textId="77777777" w:rsidTr="004D7B71">
        <w:trPr>
          <w:cantSplit/>
          <w:jc w:val="center"/>
        </w:trPr>
        <w:tc>
          <w:tcPr>
            <w:tcW w:w="5987" w:type="dxa"/>
            <w:shd w:val="clear" w:color="auto" w:fill="auto"/>
            <w:vAlign w:val="center"/>
            <w:hideMark/>
          </w:tcPr>
          <w:p w14:paraId="44147B49"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Απόδοση περιουσίας</w:t>
            </w:r>
          </w:p>
        </w:tc>
        <w:tc>
          <w:tcPr>
            <w:tcW w:w="1529" w:type="dxa"/>
            <w:shd w:val="clear" w:color="auto" w:fill="auto"/>
            <w:vAlign w:val="center"/>
            <w:hideMark/>
          </w:tcPr>
          <w:p w14:paraId="60CA704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84</w:t>
            </w:r>
          </w:p>
        </w:tc>
        <w:tc>
          <w:tcPr>
            <w:tcW w:w="1556" w:type="dxa"/>
            <w:shd w:val="clear" w:color="auto" w:fill="auto"/>
            <w:vAlign w:val="center"/>
            <w:hideMark/>
          </w:tcPr>
          <w:p w14:paraId="5142BFBE"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84</w:t>
            </w:r>
          </w:p>
        </w:tc>
      </w:tr>
      <w:tr w:rsidR="004D7B71" w:rsidRPr="004D7B71" w14:paraId="5230CF9D" w14:textId="77777777" w:rsidTr="004D7B71">
        <w:trPr>
          <w:cantSplit/>
          <w:jc w:val="center"/>
        </w:trPr>
        <w:tc>
          <w:tcPr>
            <w:tcW w:w="5987" w:type="dxa"/>
            <w:shd w:val="clear" w:color="auto" w:fill="auto"/>
            <w:vAlign w:val="center"/>
            <w:hideMark/>
          </w:tcPr>
          <w:p w14:paraId="30B391DD"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lastRenderedPageBreak/>
              <w:t>Εισπράξεις υπέρ Δημοσίου και τρίτων</w:t>
            </w:r>
          </w:p>
        </w:tc>
        <w:tc>
          <w:tcPr>
            <w:tcW w:w="1529" w:type="dxa"/>
            <w:shd w:val="clear" w:color="auto" w:fill="auto"/>
            <w:vAlign w:val="center"/>
            <w:hideMark/>
          </w:tcPr>
          <w:p w14:paraId="73EF9B2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128</w:t>
            </w:r>
          </w:p>
        </w:tc>
        <w:tc>
          <w:tcPr>
            <w:tcW w:w="1556" w:type="dxa"/>
            <w:shd w:val="clear" w:color="auto" w:fill="auto"/>
            <w:vAlign w:val="center"/>
            <w:hideMark/>
          </w:tcPr>
          <w:p w14:paraId="4A203F7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135</w:t>
            </w:r>
          </w:p>
        </w:tc>
      </w:tr>
      <w:tr w:rsidR="004D7B71" w:rsidRPr="004D7B71" w14:paraId="12DD2B33" w14:textId="77777777" w:rsidTr="004D7B71">
        <w:trPr>
          <w:cantSplit/>
          <w:jc w:val="center"/>
        </w:trPr>
        <w:tc>
          <w:tcPr>
            <w:tcW w:w="5987" w:type="dxa"/>
            <w:shd w:val="clear" w:color="auto" w:fill="auto"/>
            <w:vAlign w:val="center"/>
            <w:hideMark/>
          </w:tcPr>
          <w:p w14:paraId="3599AA21"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Λοιπά έσοδα</w:t>
            </w:r>
          </w:p>
        </w:tc>
        <w:tc>
          <w:tcPr>
            <w:tcW w:w="1529" w:type="dxa"/>
            <w:shd w:val="clear" w:color="auto" w:fill="auto"/>
            <w:vAlign w:val="center"/>
            <w:hideMark/>
          </w:tcPr>
          <w:p w14:paraId="632083A3"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91</w:t>
            </w:r>
          </w:p>
        </w:tc>
        <w:tc>
          <w:tcPr>
            <w:tcW w:w="1556" w:type="dxa"/>
            <w:shd w:val="clear" w:color="auto" w:fill="auto"/>
            <w:vAlign w:val="center"/>
            <w:hideMark/>
          </w:tcPr>
          <w:p w14:paraId="7166E146"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91</w:t>
            </w:r>
          </w:p>
        </w:tc>
      </w:tr>
      <w:tr w:rsidR="004D7B71" w:rsidRPr="004D7B71" w14:paraId="0CA75D26" w14:textId="77777777" w:rsidTr="004D7B71">
        <w:trPr>
          <w:cantSplit/>
          <w:jc w:val="center"/>
        </w:trPr>
        <w:tc>
          <w:tcPr>
            <w:tcW w:w="5987" w:type="dxa"/>
            <w:shd w:val="clear" w:color="auto" w:fill="auto"/>
            <w:vAlign w:val="center"/>
            <w:hideMark/>
          </w:tcPr>
          <w:p w14:paraId="49CF053D"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Δαπάνες</w:t>
            </w:r>
          </w:p>
        </w:tc>
        <w:tc>
          <w:tcPr>
            <w:tcW w:w="1529" w:type="dxa"/>
            <w:shd w:val="clear" w:color="auto" w:fill="auto"/>
            <w:vAlign w:val="center"/>
            <w:hideMark/>
          </w:tcPr>
          <w:p w14:paraId="2608DA77"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3.529</w:t>
            </w:r>
          </w:p>
        </w:tc>
        <w:tc>
          <w:tcPr>
            <w:tcW w:w="1556" w:type="dxa"/>
            <w:shd w:val="clear" w:color="auto" w:fill="auto"/>
            <w:vAlign w:val="center"/>
            <w:hideMark/>
          </w:tcPr>
          <w:p w14:paraId="3CB1D0E3"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3.611</w:t>
            </w:r>
          </w:p>
        </w:tc>
      </w:tr>
      <w:tr w:rsidR="004D7B71" w:rsidRPr="004D7B71" w14:paraId="254616E1" w14:textId="77777777" w:rsidTr="004D7B71">
        <w:trPr>
          <w:cantSplit/>
          <w:jc w:val="center"/>
        </w:trPr>
        <w:tc>
          <w:tcPr>
            <w:tcW w:w="5987" w:type="dxa"/>
            <w:shd w:val="clear" w:color="auto" w:fill="auto"/>
            <w:vAlign w:val="center"/>
            <w:hideMark/>
          </w:tcPr>
          <w:p w14:paraId="0BAD35A0"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Επιδόματα ανεργίας</w:t>
            </w:r>
          </w:p>
        </w:tc>
        <w:tc>
          <w:tcPr>
            <w:tcW w:w="1529" w:type="dxa"/>
            <w:shd w:val="clear" w:color="auto" w:fill="auto"/>
            <w:vAlign w:val="center"/>
            <w:hideMark/>
          </w:tcPr>
          <w:p w14:paraId="0EEF052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1.799</w:t>
            </w:r>
          </w:p>
        </w:tc>
        <w:tc>
          <w:tcPr>
            <w:tcW w:w="1556" w:type="dxa"/>
            <w:shd w:val="clear" w:color="auto" w:fill="auto"/>
            <w:vAlign w:val="center"/>
            <w:hideMark/>
          </w:tcPr>
          <w:p w14:paraId="02A594B2"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1.830</w:t>
            </w:r>
          </w:p>
        </w:tc>
      </w:tr>
      <w:tr w:rsidR="004D7B71" w:rsidRPr="004D7B71" w14:paraId="66DE6035" w14:textId="77777777" w:rsidTr="004D7B71">
        <w:trPr>
          <w:cantSplit/>
          <w:jc w:val="center"/>
        </w:trPr>
        <w:tc>
          <w:tcPr>
            <w:tcW w:w="5987" w:type="dxa"/>
            <w:shd w:val="clear" w:color="auto" w:fill="auto"/>
            <w:vAlign w:val="center"/>
            <w:hideMark/>
          </w:tcPr>
          <w:p w14:paraId="0CE881A5"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Προγράμματα απασχόλησης</w:t>
            </w:r>
          </w:p>
        </w:tc>
        <w:tc>
          <w:tcPr>
            <w:tcW w:w="1529" w:type="dxa"/>
            <w:shd w:val="clear" w:color="auto" w:fill="auto"/>
            <w:vAlign w:val="center"/>
            <w:hideMark/>
          </w:tcPr>
          <w:p w14:paraId="4EC2617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606</w:t>
            </w:r>
          </w:p>
        </w:tc>
        <w:tc>
          <w:tcPr>
            <w:tcW w:w="1556" w:type="dxa"/>
            <w:shd w:val="clear" w:color="auto" w:fill="auto"/>
            <w:vAlign w:val="center"/>
            <w:hideMark/>
          </w:tcPr>
          <w:p w14:paraId="122314B7"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715</w:t>
            </w:r>
          </w:p>
        </w:tc>
      </w:tr>
      <w:tr w:rsidR="004D7B71" w:rsidRPr="004D7B71" w14:paraId="3BD44C24" w14:textId="77777777" w:rsidTr="004D7B71">
        <w:trPr>
          <w:cantSplit/>
          <w:jc w:val="center"/>
        </w:trPr>
        <w:tc>
          <w:tcPr>
            <w:tcW w:w="5987" w:type="dxa"/>
            <w:shd w:val="clear" w:color="auto" w:fill="auto"/>
            <w:vAlign w:val="center"/>
            <w:hideMark/>
          </w:tcPr>
          <w:p w14:paraId="7C1DC624"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 xml:space="preserve">Λοιπές </w:t>
            </w:r>
            <w:proofErr w:type="spellStart"/>
            <w:r w:rsidRPr="004D7B71">
              <w:rPr>
                <w:rFonts w:ascii="Arial" w:eastAsia="Times New Roman" w:hAnsi="Arial" w:cs="Arial"/>
                <w:color w:val="000000"/>
                <w:sz w:val="16"/>
                <w:szCs w:val="16"/>
                <w:lang w:eastAsia="el-GR"/>
              </w:rPr>
              <w:t>προνοιακές</w:t>
            </w:r>
            <w:proofErr w:type="spellEnd"/>
            <w:r w:rsidRPr="004D7B71">
              <w:rPr>
                <w:rFonts w:ascii="Arial" w:eastAsia="Times New Roman" w:hAnsi="Arial" w:cs="Arial"/>
                <w:color w:val="000000"/>
                <w:sz w:val="16"/>
                <w:szCs w:val="16"/>
                <w:lang w:eastAsia="el-GR"/>
              </w:rPr>
              <w:t xml:space="preserve"> παροχές</w:t>
            </w:r>
          </w:p>
        </w:tc>
        <w:tc>
          <w:tcPr>
            <w:tcW w:w="1529" w:type="dxa"/>
            <w:shd w:val="clear" w:color="auto" w:fill="auto"/>
            <w:vAlign w:val="center"/>
            <w:hideMark/>
          </w:tcPr>
          <w:p w14:paraId="1D473AB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183</w:t>
            </w:r>
          </w:p>
        </w:tc>
        <w:tc>
          <w:tcPr>
            <w:tcW w:w="1556" w:type="dxa"/>
            <w:shd w:val="clear" w:color="auto" w:fill="auto"/>
            <w:vAlign w:val="center"/>
            <w:hideMark/>
          </w:tcPr>
          <w:p w14:paraId="50A3ED52"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201</w:t>
            </w:r>
          </w:p>
        </w:tc>
      </w:tr>
      <w:tr w:rsidR="004D7B71" w:rsidRPr="004D7B71" w14:paraId="35ACBA86" w14:textId="77777777" w:rsidTr="004D7B71">
        <w:trPr>
          <w:cantSplit/>
          <w:jc w:val="center"/>
        </w:trPr>
        <w:tc>
          <w:tcPr>
            <w:tcW w:w="5987" w:type="dxa"/>
            <w:shd w:val="clear" w:color="auto" w:fill="auto"/>
            <w:vAlign w:val="center"/>
            <w:hideMark/>
          </w:tcPr>
          <w:p w14:paraId="5A79C363"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στο ΙΚΑ</w:t>
            </w:r>
          </w:p>
        </w:tc>
        <w:tc>
          <w:tcPr>
            <w:tcW w:w="1529" w:type="dxa"/>
            <w:shd w:val="clear" w:color="auto" w:fill="auto"/>
            <w:vAlign w:val="center"/>
            <w:hideMark/>
          </w:tcPr>
          <w:p w14:paraId="0C49A3A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451</w:t>
            </w:r>
          </w:p>
        </w:tc>
        <w:tc>
          <w:tcPr>
            <w:tcW w:w="1556" w:type="dxa"/>
            <w:shd w:val="clear" w:color="auto" w:fill="auto"/>
            <w:vAlign w:val="center"/>
            <w:hideMark/>
          </w:tcPr>
          <w:p w14:paraId="00180CB9"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432</w:t>
            </w:r>
          </w:p>
        </w:tc>
      </w:tr>
      <w:tr w:rsidR="004D7B71" w:rsidRPr="004D7B71" w14:paraId="4DD2D5EE" w14:textId="77777777" w:rsidTr="004D7B71">
        <w:trPr>
          <w:cantSplit/>
          <w:jc w:val="center"/>
        </w:trPr>
        <w:tc>
          <w:tcPr>
            <w:tcW w:w="5987" w:type="dxa"/>
            <w:shd w:val="clear" w:color="auto" w:fill="auto"/>
            <w:vAlign w:val="center"/>
            <w:hideMark/>
          </w:tcPr>
          <w:p w14:paraId="3E7C6BB1"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Απόδοση εισπράξεων τρίτων</w:t>
            </w:r>
          </w:p>
        </w:tc>
        <w:tc>
          <w:tcPr>
            <w:tcW w:w="1529" w:type="dxa"/>
            <w:shd w:val="clear" w:color="auto" w:fill="auto"/>
            <w:vAlign w:val="center"/>
            <w:hideMark/>
          </w:tcPr>
          <w:p w14:paraId="463C3194"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128</w:t>
            </w:r>
          </w:p>
        </w:tc>
        <w:tc>
          <w:tcPr>
            <w:tcW w:w="1556" w:type="dxa"/>
            <w:shd w:val="clear" w:color="auto" w:fill="auto"/>
            <w:vAlign w:val="center"/>
            <w:hideMark/>
          </w:tcPr>
          <w:p w14:paraId="0E46D129"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135</w:t>
            </w:r>
          </w:p>
        </w:tc>
      </w:tr>
      <w:tr w:rsidR="004D7B71" w:rsidRPr="004D7B71" w14:paraId="730A96CD" w14:textId="77777777" w:rsidTr="004D7B71">
        <w:trPr>
          <w:cantSplit/>
          <w:jc w:val="center"/>
        </w:trPr>
        <w:tc>
          <w:tcPr>
            <w:tcW w:w="5987" w:type="dxa"/>
            <w:shd w:val="clear" w:color="auto" w:fill="auto"/>
            <w:vAlign w:val="center"/>
            <w:hideMark/>
          </w:tcPr>
          <w:p w14:paraId="2C65E29B"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Δαπάνες προσωπικού</w:t>
            </w:r>
          </w:p>
        </w:tc>
        <w:tc>
          <w:tcPr>
            <w:tcW w:w="1529" w:type="dxa"/>
            <w:shd w:val="clear" w:color="auto" w:fill="auto"/>
            <w:vAlign w:val="center"/>
            <w:hideMark/>
          </w:tcPr>
          <w:p w14:paraId="5BB3114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116</w:t>
            </w:r>
          </w:p>
        </w:tc>
        <w:tc>
          <w:tcPr>
            <w:tcW w:w="1556" w:type="dxa"/>
            <w:shd w:val="clear" w:color="auto" w:fill="auto"/>
            <w:vAlign w:val="center"/>
            <w:hideMark/>
          </w:tcPr>
          <w:p w14:paraId="7FAB8B43"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117</w:t>
            </w:r>
          </w:p>
        </w:tc>
      </w:tr>
      <w:tr w:rsidR="004D7B71" w:rsidRPr="004D7B71" w14:paraId="4BA3B840" w14:textId="77777777" w:rsidTr="004D7B71">
        <w:trPr>
          <w:cantSplit/>
          <w:jc w:val="center"/>
        </w:trPr>
        <w:tc>
          <w:tcPr>
            <w:tcW w:w="5987" w:type="dxa"/>
            <w:shd w:val="clear" w:color="auto" w:fill="auto"/>
            <w:vAlign w:val="center"/>
            <w:hideMark/>
          </w:tcPr>
          <w:p w14:paraId="78483446"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Επενδυτικές δαπάνες</w:t>
            </w:r>
          </w:p>
        </w:tc>
        <w:tc>
          <w:tcPr>
            <w:tcW w:w="1529" w:type="dxa"/>
            <w:shd w:val="clear" w:color="auto" w:fill="auto"/>
            <w:vAlign w:val="center"/>
            <w:hideMark/>
          </w:tcPr>
          <w:p w14:paraId="050A60B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137</w:t>
            </w:r>
          </w:p>
        </w:tc>
        <w:tc>
          <w:tcPr>
            <w:tcW w:w="1556" w:type="dxa"/>
            <w:shd w:val="clear" w:color="auto" w:fill="auto"/>
            <w:vAlign w:val="center"/>
            <w:hideMark/>
          </w:tcPr>
          <w:p w14:paraId="7A2DD726"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69</w:t>
            </w:r>
          </w:p>
        </w:tc>
      </w:tr>
      <w:tr w:rsidR="004D7B71" w:rsidRPr="004D7B71" w14:paraId="745A1286" w14:textId="77777777" w:rsidTr="004D7B71">
        <w:trPr>
          <w:cantSplit/>
          <w:jc w:val="center"/>
        </w:trPr>
        <w:tc>
          <w:tcPr>
            <w:tcW w:w="5987" w:type="dxa"/>
            <w:shd w:val="clear" w:color="auto" w:fill="auto"/>
            <w:vAlign w:val="center"/>
            <w:hideMark/>
          </w:tcPr>
          <w:p w14:paraId="62E05B5F"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Λοιπές δαπάνες</w:t>
            </w:r>
          </w:p>
        </w:tc>
        <w:tc>
          <w:tcPr>
            <w:tcW w:w="1529" w:type="dxa"/>
            <w:shd w:val="clear" w:color="auto" w:fill="auto"/>
            <w:vAlign w:val="center"/>
            <w:hideMark/>
          </w:tcPr>
          <w:p w14:paraId="541E2979"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110</w:t>
            </w:r>
          </w:p>
        </w:tc>
        <w:tc>
          <w:tcPr>
            <w:tcW w:w="1556" w:type="dxa"/>
            <w:shd w:val="clear" w:color="auto" w:fill="auto"/>
            <w:vAlign w:val="center"/>
            <w:hideMark/>
          </w:tcPr>
          <w:p w14:paraId="2429D842"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113</w:t>
            </w:r>
          </w:p>
        </w:tc>
      </w:tr>
      <w:tr w:rsidR="004D7B71" w:rsidRPr="004D7B71" w14:paraId="609B806B" w14:textId="77777777" w:rsidTr="004D7B71">
        <w:trPr>
          <w:cantSplit/>
          <w:jc w:val="center"/>
        </w:trPr>
        <w:tc>
          <w:tcPr>
            <w:tcW w:w="5987" w:type="dxa"/>
            <w:shd w:val="clear" w:color="000000" w:fill="F2F2F2"/>
            <w:vAlign w:val="center"/>
            <w:hideMark/>
          </w:tcPr>
          <w:p w14:paraId="3E858183"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Ταμειακό ισοζύγιο</w:t>
            </w:r>
          </w:p>
        </w:tc>
        <w:tc>
          <w:tcPr>
            <w:tcW w:w="1529" w:type="dxa"/>
            <w:shd w:val="clear" w:color="000000" w:fill="F2F2F2"/>
            <w:vAlign w:val="center"/>
            <w:hideMark/>
          </w:tcPr>
          <w:p w14:paraId="22C6488C"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-139</w:t>
            </w:r>
          </w:p>
        </w:tc>
        <w:tc>
          <w:tcPr>
            <w:tcW w:w="1556" w:type="dxa"/>
            <w:shd w:val="clear" w:color="000000" w:fill="F2F2F2"/>
            <w:vAlign w:val="center"/>
            <w:hideMark/>
          </w:tcPr>
          <w:p w14:paraId="2BD9E10D"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w:t>
            </w:r>
          </w:p>
        </w:tc>
      </w:tr>
      <w:tr w:rsidR="004D7B71" w:rsidRPr="004D7B71" w14:paraId="6501EA3E" w14:textId="77777777" w:rsidTr="004D7B71">
        <w:trPr>
          <w:cantSplit/>
          <w:jc w:val="center"/>
        </w:trPr>
        <w:tc>
          <w:tcPr>
            <w:tcW w:w="5987" w:type="dxa"/>
            <w:shd w:val="clear" w:color="000000" w:fill="F2F2F2"/>
            <w:vAlign w:val="center"/>
            <w:hideMark/>
          </w:tcPr>
          <w:p w14:paraId="489A7AC3" w14:textId="77777777" w:rsidR="004D7B71" w:rsidRPr="004D7B71" w:rsidRDefault="004D7B71" w:rsidP="004D7B71">
            <w:pPr>
              <w:spacing w:after="0"/>
              <w:rPr>
                <w:rFonts w:ascii="Arial" w:eastAsia="Times New Roman" w:hAnsi="Arial" w:cs="Arial"/>
                <w:b/>
                <w:bCs/>
                <w:color w:val="000000"/>
                <w:sz w:val="16"/>
                <w:szCs w:val="16"/>
                <w:lang w:eastAsia="el-GR"/>
              </w:rPr>
            </w:pPr>
            <w:proofErr w:type="spellStart"/>
            <w:r w:rsidRPr="004D7B71">
              <w:rPr>
                <w:rFonts w:ascii="Arial" w:eastAsia="Times New Roman" w:hAnsi="Arial" w:cs="Arial"/>
                <w:b/>
                <w:bCs/>
                <w:color w:val="000000"/>
                <w:sz w:val="16"/>
                <w:szCs w:val="16"/>
                <w:lang w:eastAsia="el-GR"/>
              </w:rPr>
              <w:t>Εθνικολογιστικές</w:t>
            </w:r>
            <w:proofErr w:type="spellEnd"/>
            <w:r w:rsidRPr="004D7B71">
              <w:rPr>
                <w:rFonts w:ascii="Arial" w:eastAsia="Times New Roman" w:hAnsi="Arial" w:cs="Arial"/>
                <w:b/>
                <w:bCs/>
                <w:color w:val="000000"/>
                <w:sz w:val="16"/>
                <w:szCs w:val="16"/>
                <w:lang w:eastAsia="el-GR"/>
              </w:rPr>
              <w:t xml:space="preserve"> προσαρμογές</w:t>
            </w:r>
          </w:p>
        </w:tc>
        <w:tc>
          <w:tcPr>
            <w:tcW w:w="1529" w:type="dxa"/>
            <w:shd w:val="clear" w:color="000000" w:fill="F2F2F2"/>
            <w:vAlign w:val="center"/>
            <w:hideMark/>
          </w:tcPr>
          <w:p w14:paraId="69646846"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0</w:t>
            </w:r>
          </w:p>
        </w:tc>
        <w:tc>
          <w:tcPr>
            <w:tcW w:w="1556" w:type="dxa"/>
            <w:shd w:val="clear" w:color="000000" w:fill="F2F2F2"/>
            <w:vAlign w:val="center"/>
            <w:hideMark/>
          </w:tcPr>
          <w:p w14:paraId="4C0132AD"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0</w:t>
            </w:r>
          </w:p>
        </w:tc>
      </w:tr>
      <w:tr w:rsidR="004D7B71" w:rsidRPr="004D7B71" w14:paraId="12B844A8" w14:textId="77777777" w:rsidTr="004D7B71">
        <w:trPr>
          <w:cantSplit/>
          <w:jc w:val="center"/>
        </w:trPr>
        <w:tc>
          <w:tcPr>
            <w:tcW w:w="5987" w:type="dxa"/>
            <w:shd w:val="clear" w:color="000000" w:fill="F2F2F2"/>
            <w:vAlign w:val="center"/>
            <w:hideMark/>
          </w:tcPr>
          <w:p w14:paraId="15842CBC"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Ισοζύγιο κατά ESA</w:t>
            </w:r>
          </w:p>
        </w:tc>
        <w:tc>
          <w:tcPr>
            <w:tcW w:w="1529" w:type="dxa"/>
            <w:shd w:val="clear" w:color="000000" w:fill="F2F2F2"/>
            <w:vAlign w:val="center"/>
            <w:hideMark/>
          </w:tcPr>
          <w:p w14:paraId="0AB4E478"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-139</w:t>
            </w:r>
          </w:p>
        </w:tc>
        <w:tc>
          <w:tcPr>
            <w:tcW w:w="1556" w:type="dxa"/>
            <w:shd w:val="clear" w:color="000000" w:fill="F2F2F2"/>
            <w:vAlign w:val="center"/>
            <w:hideMark/>
          </w:tcPr>
          <w:p w14:paraId="58AD7D99"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w:t>
            </w:r>
          </w:p>
        </w:tc>
      </w:tr>
      <w:tr w:rsidR="004D7B71" w:rsidRPr="004D7B71" w14:paraId="6552707F" w14:textId="77777777" w:rsidTr="004D7B71">
        <w:trPr>
          <w:cantSplit/>
          <w:jc w:val="center"/>
        </w:trPr>
        <w:tc>
          <w:tcPr>
            <w:tcW w:w="5987" w:type="dxa"/>
            <w:shd w:val="clear" w:color="000000" w:fill="D5DCE4"/>
            <w:vAlign w:val="center"/>
            <w:hideMark/>
          </w:tcPr>
          <w:p w14:paraId="422E8DFD"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xml:space="preserve">γ) ΕΟΠΥΥ </w:t>
            </w:r>
          </w:p>
        </w:tc>
        <w:tc>
          <w:tcPr>
            <w:tcW w:w="1529" w:type="dxa"/>
            <w:shd w:val="clear" w:color="000000" w:fill="D5DCE4"/>
            <w:vAlign w:val="center"/>
            <w:hideMark/>
          </w:tcPr>
          <w:p w14:paraId="0F09FC27"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w:t>
            </w:r>
          </w:p>
        </w:tc>
        <w:tc>
          <w:tcPr>
            <w:tcW w:w="1556" w:type="dxa"/>
            <w:shd w:val="clear" w:color="000000" w:fill="D5DCE4"/>
            <w:vAlign w:val="center"/>
            <w:hideMark/>
          </w:tcPr>
          <w:p w14:paraId="0D1B2476"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w:t>
            </w:r>
          </w:p>
        </w:tc>
      </w:tr>
      <w:tr w:rsidR="004D7B71" w:rsidRPr="004D7B71" w14:paraId="3842B5C3" w14:textId="77777777" w:rsidTr="004D7B71">
        <w:trPr>
          <w:cantSplit/>
          <w:jc w:val="center"/>
        </w:trPr>
        <w:tc>
          <w:tcPr>
            <w:tcW w:w="5987" w:type="dxa"/>
            <w:shd w:val="clear" w:color="auto" w:fill="auto"/>
            <w:vAlign w:val="center"/>
            <w:hideMark/>
          </w:tcPr>
          <w:p w14:paraId="26B2A9BB"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Έσοδα</w:t>
            </w:r>
          </w:p>
        </w:tc>
        <w:tc>
          <w:tcPr>
            <w:tcW w:w="1529" w:type="dxa"/>
            <w:shd w:val="clear" w:color="auto" w:fill="auto"/>
            <w:vAlign w:val="center"/>
            <w:hideMark/>
          </w:tcPr>
          <w:p w14:paraId="2F262C7F"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7.001</w:t>
            </w:r>
          </w:p>
        </w:tc>
        <w:tc>
          <w:tcPr>
            <w:tcW w:w="1556" w:type="dxa"/>
            <w:shd w:val="clear" w:color="auto" w:fill="auto"/>
            <w:vAlign w:val="center"/>
            <w:hideMark/>
          </w:tcPr>
          <w:p w14:paraId="6685DB80"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7.292</w:t>
            </w:r>
          </w:p>
        </w:tc>
      </w:tr>
      <w:tr w:rsidR="004D7B71" w:rsidRPr="004D7B71" w14:paraId="1B0E4D69" w14:textId="77777777" w:rsidTr="004D7B71">
        <w:trPr>
          <w:cantSplit/>
          <w:jc w:val="center"/>
        </w:trPr>
        <w:tc>
          <w:tcPr>
            <w:tcW w:w="5987" w:type="dxa"/>
            <w:shd w:val="clear" w:color="auto" w:fill="auto"/>
            <w:vAlign w:val="center"/>
            <w:hideMark/>
          </w:tcPr>
          <w:p w14:paraId="7243C1C5"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Ασφαλιστικές εισφορές</w:t>
            </w:r>
          </w:p>
        </w:tc>
        <w:tc>
          <w:tcPr>
            <w:tcW w:w="1529" w:type="dxa"/>
            <w:shd w:val="clear" w:color="auto" w:fill="auto"/>
            <w:vAlign w:val="center"/>
            <w:hideMark/>
          </w:tcPr>
          <w:p w14:paraId="2C6D8ACB"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5.486</w:t>
            </w:r>
          </w:p>
        </w:tc>
        <w:tc>
          <w:tcPr>
            <w:tcW w:w="1556" w:type="dxa"/>
            <w:shd w:val="clear" w:color="auto" w:fill="auto"/>
            <w:vAlign w:val="center"/>
            <w:hideMark/>
          </w:tcPr>
          <w:p w14:paraId="01725AB4"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4.933</w:t>
            </w:r>
          </w:p>
        </w:tc>
      </w:tr>
      <w:tr w:rsidR="004D7B71" w:rsidRPr="004D7B71" w14:paraId="30CF8D4B" w14:textId="77777777" w:rsidTr="004D7B71">
        <w:trPr>
          <w:cantSplit/>
          <w:jc w:val="center"/>
        </w:trPr>
        <w:tc>
          <w:tcPr>
            <w:tcW w:w="5987" w:type="dxa"/>
            <w:shd w:val="clear" w:color="auto" w:fill="auto"/>
            <w:vAlign w:val="center"/>
            <w:hideMark/>
          </w:tcPr>
          <w:p w14:paraId="0EBC7A75"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Ρύθμιση οφειλών</w:t>
            </w:r>
          </w:p>
        </w:tc>
        <w:tc>
          <w:tcPr>
            <w:tcW w:w="1529" w:type="dxa"/>
            <w:shd w:val="clear" w:color="auto" w:fill="auto"/>
            <w:vAlign w:val="center"/>
            <w:hideMark/>
          </w:tcPr>
          <w:p w14:paraId="6FB29A27"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320</w:t>
            </w:r>
          </w:p>
        </w:tc>
        <w:tc>
          <w:tcPr>
            <w:tcW w:w="1556" w:type="dxa"/>
            <w:shd w:val="clear" w:color="auto" w:fill="auto"/>
            <w:vAlign w:val="center"/>
            <w:hideMark/>
          </w:tcPr>
          <w:p w14:paraId="31D0C2D7"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320</w:t>
            </w:r>
          </w:p>
        </w:tc>
      </w:tr>
      <w:tr w:rsidR="004D7B71" w:rsidRPr="004D7B71" w14:paraId="19A311EA" w14:textId="77777777" w:rsidTr="004D7B71">
        <w:trPr>
          <w:cantSplit/>
          <w:jc w:val="center"/>
        </w:trPr>
        <w:tc>
          <w:tcPr>
            <w:tcW w:w="5987" w:type="dxa"/>
            <w:shd w:val="clear" w:color="auto" w:fill="auto"/>
            <w:vAlign w:val="center"/>
            <w:hideMark/>
          </w:tcPr>
          <w:p w14:paraId="256C5243"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από φορείς κοινωνικής ασφάλισης</w:t>
            </w:r>
          </w:p>
        </w:tc>
        <w:tc>
          <w:tcPr>
            <w:tcW w:w="1529" w:type="dxa"/>
            <w:shd w:val="clear" w:color="auto" w:fill="auto"/>
            <w:vAlign w:val="center"/>
            <w:hideMark/>
          </w:tcPr>
          <w:p w14:paraId="479C89E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126</w:t>
            </w:r>
          </w:p>
        </w:tc>
        <w:tc>
          <w:tcPr>
            <w:tcW w:w="1556" w:type="dxa"/>
            <w:shd w:val="clear" w:color="auto" w:fill="auto"/>
            <w:vAlign w:val="center"/>
            <w:hideMark/>
          </w:tcPr>
          <w:p w14:paraId="5B63AAF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123</w:t>
            </w:r>
          </w:p>
        </w:tc>
      </w:tr>
      <w:tr w:rsidR="004D7B71" w:rsidRPr="004D7B71" w14:paraId="6A501FFA" w14:textId="77777777" w:rsidTr="004D7B71">
        <w:trPr>
          <w:cantSplit/>
          <w:jc w:val="center"/>
        </w:trPr>
        <w:tc>
          <w:tcPr>
            <w:tcW w:w="5987" w:type="dxa"/>
            <w:shd w:val="clear" w:color="auto" w:fill="auto"/>
            <w:vAlign w:val="center"/>
            <w:hideMark/>
          </w:tcPr>
          <w:p w14:paraId="1FF2F05D"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από τακτικό προϋπολογισμό</w:t>
            </w:r>
          </w:p>
        </w:tc>
        <w:tc>
          <w:tcPr>
            <w:tcW w:w="1529" w:type="dxa"/>
            <w:shd w:val="clear" w:color="auto" w:fill="auto"/>
            <w:vAlign w:val="center"/>
            <w:hideMark/>
          </w:tcPr>
          <w:p w14:paraId="45FBD5A9"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616</w:t>
            </w:r>
          </w:p>
        </w:tc>
        <w:tc>
          <w:tcPr>
            <w:tcW w:w="1556" w:type="dxa"/>
            <w:shd w:val="clear" w:color="auto" w:fill="auto"/>
            <w:vAlign w:val="center"/>
            <w:hideMark/>
          </w:tcPr>
          <w:p w14:paraId="69407ED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1.329</w:t>
            </w:r>
          </w:p>
        </w:tc>
      </w:tr>
      <w:tr w:rsidR="004D7B71" w:rsidRPr="004D7B71" w14:paraId="25781EBC" w14:textId="77777777" w:rsidTr="004D7B71">
        <w:trPr>
          <w:cantSplit/>
          <w:jc w:val="center"/>
        </w:trPr>
        <w:tc>
          <w:tcPr>
            <w:tcW w:w="5987" w:type="dxa"/>
            <w:shd w:val="clear" w:color="auto" w:fill="auto"/>
            <w:vAlign w:val="center"/>
            <w:hideMark/>
          </w:tcPr>
          <w:p w14:paraId="1EE7BA66"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από προϋπολογισμό δημοσίων επενδύσεων</w:t>
            </w:r>
          </w:p>
        </w:tc>
        <w:tc>
          <w:tcPr>
            <w:tcW w:w="1529" w:type="dxa"/>
            <w:shd w:val="clear" w:color="auto" w:fill="auto"/>
            <w:vAlign w:val="center"/>
            <w:hideMark/>
          </w:tcPr>
          <w:p w14:paraId="3AE6A93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57</w:t>
            </w:r>
          </w:p>
        </w:tc>
        <w:tc>
          <w:tcPr>
            <w:tcW w:w="1556" w:type="dxa"/>
            <w:shd w:val="clear" w:color="auto" w:fill="auto"/>
            <w:vAlign w:val="center"/>
            <w:hideMark/>
          </w:tcPr>
          <w:p w14:paraId="3DF61B0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185</w:t>
            </w:r>
          </w:p>
        </w:tc>
      </w:tr>
      <w:tr w:rsidR="004D7B71" w:rsidRPr="004D7B71" w14:paraId="55A8AA83" w14:textId="77777777" w:rsidTr="004D7B71">
        <w:trPr>
          <w:cantSplit/>
          <w:jc w:val="center"/>
        </w:trPr>
        <w:tc>
          <w:tcPr>
            <w:tcW w:w="5987" w:type="dxa"/>
            <w:shd w:val="clear" w:color="auto" w:fill="auto"/>
            <w:vAlign w:val="center"/>
            <w:hideMark/>
          </w:tcPr>
          <w:p w14:paraId="0C3FCC72"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Απόδοση περιουσίας</w:t>
            </w:r>
          </w:p>
        </w:tc>
        <w:tc>
          <w:tcPr>
            <w:tcW w:w="1529" w:type="dxa"/>
            <w:shd w:val="clear" w:color="auto" w:fill="auto"/>
            <w:vAlign w:val="center"/>
            <w:hideMark/>
          </w:tcPr>
          <w:p w14:paraId="0692E31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100</w:t>
            </w:r>
          </w:p>
        </w:tc>
        <w:tc>
          <w:tcPr>
            <w:tcW w:w="1556" w:type="dxa"/>
            <w:shd w:val="clear" w:color="auto" w:fill="auto"/>
            <w:vAlign w:val="center"/>
            <w:hideMark/>
          </w:tcPr>
          <w:p w14:paraId="4C1ED39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100</w:t>
            </w:r>
          </w:p>
        </w:tc>
      </w:tr>
      <w:tr w:rsidR="004D7B71" w:rsidRPr="004D7B71" w14:paraId="3AA69ECE" w14:textId="77777777" w:rsidTr="004D7B71">
        <w:trPr>
          <w:cantSplit/>
          <w:jc w:val="center"/>
        </w:trPr>
        <w:tc>
          <w:tcPr>
            <w:tcW w:w="5987" w:type="dxa"/>
            <w:shd w:val="clear" w:color="auto" w:fill="auto"/>
            <w:vAlign w:val="center"/>
            <w:hideMark/>
          </w:tcPr>
          <w:p w14:paraId="42A24F30"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Εισπράξεις υπέρ Δημοσίου και τρίτων</w:t>
            </w:r>
          </w:p>
        </w:tc>
        <w:tc>
          <w:tcPr>
            <w:tcW w:w="1529" w:type="dxa"/>
            <w:shd w:val="clear" w:color="auto" w:fill="auto"/>
            <w:vAlign w:val="center"/>
            <w:hideMark/>
          </w:tcPr>
          <w:p w14:paraId="67C4B7FB"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281</w:t>
            </w:r>
          </w:p>
        </w:tc>
        <w:tc>
          <w:tcPr>
            <w:tcW w:w="1556" w:type="dxa"/>
            <w:shd w:val="clear" w:color="auto" w:fill="auto"/>
            <w:vAlign w:val="center"/>
            <w:hideMark/>
          </w:tcPr>
          <w:p w14:paraId="00D3065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287</w:t>
            </w:r>
          </w:p>
        </w:tc>
      </w:tr>
      <w:tr w:rsidR="004D7B71" w:rsidRPr="004D7B71" w14:paraId="1CCC897B" w14:textId="77777777" w:rsidTr="004D7B71">
        <w:trPr>
          <w:cantSplit/>
          <w:jc w:val="center"/>
        </w:trPr>
        <w:tc>
          <w:tcPr>
            <w:tcW w:w="5987" w:type="dxa"/>
            <w:shd w:val="clear" w:color="auto" w:fill="auto"/>
            <w:vAlign w:val="center"/>
            <w:hideMark/>
          </w:tcPr>
          <w:p w14:paraId="252719F5"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Λοιπά έσοδα</w:t>
            </w:r>
          </w:p>
        </w:tc>
        <w:tc>
          <w:tcPr>
            <w:tcW w:w="1529" w:type="dxa"/>
            <w:shd w:val="clear" w:color="auto" w:fill="auto"/>
            <w:vAlign w:val="center"/>
            <w:hideMark/>
          </w:tcPr>
          <w:p w14:paraId="681B982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15</w:t>
            </w:r>
          </w:p>
        </w:tc>
        <w:tc>
          <w:tcPr>
            <w:tcW w:w="1556" w:type="dxa"/>
            <w:shd w:val="clear" w:color="auto" w:fill="auto"/>
            <w:vAlign w:val="center"/>
            <w:hideMark/>
          </w:tcPr>
          <w:p w14:paraId="05A818D0"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15</w:t>
            </w:r>
          </w:p>
        </w:tc>
      </w:tr>
      <w:tr w:rsidR="004D7B71" w:rsidRPr="004D7B71" w14:paraId="1AA85E14" w14:textId="77777777" w:rsidTr="004D7B71">
        <w:trPr>
          <w:cantSplit/>
          <w:jc w:val="center"/>
        </w:trPr>
        <w:tc>
          <w:tcPr>
            <w:tcW w:w="5987" w:type="dxa"/>
            <w:shd w:val="clear" w:color="auto" w:fill="auto"/>
            <w:vAlign w:val="center"/>
            <w:hideMark/>
          </w:tcPr>
          <w:p w14:paraId="6DC2E3B6"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Δαπάνες</w:t>
            </w:r>
          </w:p>
        </w:tc>
        <w:tc>
          <w:tcPr>
            <w:tcW w:w="1529" w:type="dxa"/>
            <w:shd w:val="clear" w:color="auto" w:fill="auto"/>
            <w:vAlign w:val="center"/>
            <w:hideMark/>
          </w:tcPr>
          <w:p w14:paraId="68A6A783"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6.825</w:t>
            </w:r>
          </w:p>
        </w:tc>
        <w:tc>
          <w:tcPr>
            <w:tcW w:w="1556" w:type="dxa"/>
            <w:shd w:val="clear" w:color="auto" w:fill="auto"/>
            <w:vAlign w:val="center"/>
            <w:hideMark/>
          </w:tcPr>
          <w:p w14:paraId="5C754A18"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6.962</w:t>
            </w:r>
          </w:p>
        </w:tc>
      </w:tr>
      <w:tr w:rsidR="004D7B71" w:rsidRPr="004D7B71" w14:paraId="28F1B84F" w14:textId="77777777" w:rsidTr="004D7B71">
        <w:trPr>
          <w:cantSplit/>
          <w:jc w:val="center"/>
        </w:trPr>
        <w:tc>
          <w:tcPr>
            <w:tcW w:w="5987" w:type="dxa"/>
            <w:shd w:val="clear" w:color="auto" w:fill="auto"/>
            <w:vAlign w:val="center"/>
            <w:hideMark/>
          </w:tcPr>
          <w:p w14:paraId="482DD332"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Φαρμακευτική δαπάνη</w:t>
            </w:r>
          </w:p>
        </w:tc>
        <w:tc>
          <w:tcPr>
            <w:tcW w:w="1529" w:type="dxa"/>
            <w:shd w:val="clear" w:color="auto" w:fill="auto"/>
            <w:vAlign w:val="center"/>
            <w:hideMark/>
          </w:tcPr>
          <w:p w14:paraId="210C0C4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2.897</w:t>
            </w:r>
          </w:p>
        </w:tc>
        <w:tc>
          <w:tcPr>
            <w:tcW w:w="1556" w:type="dxa"/>
            <w:shd w:val="clear" w:color="auto" w:fill="auto"/>
            <w:vAlign w:val="center"/>
            <w:hideMark/>
          </w:tcPr>
          <w:p w14:paraId="663F6424"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3.007</w:t>
            </w:r>
          </w:p>
        </w:tc>
      </w:tr>
      <w:tr w:rsidR="004D7B71" w:rsidRPr="004D7B71" w14:paraId="060D9AC3" w14:textId="77777777" w:rsidTr="004D7B71">
        <w:trPr>
          <w:cantSplit/>
          <w:jc w:val="center"/>
        </w:trPr>
        <w:tc>
          <w:tcPr>
            <w:tcW w:w="5987" w:type="dxa"/>
            <w:shd w:val="clear" w:color="auto" w:fill="auto"/>
            <w:vAlign w:val="center"/>
            <w:hideMark/>
          </w:tcPr>
          <w:p w14:paraId="5C387282"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Λοιπές παροχές ασθένειας</w:t>
            </w:r>
          </w:p>
        </w:tc>
        <w:tc>
          <w:tcPr>
            <w:tcW w:w="1529" w:type="dxa"/>
            <w:shd w:val="clear" w:color="auto" w:fill="auto"/>
            <w:vAlign w:val="center"/>
            <w:hideMark/>
          </w:tcPr>
          <w:p w14:paraId="7C8DCDD3"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2.429</w:t>
            </w:r>
          </w:p>
        </w:tc>
        <w:tc>
          <w:tcPr>
            <w:tcW w:w="1556" w:type="dxa"/>
            <w:shd w:val="clear" w:color="auto" w:fill="auto"/>
            <w:vAlign w:val="center"/>
            <w:hideMark/>
          </w:tcPr>
          <w:p w14:paraId="671E075E"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2.460</w:t>
            </w:r>
          </w:p>
        </w:tc>
      </w:tr>
      <w:tr w:rsidR="004D7B71" w:rsidRPr="004D7B71" w14:paraId="0E5636B5" w14:textId="77777777" w:rsidTr="004D7B71">
        <w:trPr>
          <w:cantSplit/>
          <w:jc w:val="center"/>
        </w:trPr>
        <w:tc>
          <w:tcPr>
            <w:tcW w:w="5987" w:type="dxa"/>
            <w:shd w:val="clear" w:color="auto" w:fill="auto"/>
            <w:vAlign w:val="center"/>
            <w:hideMark/>
          </w:tcPr>
          <w:p w14:paraId="52F6D6BF"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Απόδοση εισπράξεων τρίτων</w:t>
            </w:r>
          </w:p>
        </w:tc>
        <w:tc>
          <w:tcPr>
            <w:tcW w:w="1529" w:type="dxa"/>
            <w:shd w:val="clear" w:color="auto" w:fill="auto"/>
            <w:vAlign w:val="center"/>
            <w:hideMark/>
          </w:tcPr>
          <w:p w14:paraId="6299482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281</w:t>
            </w:r>
          </w:p>
        </w:tc>
        <w:tc>
          <w:tcPr>
            <w:tcW w:w="1556" w:type="dxa"/>
            <w:shd w:val="clear" w:color="auto" w:fill="auto"/>
            <w:vAlign w:val="center"/>
            <w:hideMark/>
          </w:tcPr>
          <w:p w14:paraId="2D722084"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287</w:t>
            </w:r>
          </w:p>
        </w:tc>
      </w:tr>
      <w:tr w:rsidR="004D7B71" w:rsidRPr="004D7B71" w14:paraId="5B1C2FD1" w14:textId="77777777" w:rsidTr="004D7B71">
        <w:trPr>
          <w:cantSplit/>
          <w:jc w:val="center"/>
        </w:trPr>
        <w:tc>
          <w:tcPr>
            <w:tcW w:w="5987" w:type="dxa"/>
            <w:shd w:val="clear" w:color="auto" w:fill="auto"/>
            <w:vAlign w:val="center"/>
            <w:hideMark/>
          </w:tcPr>
          <w:p w14:paraId="1C7D6D90"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Λοιπές δαπάνες</w:t>
            </w:r>
          </w:p>
        </w:tc>
        <w:tc>
          <w:tcPr>
            <w:tcW w:w="1529" w:type="dxa"/>
            <w:shd w:val="clear" w:color="auto" w:fill="auto"/>
            <w:vAlign w:val="center"/>
            <w:hideMark/>
          </w:tcPr>
          <w:p w14:paraId="12E0DC72"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182</w:t>
            </w:r>
          </w:p>
        </w:tc>
        <w:tc>
          <w:tcPr>
            <w:tcW w:w="1556" w:type="dxa"/>
            <w:shd w:val="clear" w:color="auto" w:fill="auto"/>
            <w:vAlign w:val="center"/>
            <w:hideMark/>
          </w:tcPr>
          <w:p w14:paraId="5775BE8E"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141</w:t>
            </w:r>
          </w:p>
        </w:tc>
      </w:tr>
      <w:tr w:rsidR="004D7B71" w:rsidRPr="004D7B71" w14:paraId="18AB9304" w14:textId="77777777" w:rsidTr="004D7B71">
        <w:trPr>
          <w:cantSplit/>
          <w:jc w:val="center"/>
        </w:trPr>
        <w:tc>
          <w:tcPr>
            <w:tcW w:w="5987" w:type="dxa"/>
            <w:shd w:val="clear" w:color="auto" w:fill="auto"/>
            <w:vAlign w:val="center"/>
            <w:hideMark/>
          </w:tcPr>
          <w:p w14:paraId="636343C8"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Δαπάνες προσωπικού</w:t>
            </w:r>
          </w:p>
        </w:tc>
        <w:tc>
          <w:tcPr>
            <w:tcW w:w="1529" w:type="dxa"/>
            <w:shd w:val="clear" w:color="auto" w:fill="auto"/>
            <w:vAlign w:val="center"/>
            <w:hideMark/>
          </w:tcPr>
          <w:p w14:paraId="722C4E3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45</w:t>
            </w:r>
          </w:p>
        </w:tc>
        <w:tc>
          <w:tcPr>
            <w:tcW w:w="1556" w:type="dxa"/>
            <w:shd w:val="clear" w:color="auto" w:fill="auto"/>
            <w:vAlign w:val="center"/>
            <w:hideMark/>
          </w:tcPr>
          <w:p w14:paraId="28C13F7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47</w:t>
            </w:r>
          </w:p>
        </w:tc>
      </w:tr>
      <w:tr w:rsidR="004D7B71" w:rsidRPr="004D7B71" w14:paraId="0C8D1156" w14:textId="77777777" w:rsidTr="004D7B71">
        <w:trPr>
          <w:cantSplit/>
          <w:jc w:val="center"/>
        </w:trPr>
        <w:tc>
          <w:tcPr>
            <w:tcW w:w="5987" w:type="dxa"/>
            <w:shd w:val="clear" w:color="auto" w:fill="auto"/>
            <w:vAlign w:val="center"/>
            <w:hideMark/>
          </w:tcPr>
          <w:p w14:paraId="0933C671"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προς φορείς Γενικής Κυβέρνησης</w:t>
            </w:r>
          </w:p>
        </w:tc>
        <w:tc>
          <w:tcPr>
            <w:tcW w:w="1529" w:type="dxa"/>
            <w:shd w:val="clear" w:color="auto" w:fill="auto"/>
            <w:vAlign w:val="center"/>
            <w:hideMark/>
          </w:tcPr>
          <w:p w14:paraId="2250833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992</w:t>
            </w:r>
          </w:p>
        </w:tc>
        <w:tc>
          <w:tcPr>
            <w:tcW w:w="1556" w:type="dxa"/>
            <w:shd w:val="clear" w:color="auto" w:fill="auto"/>
            <w:vAlign w:val="center"/>
            <w:hideMark/>
          </w:tcPr>
          <w:p w14:paraId="05C5B3B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1.019</w:t>
            </w:r>
          </w:p>
        </w:tc>
      </w:tr>
      <w:tr w:rsidR="004D7B71" w:rsidRPr="004D7B71" w14:paraId="10D439F0" w14:textId="77777777" w:rsidTr="004D7B71">
        <w:trPr>
          <w:cantSplit/>
          <w:jc w:val="center"/>
        </w:trPr>
        <w:tc>
          <w:tcPr>
            <w:tcW w:w="5987" w:type="dxa"/>
            <w:tcBorders>
              <w:bottom w:val="single" w:sz="4" w:space="0" w:color="808080"/>
            </w:tcBorders>
            <w:shd w:val="clear" w:color="auto" w:fill="auto"/>
            <w:vAlign w:val="center"/>
            <w:hideMark/>
          </w:tcPr>
          <w:p w14:paraId="1ADEC226" w14:textId="77777777" w:rsidR="004D7B71" w:rsidRPr="004D7B71" w:rsidRDefault="004D7B71" w:rsidP="004D7B71">
            <w:pPr>
              <w:tabs>
                <w:tab w:val="left" w:pos="284"/>
              </w:tabs>
              <w:spacing w:after="0"/>
              <w:rPr>
                <w:rFonts w:ascii="Arial" w:eastAsia="Times New Roman" w:hAnsi="Arial" w:cs="Arial"/>
                <w:i/>
                <w:iCs/>
                <w:color w:val="000000"/>
                <w:sz w:val="16"/>
                <w:szCs w:val="16"/>
                <w:lang w:eastAsia="el-GR"/>
              </w:rPr>
            </w:pPr>
            <w:r w:rsidRPr="004D7B71">
              <w:rPr>
                <w:rFonts w:ascii="Arial" w:eastAsia="Times New Roman" w:hAnsi="Arial" w:cs="Arial"/>
                <w:i/>
                <w:iCs/>
                <w:color w:val="000000"/>
                <w:sz w:val="16"/>
                <w:szCs w:val="16"/>
                <w:lang w:eastAsia="el-GR"/>
              </w:rPr>
              <w:tab/>
              <w:t>εκ των οποίων σε νοσοκομεία</w:t>
            </w:r>
          </w:p>
        </w:tc>
        <w:tc>
          <w:tcPr>
            <w:tcW w:w="1529" w:type="dxa"/>
            <w:tcBorders>
              <w:bottom w:val="single" w:sz="4" w:space="0" w:color="808080"/>
            </w:tcBorders>
            <w:shd w:val="clear" w:color="auto" w:fill="auto"/>
            <w:vAlign w:val="center"/>
            <w:hideMark/>
          </w:tcPr>
          <w:p w14:paraId="6ECADE3B"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902</w:t>
            </w:r>
          </w:p>
        </w:tc>
        <w:tc>
          <w:tcPr>
            <w:tcW w:w="1556" w:type="dxa"/>
            <w:tcBorders>
              <w:bottom w:val="single" w:sz="4" w:space="0" w:color="808080"/>
            </w:tcBorders>
            <w:shd w:val="clear" w:color="auto" w:fill="auto"/>
            <w:vAlign w:val="center"/>
            <w:hideMark/>
          </w:tcPr>
          <w:p w14:paraId="77BC60A3"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911</w:t>
            </w:r>
          </w:p>
        </w:tc>
      </w:tr>
      <w:tr w:rsidR="004D7B71" w:rsidRPr="004D7B71" w14:paraId="7F117018" w14:textId="77777777" w:rsidTr="004D7B71">
        <w:trPr>
          <w:cantSplit/>
          <w:jc w:val="center"/>
        </w:trPr>
        <w:tc>
          <w:tcPr>
            <w:tcW w:w="5987" w:type="dxa"/>
            <w:tcBorders>
              <w:top w:val="nil"/>
            </w:tcBorders>
            <w:shd w:val="clear" w:color="000000" w:fill="F2F2F2"/>
            <w:vAlign w:val="center"/>
            <w:hideMark/>
          </w:tcPr>
          <w:p w14:paraId="234118C2"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Ταμειακό ισοζύγιο</w:t>
            </w:r>
          </w:p>
        </w:tc>
        <w:tc>
          <w:tcPr>
            <w:tcW w:w="1529" w:type="dxa"/>
            <w:tcBorders>
              <w:top w:val="nil"/>
            </w:tcBorders>
            <w:shd w:val="clear" w:color="000000" w:fill="F2F2F2"/>
            <w:vAlign w:val="center"/>
            <w:hideMark/>
          </w:tcPr>
          <w:p w14:paraId="135FA285"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176</w:t>
            </w:r>
          </w:p>
        </w:tc>
        <w:tc>
          <w:tcPr>
            <w:tcW w:w="1556" w:type="dxa"/>
            <w:tcBorders>
              <w:top w:val="nil"/>
            </w:tcBorders>
            <w:shd w:val="clear" w:color="000000" w:fill="F2F2F2"/>
            <w:vAlign w:val="center"/>
            <w:hideMark/>
          </w:tcPr>
          <w:p w14:paraId="56EA8C33"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331</w:t>
            </w:r>
          </w:p>
        </w:tc>
      </w:tr>
      <w:tr w:rsidR="004D7B71" w:rsidRPr="004D7B71" w14:paraId="25CEE073" w14:textId="77777777" w:rsidTr="004D7B71">
        <w:trPr>
          <w:cantSplit/>
          <w:jc w:val="center"/>
        </w:trPr>
        <w:tc>
          <w:tcPr>
            <w:tcW w:w="5987" w:type="dxa"/>
            <w:shd w:val="clear" w:color="000000" w:fill="F2F2F2"/>
            <w:vAlign w:val="center"/>
            <w:hideMark/>
          </w:tcPr>
          <w:p w14:paraId="5B063450" w14:textId="77777777" w:rsidR="004D7B71" w:rsidRPr="004D7B71" w:rsidRDefault="004D7B71" w:rsidP="004D7B71">
            <w:pPr>
              <w:spacing w:after="0"/>
              <w:rPr>
                <w:rFonts w:ascii="Arial" w:eastAsia="Times New Roman" w:hAnsi="Arial" w:cs="Arial"/>
                <w:b/>
                <w:bCs/>
                <w:color w:val="000000"/>
                <w:sz w:val="16"/>
                <w:szCs w:val="16"/>
                <w:lang w:eastAsia="el-GR"/>
              </w:rPr>
            </w:pPr>
            <w:proofErr w:type="spellStart"/>
            <w:r w:rsidRPr="004D7B71">
              <w:rPr>
                <w:rFonts w:ascii="Arial" w:eastAsia="Times New Roman" w:hAnsi="Arial" w:cs="Arial"/>
                <w:b/>
                <w:bCs/>
                <w:color w:val="000000"/>
                <w:sz w:val="16"/>
                <w:szCs w:val="16"/>
                <w:lang w:eastAsia="el-GR"/>
              </w:rPr>
              <w:t>Εθνικολογιστικές</w:t>
            </w:r>
            <w:proofErr w:type="spellEnd"/>
            <w:r w:rsidRPr="004D7B71">
              <w:rPr>
                <w:rFonts w:ascii="Arial" w:eastAsia="Times New Roman" w:hAnsi="Arial" w:cs="Arial"/>
                <w:b/>
                <w:bCs/>
                <w:color w:val="000000"/>
                <w:sz w:val="16"/>
                <w:szCs w:val="16"/>
                <w:lang w:eastAsia="el-GR"/>
              </w:rPr>
              <w:t xml:space="preserve"> προσαρμογές</w:t>
            </w:r>
          </w:p>
        </w:tc>
        <w:tc>
          <w:tcPr>
            <w:tcW w:w="1529" w:type="dxa"/>
            <w:shd w:val="clear" w:color="000000" w:fill="F2F2F2"/>
            <w:vAlign w:val="center"/>
            <w:hideMark/>
          </w:tcPr>
          <w:p w14:paraId="1811DAF9"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149</w:t>
            </w:r>
          </w:p>
        </w:tc>
        <w:tc>
          <w:tcPr>
            <w:tcW w:w="1556" w:type="dxa"/>
            <w:shd w:val="clear" w:color="000000" w:fill="F2F2F2"/>
            <w:vAlign w:val="center"/>
            <w:hideMark/>
          </w:tcPr>
          <w:p w14:paraId="000A4A3E"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0</w:t>
            </w:r>
          </w:p>
        </w:tc>
      </w:tr>
      <w:tr w:rsidR="004D7B71" w:rsidRPr="004D7B71" w14:paraId="482D8303" w14:textId="77777777" w:rsidTr="004D7B71">
        <w:trPr>
          <w:cantSplit/>
          <w:jc w:val="center"/>
        </w:trPr>
        <w:tc>
          <w:tcPr>
            <w:tcW w:w="5987" w:type="dxa"/>
            <w:shd w:val="clear" w:color="000000" w:fill="F2F2F2"/>
            <w:vAlign w:val="center"/>
            <w:hideMark/>
          </w:tcPr>
          <w:p w14:paraId="0C8570E7"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Ισοζύγιο κατά ESA</w:t>
            </w:r>
            <w:r w:rsidRPr="004D7B71">
              <w:rPr>
                <w:rFonts w:ascii="Arial" w:eastAsia="Times New Roman" w:hAnsi="Arial" w:cs="Arial"/>
                <w:color w:val="000000"/>
                <w:sz w:val="16"/>
                <w:szCs w:val="16"/>
                <w:vertAlign w:val="superscript"/>
                <w:lang w:eastAsia="el-GR"/>
              </w:rPr>
              <w:t>1</w:t>
            </w:r>
          </w:p>
        </w:tc>
        <w:tc>
          <w:tcPr>
            <w:tcW w:w="1529" w:type="dxa"/>
            <w:shd w:val="clear" w:color="000000" w:fill="F2F2F2"/>
            <w:vAlign w:val="center"/>
            <w:hideMark/>
          </w:tcPr>
          <w:p w14:paraId="7648F5DA"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325</w:t>
            </w:r>
          </w:p>
        </w:tc>
        <w:tc>
          <w:tcPr>
            <w:tcW w:w="1556" w:type="dxa"/>
            <w:shd w:val="clear" w:color="000000" w:fill="F2F2F2"/>
            <w:vAlign w:val="center"/>
            <w:hideMark/>
          </w:tcPr>
          <w:p w14:paraId="680CA547"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331</w:t>
            </w:r>
          </w:p>
        </w:tc>
      </w:tr>
      <w:tr w:rsidR="004D7B71" w:rsidRPr="004D7B71" w14:paraId="3513A353" w14:textId="77777777" w:rsidTr="004D7B71">
        <w:trPr>
          <w:cantSplit/>
          <w:jc w:val="center"/>
        </w:trPr>
        <w:tc>
          <w:tcPr>
            <w:tcW w:w="5987" w:type="dxa"/>
            <w:shd w:val="clear" w:color="000000" w:fill="D5DCE4"/>
            <w:vAlign w:val="center"/>
            <w:hideMark/>
          </w:tcPr>
          <w:p w14:paraId="1507EB5A"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δ) ΟΠΕΚΑ, ΝΑΤ (μη ασφαλιστικές αρμοδιότητες)</w:t>
            </w:r>
          </w:p>
        </w:tc>
        <w:tc>
          <w:tcPr>
            <w:tcW w:w="1529" w:type="dxa"/>
            <w:shd w:val="clear" w:color="000000" w:fill="D5DCE4"/>
            <w:vAlign w:val="center"/>
            <w:hideMark/>
          </w:tcPr>
          <w:p w14:paraId="6BDC8654"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w:t>
            </w:r>
          </w:p>
        </w:tc>
        <w:tc>
          <w:tcPr>
            <w:tcW w:w="1556" w:type="dxa"/>
            <w:shd w:val="clear" w:color="000000" w:fill="D5DCE4"/>
            <w:vAlign w:val="center"/>
            <w:hideMark/>
          </w:tcPr>
          <w:p w14:paraId="061A2BEC"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w:t>
            </w:r>
          </w:p>
        </w:tc>
      </w:tr>
      <w:tr w:rsidR="004D7B71" w:rsidRPr="004D7B71" w14:paraId="1EFC3152" w14:textId="77777777" w:rsidTr="004D7B71">
        <w:trPr>
          <w:cantSplit/>
          <w:jc w:val="center"/>
        </w:trPr>
        <w:tc>
          <w:tcPr>
            <w:tcW w:w="5987" w:type="dxa"/>
            <w:shd w:val="clear" w:color="auto" w:fill="auto"/>
            <w:vAlign w:val="center"/>
            <w:hideMark/>
          </w:tcPr>
          <w:p w14:paraId="4D6D6F88"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Έσοδα</w:t>
            </w:r>
          </w:p>
        </w:tc>
        <w:tc>
          <w:tcPr>
            <w:tcW w:w="1529" w:type="dxa"/>
            <w:shd w:val="clear" w:color="auto" w:fill="auto"/>
            <w:vAlign w:val="center"/>
            <w:hideMark/>
          </w:tcPr>
          <w:p w14:paraId="7A5CA013"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3.749</w:t>
            </w:r>
          </w:p>
        </w:tc>
        <w:tc>
          <w:tcPr>
            <w:tcW w:w="1556" w:type="dxa"/>
            <w:shd w:val="clear" w:color="auto" w:fill="auto"/>
            <w:vAlign w:val="center"/>
            <w:hideMark/>
          </w:tcPr>
          <w:p w14:paraId="4E75F9C7"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3.789</w:t>
            </w:r>
          </w:p>
        </w:tc>
      </w:tr>
      <w:tr w:rsidR="004D7B71" w:rsidRPr="004D7B71" w14:paraId="5A75C128" w14:textId="77777777" w:rsidTr="004D7B71">
        <w:trPr>
          <w:cantSplit/>
          <w:jc w:val="center"/>
        </w:trPr>
        <w:tc>
          <w:tcPr>
            <w:tcW w:w="5987" w:type="dxa"/>
            <w:shd w:val="clear" w:color="auto" w:fill="auto"/>
            <w:vAlign w:val="center"/>
            <w:hideMark/>
          </w:tcPr>
          <w:p w14:paraId="4BFCCB17"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Ασφαλιστικές εισφορές</w:t>
            </w:r>
          </w:p>
        </w:tc>
        <w:tc>
          <w:tcPr>
            <w:tcW w:w="1529" w:type="dxa"/>
            <w:shd w:val="clear" w:color="auto" w:fill="auto"/>
            <w:vAlign w:val="center"/>
            <w:hideMark/>
          </w:tcPr>
          <w:p w14:paraId="3C0802F4"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9</w:t>
            </w:r>
          </w:p>
        </w:tc>
        <w:tc>
          <w:tcPr>
            <w:tcW w:w="1556" w:type="dxa"/>
            <w:shd w:val="clear" w:color="auto" w:fill="auto"/>
            <w:vAlign w:val="center"/>
            <w:hideMark/>
          </w:tcPr>
          <w:p w14:paraId="1A661D10"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9</w:t>
            </w:r>
          </w:p>
        </w:tc>
      </w:tr>
      <w:tr w:rsidR="004D7B71" w:rsidRPr="004D7B71" w14:paraId="57C70F02" w14:textId="77777777" w:rsidTr="004D7B71">
        <w:trPr>
          <w:cantSplit/>
          <w:jc w:val="center"/>
        </w:trPr>
        <w:tc>
          <w:tcPr>
            <w:tcW w:w="5987" w:type="dxa"/>
            <w:shd w:val="clear" w:color="auto" w:fill="auto"/>
            <w:vAlign w:val="center"/>
            <w:hideMark/>
          </w:tcPr>
          <w:p w14:paraId="72800D45"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Απόδοση περιουσίας</w:t>
            </w:r>
          </w:p>
        </w:tc>
        <w:tc>
          <w:tcPr>
            <w:tcW w:w="1529" w:type="dxa"/>
            <w:shd w:val="clear" w:color="auto" w:fill="auto"/>
            <w:vAlign w:val="center"/>
            <w:hideMark/>
          </w:tcPr>
          <w:p w14:paraId="358A05EE"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19</w:t>
            </w:r>
          </w:p>
        </w:tc>
        <w:tc>
          <w:tcPr>
            <w:tcW w:w="1556" w:type="dxa"/>
            <w:shd w:val="clear" w:color="auto" w:fill="auto"/>
            <w:vAlign w:val="center"/>
            <w:hideMark/>
          </w:tcPr>
          <w:p w14:paraId="0B124AA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19</w:t>
            </w:r>
          </w:p>
        </w:tc>
      </w:tr>
      <w:tr w:rsidR="004D7B71" w:rsidRPr="004D7B71" w14:paraId="72965CA6" w14:textId="77777777" w:rsidTr="004D7B71">
        <w:trPr>
          <w:cantSplit/>
          <w:jc w:val="center"/>
        </w:trPr>
        <w:tc>
          <w:tcPr>
            <w:tcW w:w="5987" w:type="dxa"/>
            <w:shd w:val="clear" w:color="auto" w:fill="auto"/>
            <w:vAlign w:val="center"/>
            <w:hideMark/>
          </w:tcPr>
          <w:p w14:paraId="0A97A2DC"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από τακτικό προϋπολογισμό</w:t>
            </w:r>
          </w:p>
        </w:tc>
        <w:tc>
          <w:tcPr>
            <w:tcW w:w="1529" w:type="dxa"/>
            <w:shd w:val="clear" w:color="auto" w:fill="auto"/>
            <w:vAlign w:val="center"/>
            <w:hideMark/>
          </w:tcPr>
          <w:p w14:paraId="764F914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3.509</w:t>
            </w:r>
          </w:p>
        </w:tc>
        <w:tc>
          <w:tcPr>
            <w:tcW w:w="1556" w:type="dxa"/>
            <w:shd w:val="clear" w:color="auto" w:fill="auto"/>
            <w:vAlign w:val="center"/>
            <w:hideMark/>
          </w:tcPr>
          <w:p w14:paraId="65867729"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3.544</w:t>
            </w:r>
          </w:p>
        </w:tc>
      </w:tr>
      <w:tr w:rsidR="004D7B71" w:rsidRPr="004D7B71" w14:paraId="647C1F22" w14:textId="77777777" w:rsidTr="004D7B71">
        <w:trPr>
          <w:cantSplit/>
          <w:jc w:val="center"/>
        </w:trPr>
        <w:tc>
          <w:tcPr>
            <w:tcW w:w="5987" w:type="dxa"/>
            <w:shd w:val="clear" w:color="auto" w:fill="auto"/>
            <w:vAlign w:val="center"/>
            <w:hideMark/>
          </w:tcPr>
          <w:p w14:paraId="0D6D36B5"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Μεταβιβάσεις από προϋπολογισμό δημοσίων επενδύσεων</w:t>
            </w:r>
          </w:p>
        </w:tc>
        <w:tc>
          <w:tcPr>
            <w:tcW w:w="1529" w:type="dxa"/>
            <w:shd w:val="clear" w:color="auto" w:fill="auto"/>
            <w:vAlign w:val="center"/>
            <w:hideMark/>
          </w:tcPr>
          <w:p w14:paraId="31D86E89"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w:t>
            </w:r>
          </w:p>
        </w:tc>
        <w:tc>
          <w:tcPr>
            <w:tcW w:w="1556" w:type="dxa"/>
            <w:shd w:val="clear" w:color="auto" w:fill="auto"/>
            <w:vAlign w:val="center"/>
            <w:hideMark/>
          </w:tcPr>
          <w:p w14:paraId="57153AC3"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15</w:t>
            </w:r>
          </w:p>
        </w:tc>
      </w:tr>
      <w:tr w:rsidR="004D7B71" w:rsidRPr="004D7B71" w14:paraId="6EB20172" w14:textId="77777777" w:rsidTr="004D7B71">
        <w:trPr>
          <w:cantSplit/>
          <w:jc w:val="center"/>
        </w:trPr>
        <w:tc>
          <w:tcPr>
            <w:tcW w:w="5987" w:type="dxa"/>
            <w:shd w:val="clear" w:color="auto" w:fill="auto"/>
            <w:vAlign w:val="center"/>
            <w:hideMark/>
          </w:tcPr>
          <w:p w14:paraId="08C34275"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Απόδοση εισπράξεων τρίτων</w:t>
            </w:r>
          </w:p>
        </w:tc>
        <w:tc>
          <w:tcPr>
            <w:tcW w:w="1529" w:type="dxa"/>
            <w:shd w:val="clear" w:color="auto" w:fill="auto"/>
            <w:vAlign w:val="center"/>
            <w:hideMark/>
          </w:tcPr>
          <w:p w14:paraId="45D93395"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189</w:t>
            </w:r>
          </w:p>
        </w:tc>
        <w:tc>
          <w:tcPr>
            <w:tcW w:w="1556" w:type="dxa"/>
            <w:shd w:val="clear" w:color="auto" w:fill="auto"/>
            <w:vAlign w:val="center"/>
            <w:hideMark/>
          </w:tcPr>
          <w:p w14:paraId="389CB3F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189</w:t>
            </w:r>
          </w:p>
        </w:tc>
      </w:tr>
      <w:tr w:rsidR="004D7B71" w:rsidRPr="004D7B71" w14:paraId="26B438F7" w14:textId="77777777" w:rsidTr="004D7B71">
        <w:trPr>
          <w:cantSplit/>
          <w:jc w:val="center"/>
        </w:trPr>
        <w:tc>
          <w:tcPr>
            <w:tcW w:w="5987" w:type="dxa"/>
            <w:shd w:val="clear" w:color="auto" w:fill="auto"/>
            <w:vAlign w:val="center"/>
            <w:hideMark/>
          </w:tcPr>
          <w:p w14:paraId="3DEE5B04"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Λοιπά έσοδα</w:t>
            </w:r>
          </w:p>
        </w:tc>
        <w:tc>
          <w:tcPr>
            <w:tcW w:w="1529" w:type="dxa"/>
            <w:shd w:val="clear" w:color="auto" w:fill="auto"/>
            <w:vAlign w:val="center"/>
            <w:hideMark/>
          </w:tcPr>
          <w:p w14:paraId="7C2671CE"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w:t>
            </w:r>
          </w:p>
        </w:tc>
        <w:tc>
          <w:tcPr>
            <w:tcW w:w="1556" w:type="dxa"/>
            <w:shd w:val="clear" w:color="auto" w:fill="auto"/>
            <w:vAlign w:val="center"/>
            <w:hideMark/>
          </w:tcPr>
          <w:p w14:paraId="69E8E55E"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w:t>
            </w:r>
          </w:p>
        </w:tc>
      </w:tr>
      <w:tr w:rsidR="004D7B71" w:rsidRPr="004D7B71" w14:paraId="51D91E32" w14:textId="77777777" w:rsidTr="004D7B71">
        <w:trPr>
          <w:cantSplit/>
          <w:jc w:val="center"/>
        </w:trPr>
        <w:tc>
          <w:tcPr>
            <w:tcW w:w="5987" w:type="dxa"/>
            <w:shd w:val="clear" w:color="auto" w:fill="auto"/>
            <w:vAlign w:val="center"/>
            <w:hideMark/>
          </w:tcPr>
          <w:p w14:paraId="6AFA3232"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Δαπάνες</w:t>
            </w:r>
          </w:p>
        </w:tc>
        <w:tc>
          <w:tcPr>
            <w:tcW w:w="1529" w:type="dxa"/>
            <w:shd w:val="clear" w:color="auto" w:fill="auto"/>
            <w:vAlign w:val="center"/>
            <w:hideMark/>
          </w:tcPr>
          <w:p w14:paraId="1B649988"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3.732</w:t>
            </w:r>
          </w:p>
        </w:tc>
        <w:tc>
          <w:tcPr>
            <w:tcW w:w="1556" w:type="dxa"/>
            <w:shd w:val="clear" w:color="auto" w:fill="auto"/>
            <w:vAlign w:val="center"/>
            <w:hideMark/>
          </w:tcPr>
          <w:p w14:paraId="7D62C980"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3.770</w:t>
            </w:r>
          </w:p>
        </w:tc>
      </w:tr>
      <w:tr w:rsidR="004D7B71" w:rsidRPr="004D7B71" w14:paraId="18A37DD4" w14:textId="77777777" w:rsidTr="004D7B71">
        <w:trPr>
          <w:cantSplit/>
          <w:jc w:val="center"/>
        </w:trPr>
        <w:tc>
          <w:tcPr>
            <w:tcW w:w="5987" w:type="dxa"/>
            <w:shd w:val="clear" w:color="auto" w:fill="auto"/>
            <w:vAlign w:val="center"/>
            <w:hideMark/>
          </w:tcPr>
          <w:p w14:paraId="1168572F"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Παροχές σε ανασφάλιστους υπερήλικες</w:t>
            </w:r>
          </w:p>
        </w:tc>
        <w:tc>
          <w:tcPr>
            <w:tcW w:w="1529" w:type="dxa"/>
            <w:shd w:val="clear" w:color="auto" w:fill="auto"/>
            <w:vAlign w:val="center"/>
            <w:hideMark/>
          </w:tcPr>
          <w:p w14:paraId="6AE55294"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210</w:t>
            </w:r>
          </w:p>
        </w:tc>
        <w:tc>
          <w:tcPr>
            <w:tcW w:w="1556" w:type="dxa"/>
            <w:shd w:val="clear" w:color="auto" w:fill="auto"/>
            <w:vAlign w:val="center"/>
            <w:hideMark/>
          </w:tcPr>
          <w:p w14:paraId="7A9DF3EB"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210</w:t>
            </w:r>
          </w:p>
        </w:tc>
      </w:tr>
      <w:tr w:rsidR="004D7B71" w:rsidRPr="004D7B71" w14:paraId="2A9FB039" w14:textId="77777777" w:rsidTr="004D7B71">
        <w:trPr>
          <w:cantSplit/>
          <w:jc w:val="center"/>
        </w:trPr>
        <w:tc>
          <w:tcPr>
            <w:tcW w:w="5987" w:type="dxa"/>
            <w:shd w:val="clear" w:color="auto" w:fill="auto"/>
            <w:vAlign w:val="center"/>
            <w:hideMark/>
          </w:tcPr>
          <w:p w14:paraId="531EE071"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Οικογενειακά επιδόματα</w:t>
            </w:r>
          </w:p>
        </w:tc>
        <w:tc>
          <w:tcPr>
            <w:tcW w:w="1529" w:type="dxa"/>
            <w:shd w:val="clear" w:color="auto" w:fill="auto"/>
            <w:vAlign w:val="center"/>
            <w:hideMark/>
          </w:tcPr>
          <w:p w14:paraId="6295324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890</w:t>
            </w:r>
          </w:p>
        </w:tc>
        <w:tc>
          <w:tcPr>
            <w:tcW w:w="1556" w:type="dxa"/>
            <w:shd w:val="clear" w:color="auto" w:fill="auto"/>
            <w:vAlign w:val="center"/>
            <w:hideMark/>
          </w:tcPr>
          <w:p w14:paraId="10B5D456"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1.000</w:t>
            </w:r>
          </w:p>
        </w:tc>
      </w:tr>
      <w:tr w:rsidR="004D7B71" w:rsidRPr="004D7B71" w14:paraId="053319D2" w14:textId="77777777" w:rsidTr="004D7B71">
        <w:trPr>
          <w:cantSplit/>
          <w:jc w:val="center"/>
        </w:trPr>
        <w:tc>
          <w:tcPr>
            <w:tcW w:w="5987" w:type="dxa"/>
            <w:shd w:val="clear" w:color="auto" w:fill="auto"/>
            <w:vAlign w:val="center"/>
            <w:hideMark/>
          </w:tcPr>
          <w:p w14:paraId="4B385166"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Ελάχιστο Εγγυημένο Εισόδημα</w:t>
            </w:r>
          </w:p>
        </w:tc>
        <w:tc>
          <w:tcPr>
            <w:tcW w:w="1529" w:type="dxa"/>
            <w:shd w:val="clear" w:color="auto" w:fill="auto"/>
            <w:vAlign w:val="center"/>
            <w:hideMark/>
          </w:tcPr>
          <w:p w14:paraId="4A9795F6"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510</w:t>
            </w:r>
          </w:p>
        </w:tc>
        <w:tc>
          <w:tcPr>
            <w:tcW w:w="1556" w:type="dxa"/>
            <w:shd w:val="clear" w:color="auto" w:fill="auto"/>
            <w:vAlign w:val="center"/>
            <w:hideMark/>
          </w:tcPr>
          <w:p w14:paraId="3460EB64"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550</w:t>
            </w:r>
          </w:p>
        </w:tc>
      </w:tr>
      <w:tr w:rsidR="004D7B71" w:rsidRPr="004D7B71" w14:paraId="4913F21F" w14:textId="77777777" w:rsidTr="004D7B71">
        <w:trPr>
          <w:cantSplit/>
          <w:jc w:val="center"/>
        </w:trPr>
        <w:tc>
          <w:tcPr>
            <w:tcW w:w="5987" w:type="dxa"/>
            <w:shd w:val="clear" w:color="auto" w:fill="auto"/>
            <w:vAlign w:val="center"/>
            <w:hideMark/>
          </w:tcPr>
          <w:p w14:paraId="14725380"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 xml:space="preserve">Επιδόματα </w:t>
            </w:r>
            <w:proofErr w:type="spellStart"/>
            <w:r w:rsidRPr="004D7B71">
              <w:rPr>
                <w:rFonts w:ascii="Arial" w:eastAsia="Times New Roman" w:hAnsi="Arial" w:cs="Arial"/>
                <w:color w:val="000000"/>
                <w:sz w:val="16"/>
                <w:szCs w:val="16"/>
                <w:lang w:eastAsia="el-GR"/>
              </w:rPr>
              <w:t>ΑμεΑ</w:t>
            </w:r>
            <w:proofErr w:type="spellEnd"/>
          </w:p>
        </w:tc>
        <w:tc>
          <w:tcPr>
            <w:tcW w:w="1529" w:type="dxa"/>
            <w:shd w:val="clear" w:color="auto" w:fill="auto"/>
            <w:vAlign w:val="center"/>
            <w:hideMark/>
          </w:tcPr>
          <w:p w14:paraId="00FA108C"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1.060</w:t>
            </w:r>
          </w:p>
        </w:tc>
        <w:tc>
          <w:tcPr>
            <w:tcW w:w="1556" w:type="dxa"/>
            <w:shd w:val="clear" w:color="auto" w:fill="auto"/>
            <w:vAlign w:val="center"/>
            <w:hideMark/>
          </w:tcPr>
          <w:p w14:paraId="1459836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1.060</w:t>
            </w:r>
          </w:p>
        </w:tc>
      </w:tr>
      <w:tr w:rsidR="004D7B71" w:rsidRPr="004D7B71" w14:paraId="4E002454" w14:textId="77777777" w:rsidTr="004D7B71">
        <w:trPr>
          <w:cantSplit/>
          <w:jc w:val="center"/>
        </w:trPr>
        <w:tc>
          <w:tcPr>
            <w:tcW w:w="5987" w:type="dxa"/>
            <w:shd w:val="clear" w:color="auto" w:fill="auto"/>
            <w:vAlign w:val="center"/>
            <w:hideMark/>
          </w:tcPr>
          <w:p w14:paraId="1D3C6877"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Στεγαστικό Επίδομα</w:t>
            </w:r>
          </w:p>
        </w:tc>
        <w:tc>
          <w:tcPr>
            <w:tcW w:w="1529" w:type="dxa"/>
            <w:shd w:val="clear" w:color="auto" w:fill="auto"/>
            <w:vAlign w:val="center"/>
            <w:hideMark/>
          </w:tcPr>
          <w:p w14:paraId="31806D4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340</w:t>
            </w:r>
          </w:p>
        </w:tc>
        <w:tc>
          <w:tcPr>
            <w:tcW w:w="1556" w:type="dxa"/>
            <w:shd w:val="clear" w:color="auto" w:fill="auto"/>
            <w:vAlign w:val="center"/>
            <w:hideMark/>
          </w:tcPr>
          <w:p w14:paraId="26EC302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340</w:t>
            </w:r>
          </w:p>
        </w:tc>
      </w:tr>
      <w:tr w:rsidR="004D7B71" w:rsidRPr="004D7B71" w14:paraId="1AD8F4D9" w14:textId="77777777" w:rsidTr="004D7B71">
        <w:trPr>
          <w:cantSplit/>
          <w:jc w:val="center"/>
        </w:trPr>
        <w:tc>
          <w:tcPr>
            <w:tcW w:w="5987" w:type="dxa"/>
            <w:shd w:val="clear" w:color="auto" w:fill="auto"/>
            <w:vAlign w:val="center"/>
            <w:hideMark/>
          </w:tcPr>
          <w:p w14:paraId="767E9463"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Σχολικά γεύματα</w:t>
            </w:r>
          </w:p>
        </w:tc>
        <w:tc>
          <w:tcPr>
            <w:tcW w:w="1529" w:type="dxa"/>
            <w:shd w:val="clear" w:color="auto" w:fill="auto"/>
            <w:vAlign w:val="center"/>
            <w:hideMark/>
          </w:tcPr>
          <w:p w14:paraId="710F8D0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100</w:t>
            </w:r>
          </w:p>
        </w:tc>
        <w:tc>
          <w:tcPr>
            <w:tcW w:w="1556" w:type="dxa"/>
            <w:shd w:val="clear" w:color="auto" w:fill="auto"/>
            <w:vAlign w:val="center"/>
            <w:hideMark/>
          </w:tcPr>
          <w:p w14:paraId="7CA32BEC"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107</w:t>
            </w:r>
          </w:p>
        </w:tc>
      </w:tr>
      <w:tr w:rsidR="004D7B71" w:rsidRPr="004D7B71" w14:paraId="26B0D310" w14:textId="77777777" w:rsidTr="004D7B71">
        <w:trPr>
          <w:cantSplit/>
          <w:jc w:val="center"/>
        </w:trPr>
        <w:tc>
          <w:tcPr>
            <w:tcW w:w="5987" w:type="dxa"/>
            <w:shd w:val="clear" w:color="auto" w:fill="auto"/>
            <w:vAlign w:val="center"/>
            <w:hideMark/>
          </w:tcPr>
          <w:p w14:paraId="1035E2E8"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Επίδομα γέννησης</w:t>
            </w:r>
          </w:p>
        </w:tc>
        <w:tc>
          <w:tcPr>
            <w:tcW w:w="1529" w:type="dxa"/>
            <w:shd w:val="clear" w:color="auto" w:fill="auto"/>
            <w:vAlign w:val="center"/>
            <w:hideMark/>
          </w:tcPr>
          <w:p w14:paraId="7E4E88F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200</w:t>
            </w:r>
          </w:p>
        </w:tc>
        <w:tc>
          <w:tcPr>
            <w:tcW w:w="1556" w:type="dxa"/>
            <w:shd w:val="clear" w:color="auto" w:fill="auto"/>
            <w:vAlign w:val="center"/>
            <w:hideMark/>
          </w:tcPr>
          <w:p w14:paraId="25EA4048"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182</w:t>
            </w:r>
          </w:p>
        </w:tc>
      </w:tr>
      <w:tr w:rsidR="004D7B71" w:rsidRPr="004D7B71" w14:paraId="6FDBE97C" w14:textId="77777777" w:rsidTr="004D7B71">
        <w:trPr>
          <w:cantSplit/>
          <w:jc w:val="center"/>
        </w:trPr>
        <w:tc>
          <w:tcPr>
            <w:tcW w:w="5987" w:type="dxa"/>
            <w:shd w:val="clear" w:color="auto" w:fill="auto"/>
            <w:vAlign w:val="center"/>
            <w:hideMark/>
          </w:tcPr>
          <w:p w14:paraId="689DDC89"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Κώδικας Διευθέτησης Οφειλών και παροχής δεύτερης ευκαιρίας σε δανειολήπτες</w:t>
            </w:r>
          </w:p>
        </w:tc>
        <w:tc>
          <w:tcPr>
            <w:tcW w:w="1529" w:type="dxa"/>
            <w:shd w:val="clear" w:color="auto" w:fill="auto"/>
            <w:vAlign w:val="center"/>
            <w:hideMark/>
          </w:tcPr>
          <w:p w14:paraId="0B2257CD"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20</w:t>
            </w:r>
          </w:p>
        </w:tc>
        <w:tc>
          <w:tcPr>
            <w:tcW w:w="1556" w:type="dxa"/>
            <w:shd w:val="clear" w:color="auto" w:fill="auto"/>
            <w:vAlign w:val="center"/>
            <w:hideMark/>
          </w:tcPr>
          <w:p w14:paraId="3F8F19C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50</w:t>
            </w:r>
          </w:p>
        </w:tc>
      </w:tr>
      <w:tr w:rsidR="004D7B71" w:rsidRPr="004D7B71" w14:paraId="264D717D" w14:textId="77777777" w:rsidTr="004D7B71">
        <w:trPr>
          <w:cantSplit/>
          <w:jc w:val="center"/>
        </w:trPr>
        <w:tc>
          <w:tcPr>
            <w:tcW w:w="5987" w:type="dxa"/>
            <w:shd w:val="clear" w:color="auto" w:fill="auto"/>
            <w:vAlign w:val="center"/>
            <w:hideMark/>
          </w:tcPr>
          <w:p w14:paraId="62993B39"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Λοιπά προγράμματα</w:t>
            </w:r>
          </w:p>
        </w:tc>
        <w:tc>
          <w:tcPr>
            <w:tcW w:w="1529" w:type="dxa"/>
            <w:shd w:val="clear" w:color="auto" w:fill="auto"/>
            <w:vAlign w:val="center"/>
            <w:hideMark/>
          </w:tcPr>
          <w:p w14:paraId="2B81D93E"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44</w:t>
            </w:r>
          </w:p>
        </w:tc>
        <w:tc>
          <w:tcPr>
            <w:tcW w:w="1556" w:type="dxa"/>
            <w:shd w:val="clear" w:color="auto" w:fill="auto"/>
            <w:vAlign w:val="center"/>
            <w:hideMark/>
          </w:tcPr>
          <w:p w14:paraId="2F77E9B4"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56</w:t>
            </w:r>
          </w:p>
        </w:tc>
      </w:tr>
      <w:tr w:rsidR="004D7B71" w:rsidRPr="004D7B71" w14:paraId="69477CA7" w14:textId="77777777" w:rsidTr="004D7B71">
        <w:trPr>
          <w:cantSplit/>
          <w:jc w:val="center"/>
        </w:trPr>
        <w:tc>
          <w:tcPr>
            <w:tcW w:w="5987" w:type="dxa"/>
            <w:shd w:val="clear" w:color="auto" w:fill="auto"/>
            <w:vAlign w:val="center"/>
            <w:hideMark/>
          </w:tcPr>
          <w:p w14:paraId="04078CC0"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Έκτακτες παροχές</w:t>
            </w:r>
          </w:p>
        </w:tc>
        <w:tc>
          <w:tcPr>
            <w:tcW w:w="1529" w:type="dxa"/>
            <w:shd w:val="clear" w:color="auto" w:fill="auto"/>
            <w:vAlign w:val="center"/>
            <w:hideMark/>
          </w:tcPr>
          <w:p w14:paraId="30AF480A"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143</w:t>
            </w:r>
          </w:p>
        </w:tc>
        <w:tc>
          <w:tcPr>
            <w:tcW w:w="1556" w:type="dxa"/>
            <w:shd w:val="clear" w:color="auto" w:fill="auto"/>
            <w:vAlign w:val="center"/>
            <w:hideMark/>
          </w:tcPr>
          <w:p w14:paraId="4F6B7A8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0</w:t>
            </w:r>
          </w:p>
        </w:tc>
      </w:tr>
      <w:tr w:rsidR="004D7B71" w:rsidRPr="004D7B71" w14:paraId="43123F99" w14:textId="77777777" w:rsidTr="004D7B71">
        <w:trPr>
          <w:cantSplit/>
          <w:jc w:val="center"/>
        </w:trPr>
        <w:tc>
          <w:tcPr>
            <w:tcW w:w="5987" w:type="dxa"/>
            <w:shd w:val="clear" w:color="auto" w:fill="auto"/>
            <w:vAlign w:val="center"/>
            <w:hideMark/>
          </w:tcPr>
          <w:p w14:paraId="7686120B"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Απόδοση εισπράξεων τρίτων</w:t>
            </w:r>
          </w:p>
        </w:tc>
        <w:tc>
          <w:tcPr>
            <w:tcW w:w="1529" w:type="dxa"/>
            <w:shd w:val="clear" w:color="auto" w:fill="auto"/>
            <w:vAlign w:val="center"/>
            <w:hideMark/>
          </w:tcPr>
          <w:p w14:paraId="106F281C"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189</w:t>
            </w:r>
          </w:p>
        </w:tc>
        <w:tc>
          <w:tcPr>
            <w:tcW w:w="1556" w:type="dxa"/>
            <w:shd w:val="clear" w:color="auto" w:fill="auto"/>
            <w:vAlign w:val="center"/>
            <w:hideMark/>
          </w:tcPr>
          <w:p w14:paraId="1362743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189</w:t>
            </w:r>
          </w:p>
        </w:tc>
      </w:tr>
      <w:tr w:rsidR="004D7B71" w:rsidRPr="004D7B71" w14:paraId="27FC5F74" w14:textId="77777777" w:rsidTr="004D7B71">
        <w:trPr>
          <w:cantSplit/>
          <w:jc w:val="center"/>
        </w:trPr>
        <w:tc>
          <w:tcPr>
            <w:tcW w:w="5987" w:type="dxa"/>
            <w:shd w:val="clear" w:color="auto" w:fill="auto"/>
            <w:vAlign w:val="center"/>
            <w:hideMark/>
          </w:tcPr>
          <w:p w14:paraId="2E1E9897"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Δαπάνες προσωπικού</w:t>
            </w:r>
          </w:p>
        </w:tc>
        <w:tc>
          <w:tcPr>
            <w:tcW w:w="1529" w:type="dxa"/>
            <w:shd w:val="clear" w:color="auto" w:fill="auto"/>
            <w:vAlign w:val="center"/>
            <w:hideMark/>
          </w:tcPr>
          <w:p w14:paraId="66D0A1AF"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w:t>
            </w:r>
          </w:p>
        </w:tc>
        <w:tc>
          <w:tcPr>
            <w:tcW w:w="1556" w:type="dxa"/>
            <w:shd w:val="clear" w:color="auto" w:fill="auto"/>
            <w:vAlign w:val="center"/>
            <w:hideMark/>
          </w:tcPr>
          <w:p w14:paraId="6CD7A5B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w:t>
            </w:r>
          </w:p>
        </w:tc>
      </w:tr>
      <w:tr w:rsidR="004D7B71" w:rsidRPr="004D7B71" w14:paraId="591158F9" w14:textId="77777777" w:rsidTr="004D7B71">
        <w:trPr>
          <w:cantSplit/>
          <w:jc w:val="center"/>
        </w:trPr>
        <w:tc>
          <w:tcPr>
            <w:tcW w:w="5987" w:type="dxa"/>
            <w:shd w:val="clear" w:color="auto" w:fill="auto"/>
            <w:vAlign w:val="center"/>
            <w:hideMark/>
          </w:tcPr>
          <w:p w14:paraId="17E6AB34" w14:textId="77777777" w:rsidR="004D7B71" w:rsidRPr="004D7B71" w:rsidRDefault="004D7B71" w:rsidP="004D7B71">
            <w:pPr>
              <w:spacing w:after="0"/>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lastRenderedPageBreak/>
              <w:t>Διοικητικές δαπάνες</w:t>
            </w:r>
          </w:p>
        </w:tc>
        <w:tc>
          <w:tcPr>
            <w:tcW w:w="1529" w:type="dxa"/>
            <w:shd w:val="clear" w:color="auto" w:fill="auto"/>
            <w:vAlign w:val="center"/>
            <w:hideMark/>
          </w:tcPr>
          <w:p w14:paraId="07429700"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13</w:t>
            </w:r>
          </w:p>
        </w:tc>
        <w:tc>
          <w:tcPr>
            <w:tcW w:w="1556" w:type="dxa"/>
            <w:shd w:val="clear" w:color="auto" w:fill="auto"/>
            <w:vAlign w:val="center"/>
            <w:hideMark/>
          </w:tcPr>
          <w:p w14:paraId="20A79BD1" w14:textId="77777777" w:rsidR="004D7B71" w:rsidRPr="004D7B71" w:rsidRDefault="004D7B71" w:rsidP="004D7B71">
            <w:pPr>
              <w:spacing w:after="0"/>
              <w:jc w:val="right"/>
              <w:rPr>
                <w:rFonts w:ascii="Arial" w:eastAsia="Times New Roman" w:hAnsi="Arial" w:cs="Arial"/>
                <w:color w:val="000000"/>
                <w:sz w:val="16"/>
                <w:szCs w:val="16"/>
                <w:lang w:eastAsia="el-GR"/>
              </w:rPr>
            </w:pPr>
            <w:r w:rsidRPr="004D7B71">
              <w:rPr>
                <w:rFonts w:ascii="Arial" w:eastAsia="Times New Roman" w:hAnsi="Arial" w:cs="Arial"/>
                <w:color w:val="000000"/>
                <w:sz w:val="16"/>
                <w:szCs w:val="16"/>
                <w:lang w:eastAsia="el-GR"/>
              </w:rPr>
              <w:t>14</w:t>
            </w:r>
          </w:p>
        </w:tc>
      </w:tr>
      <w:tr w:rsidR="004D7B71" w:rsidRPr="004D7B71" w14:paraId="4D22F94C" w14:textId="77777777" w:rsidTr="004D7B71">
        <w:trPr>
          <w:cantSplit/>
          <w:jc w:val="center"/>
        </w:trPr>
        <w:tc>
          <w:tcPr>
            <w:tcW w:w="5987" w:type="dxa"/>
            <w:shd w:val="clear" w:color="000000" w:fill="F2F2F2"/>
            <w:vAlign w:val="center"/>
            <w:hideMark/>
          </w:tcPr>
          <w:p w14:paraId="098F1D34"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Ταμειακό ισοζύγιο</w:t>
            </w:r>
          </w:p>
        </w:tc>
        <w:tc>
          <w:tcPr>
            <w:tcW w:w="1529" w:type="dxa"/>
            <w:shd w:val="clear" w:color="000000" w:fill="F2F2F2"/>
            <w:vAlign w:val="center"/>
            <w:hideMark/>
          </w:tcPr>
          <w:p w14:paraId="52601813"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17</w:t>
            </w:r>
          </w:p>
        </w:tc>
        <w:tc>
          <w:tcPr>
            <w:tcW w:w="1556" w:type="dxa"/>
            <w:shd w:val="clear" w:color="000000" w:fill="F2F2F2"/>
            <w:vAlign w:val="center"/>
            <w:hideMark/>
          </w:tcPr>
          <w:p w14:paraId="4B8875FB"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19</w:t>
            </w:r>
          </w:p>
        </w:tc>
      </w:tr>
      <w:tr w:rsidR="004D7B71" w:rsidRPr="004D7B71" w14:paraId="301982DF" w14:textId="77777777" w:rsidTr="004D7B71">
        <w:trPr>
          <w:cantSplit/>
          <w:jc w:val="center"/>
        </w:trPr>
        <w:tc>
          <w:tcPr>
            <w:tcW w:w="5987" w:type="dxa"/>
            <w:shd w:val="clear" w:color="000000" w:fill="F2F2F2"/>
            <w:vAlign w:val="center"/>
            <w:hideMark/>
          </w:tcPr>
          <w:p w14:paraId="51C2ADA7" w14:textId="77777777" w:rsidR="004D7B71" w:rsidRPr="004D7B71" w:rsidRDefault="004D7B71" w:rsidP="004D7B71">
            <w:pPr>
              <w:spacing w:after="0"/>
              <w:rPr>
                <w:rFonts w:ascii="Arial" w:eastAsia="Times New Roman" w:hAnsi="Arial" w:cs="Arial"/>
                <w:b/>
                <w:bCs/>
                <w:color w:val="000000"/>
                <w:sz w:val="16"/>
                <w:szCs w:val="16"/>
                <w:lang w:eastAsia="el-GR"/>
              </w:rPr>
            </w:pPr>
            <w:proofErr w:type="spellStart"/>
            <w:r w:rsidRPr="004D7B71">
              <w:rPr>
                <w:rFonts w:ascii="Arial" w:eastAsia="Times New Roman" w:hAnsi="Arial" w:cs="Arial"/>
                <w:b/>
                <w:bCs/>
                <w:color w:val="000000"/>
                <w:sz w:val="16"/>
                <w:szCs w:val="16"/>
                <w:lang w:eastAsia="el-GR"/>
              </w:rPr>
              <w:t>Εθνικολογιστικές</w:t>
            </w:r>
            <w:proofErr w:type="spellEnd"/>
            <w:r w:rsidRPr="004D7B71">
              <w:rPr>
                <w:rFonts w:ascii="Arial" w:eastAsia="Times New Roman" w:hAnsi="Arial" w:cs="Arial"/>
                <w:b/>
                <w:bCs/>
                <w:color w:val="000000"/>
                <w:sz w:val="16"/>
                <w:szCs w:val="16"/>
                <w:lang w:eastAsia="el-GR"/>
              </w:rPr>
              <w:t xml:space="preserve"> προσαρμογές</w:t>
            </w:r>
          </w:p>
        </w:tc>
        <w:tc>
          <w:tcPr>
            <w:tcW w:w="1529" w:type="dxa"/>
            <w:shd w:val="clear" w:color="000000" w:fill="F2F2F2"/>
            <w:vAlign w:val="center"/>
            <w:hideMark/>
          </w:tcPr>
          <w:p w14:paraId="348CBFBA"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0</w:t>
            </w:r>
          </w:p>
        </w:tc>
        <w:tc>
          <w:tcPr>
            <w:tcW w:w="1556" w:type="dxa"/>
            <w:shd w:val="clear" w:color="000000" w:fill="F2F2F2"/>
            <w:vAlign w:val="center"/>
            <w:hideMark/>
          </w:tcPr>
          <w:p w14:paraId="16A4172B"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0</w:t>
            </w:r>
          </w:p>
        </w:tc>
      </w:tr>
      <w:tr w:rsidR="004D7B71" w:rsidRPr="004D7B71" w14:paraId="048F12D7" w14:textId="77777777" w:rsidTr="004D7B71">
        <w:trPr>
          <w:cantSplit/>
          <w:jc w:val="center"/>
        </w:trPr>
        <w:tc>
          <w:tcPr>
            <w:tcW w:w="5987" w:type="dxa"/>
            <w:shd w:val="clear" w:color="000000" w:fill="F2F2F2"/>
            <w:vAlign w:val="center"/>
            <w:hideMark/>
          </w:tcPr>
          <w:p w14:paraId="5DBE6BF8"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Ισοζύγιο κατά ESA</w:t>
            </w:r>
          </w:p>
        </w:tc>
        <w:tc>
          <w:tcPr>
            <w:tcW w:w="1529" w:type="dxa"/>
            <w:shd w:val="clear" w:color="000000" w:fill="F2F2F2"/>
            <w:vAlign w:val="center"/>
            <w:hideMark/>
          </w:tcPr>
          <w:p w14:paraId="6D40E374"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17</w:t>
            </w:r>
          </w:p>
        </w:tc>
        <w:tc>
          <w:tcPr>
            <w:tcW w:w="1556" w:type="dxa"/>
            <w:shd w:val="clear" w:color="000000" w:fill="F2F2F2"/>
            <w:vAlign w:val="center"/>
            <w:hideMark/>
          </w:tcPr>
          <w:p w14:paraId="6D62DB97"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19</w:t>
            </w:r>
          </w:p>
        </w:tc>
      </w:tr>
      <w:tr w:rsidR="004D7B71" w:rsidRPr="004D7B71" w14:paraId="5134CA3D" w14:textId="77777777" w:rsidTr="004D7B71">
        <w:trPr>
          <w:cantSplit/>
          <w:jc w:val="center"/>
        </w:trPr>
        <w:tc>
          <w:tcPr>
            <w:tcW w:w="5987" w:type="dxa"/>
            <w:shd w:val="clear" w:color="000000" w:fill="D5DCE4"/>
            <w:vAlign w:val="center"/>
            <w:hideMark/>
          </w:tcPr>
          <w:p w14:paraId="7FD273A1"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xml:space="preserve">Συνολικό ταμειακό ισοζύγιο ΟΚΑ </w:t>
            </w:r>
          </w:p>
        </w:tc>
        <w:tc>
          <w:tcPr>
            <w:tcW w:w="1529" w:type="dxa"/>
            <w:shd w:val="clear" w:color="000000" w:fill="D5DCE4"/>
            <w:vAlign w:val="center"/>
            <w:hideMark/>
          </w:tcPr>
          <w:p w14:paraId="47AAEA2A"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906</w:t>
            </w:r>
          </w:p>
        </w:tc>
        <w:tc>
          <w:tcPr>
            <w:tcW w:w="1556" w:type="dxa"/>
            <w:shd w:val="clear" w:color="000000" w:fill="D5DCE4"/>
            <w:vAlign w:val="center"/>
            <w:hideMark/>
          </w:tcPr>
          <w:p w14:paraId="02E61EB5"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969</w:t>
            </w:r>
          </w:p>
        </w:tc>
      </w:tr>
      <w:tr w:rsidR="004D7B71" w:rsidRPr="004D7B71" w14:paraId="0ED919EF" w14:textId="77777777" w:rsidTr="004D7B71">
        <w:trPr>
          <w:cantSplit/>
          <w:jc w:val="center"/>
        </w:trPr>
        <w:tc>
          <w:tcPr>
            <w:tcW w:w="5987" w:type="dxa"/>
            <w:tcBorders>
              <w:bottom w:val="nil"/>
            </w:tcBorders>
            <w:shd w:val="clear" w:color="000000" w:fill="D5DCE4"/>
            <w:vAlign w:val="center"/>
            <w:hideMark/>
          </w:tcPr>
          <w:p w14:paraId="713F60C0" w14:textId="77777777" w:rsidR="004D7B71" w:rsidRPr="004D7B71" w:rsidRDefault="004D7B71" w:rsidP="004D7B71">
            <w:pPr>
              <w:spacing w:after="0"/>
              <w:rPr>
                <w:rFonts w:ascii="Arial" w:eastAsia="Times New Roman" w:hAnsi="Arial" w:cs="Arial"/>
                <w:b/>
                <w:bCs/>
                <w:color w:val="000000"/>
                <w:sz w:val="16"/>
                <w:szCs w:val="16"/>
                <w:lang w:eastAsia="el-GR"/>
              </w:rPr>
            </w:pPr>
            <w:proofErr w:type="spellStart"/>
            <w:r w:rsidRPr="004D7B71">
              <w:rPr>
                <w:rFonts w:ascii="Arial" w:eastAsia="Times New Roman" w:hAnsi="Arial" w:cs="Arial"/>
                <w:b/>
                <w:bCs/>
                <w:color w:val="000000"/>
                <w:sz w:val="16"/>
                <w:szCs w:val="16"/>
                <w:lang w:eastAsia="el-GR"/>
              </w:rPr>
              <w:t>Εθνικολογιστικές</w:t>
            </w:r>
            <w:proofErr w:type="spellEnd"/>
            <w:r w:rsidRPr="004D7B71">
              <w:rPr>
                <w:rFonts w:ascii="Arial" w:eastAsia="Times New Roman" w:hAnsi="Arial" w:cs="Arial"/>
                <w:b/>
                <w:bCs/>
                <w:color w:val="000000"/>
                <w:sz w:val="16"/>
                <w:szCs w:val="16"/>
                <w:lang w:eastAsia="el-GR"/>
              </w:rPr>
              <w:t xml:space="preserve"> προσαρμογές</w:t>
            </w:r>
          </w:p>
        </w:tc>
        <w:tc>
          <w:tcPr>
            <w:tcW w:w="1529" w:type="dxa"/>
            <w:tcBorders>
              <w:bottom w:val="nil"/>
            </w:tcBorders>
            <w:shd w:val="clear" w:color="000000" w:fill="D5DCE4"/>
            <w:vAlign w:val="center"/>
            <w:hideMark/>
          </w:tcPr>
          <w:p w14:paraId="276F8762"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255</w:t>
            </w:r>
          </w:p>
        </w:tc>
        <w:tc>
          <w:tcPr>
            <w:tcW w:w="1556" w:type="dxa"/>
            <w:tcBorders>
              <w:bottom w:val="nil"/>
            </w:tcBorders>
            <w:shd w:val="clear" w:color="000000" w:fill="D5DCE4"/>
            <w:vAlign w:val="center"/>
            <w:hideMark/>
          </w:tcPr>
          <w:p w14:paraId="7CA98826"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30</w:t>
            </w:r>
          </w:p>
        </w:tc>
      </w:tr>
      <w:tr w:rsidR="004D7B71" w:rsidRPr="004D7B71" w14:paraId="0A41215F" w14:textId="77777777" w:rsidTr="004D7B71">
        <w:trPr>
          <w:cantSplit/>
          <w:jc w:val="center"/>
        </w:trPr>
        <w:tc>
          <w:tcPr>
            <w:tcW w:w="5987" w:type="dxa"/>
            <w:tcBorders>
              <w:top w:val="nil"/>
              <w:bottom w:val="single" w:sz="4" w:space="0" w:color="808080"/>
            </w:tcBorders>
            <w:shd w:val="clear" w:color="000000" w:fill="D5DCE4"/>
            <w:vAlign w:val="center"/>
            <w:hideMark/>
          </w:tcPr>
          <w:p w14:paraId="39C4B0AE" w14:textId="77777777" w:rsidR="004D7B71" w:rsidRPr="004D7B71" w:rsidRDefault="004D7B71" w:rsidP="004D7B71">
            <w:pPr>
              <w:spacing w:after="0"/>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 xml:space="preserve">Συνολικό ισοζύγιο ΟΚΑ κατά ESA </w:t>
            </w:r>
          </w:p>
        </w:tc>
        <w:tc>
          <w:tcPr>
            <w:tcW w:w="1529" w:type="dxa"/>
            <w:tcBorders>
              <w:top w:val="nil"/>
              <w:bottom w:val="single" w:sz="4" w:space="0" w:color="808080"/>
            </w:tcBorders>
            <w:shd w:val="clear" w:color="000000" w:fill="D5DCE4"/>
            <w:vAlign w:val="center"/>
            <w:hideMark/>
          </w:tcPr>
          <w:p w14:paraId="49BAC84B"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1.160</w:t>
            </w:r>
          </w:p>
        </w:tc>
        <w:tc>
          <w:tcPr>
            <w:tcW w:w="1556" w:type="dxa"/>
            <w:tcBorders>
              <w:top w:val="nil"/>
              <w:bottom w:val="single" w:sz="4" w:space="0" w:color="808080"/>
            </w:tcBorders>
            <w:shd w:val="clear" w:color="000000" w:fill="D5DCE4"/>
            <w:vAlign w:val="center"/>
            <w:hideMark/>
          </w:tcPr>
          <w:p w14:paraId="1DA2D138" w14:textId="77777777" w:rsidR="004D7B71" w:rsidRPr="004D7B71" w:rsidRDefault="004D7B71" w:rsidP="004D7B71">
            <w:pPr>
              <w:spacing w:after="0"/>
              <w:jc w:val="right"/>
              <w:rPr>
                <w:rFonts w:ascii="Arial" w:eastAsia="Times New Roman" w:hAnsi="Arial" w:cs="Arial"/>
                <w:b/>
                <w:bCs/>
                <w:color w:val="000000"/>
                <w:sz w:val="16"/>
                <w:szCs w:val="16"/>
                <w:lang w:eastAsia="el-GR"/>
              </w:rPr>
            </w:pPr>
            <w:r w:rsidRPr="004D7B71">
              <w:rPr>
                <w:rFonts w:ascii="Arial" w:eastAsia="Times New Roman" w:hAnsi="Arial" w:cs="Arial"/>
                <w:b/>
                <w:bCs/>
                <w:color w:val="000000"/>
                <w:sz w:val="16"/>
                <w:szCs w:val="16"/>
                <w:lang w:eastAsia="el-GR"/>
              </w:rPr>
              <w:t>999</w:t>
            </w:r>
          </w:p>
        </w:tc>
      </w:tr>
      <w:tr w:rsidR="004D7B71" w:rsidRPr="004D7B71" w14:paraId="34E9F81A" w14:textId="77777777" w:rsidTr="004D7B71">
        <w:trPr>
          <w:cantSplit/>
          <w:trHeight w:val="20"/>
          <w:jc w:val="center"/>
        </w:trPr>
        <w:tc>
          <w:tcPr>
            <w:tcW w:w="9072" w:type="dxa"/>
            <w:gridSpan w:val="3"/>
            <w:tcBorders>
              <w:top w:val="single" w:sz="4" w:space="0" w:color="808080"/>
              <w:left w:val="nil"/>
              <w:bottom w:val="nil"/>
              <w:right w:val="nil"/>
            </w:tcBorders>
            <w:shd w:val="clear" w:color="auto" w:fill="auto"/>
            <w:vAlign w:val="center"/>
            <w:hideMark/>
          </w:tcPr>
          <w:p w14:paraId="7FA9ECAF" w14:textId="77777777" w:rsidR="004D7B71" w:rsidRPr="004D7B71" w:rsidRDefault="004D7B71" w:rsidP="004D7B71">
            <w:pPr>
              <w:tabs>
                <w:tab w:val="left" w:pos="170"/>
              </w:tabs>
              <w:spacing w:before="60" w:after="0" w:line="240" w:lineRule="auto"/>
              <w:ind w:left="170" w:hanging="170"/>
              <w:jc w:val="both"/>
              <w:rPr>
                <w:rFonts w:ascii="Arial" w:eastAsia="Times New Roman" w:hAnsi="Arial" w:cs="Arial"/>
                <w:color w:val="000000"/>
                <w:sz w:val="16"/>
                <w:szCs w:val="16"/>
                <w:lang w:eastAsia="el-GR"/>
              </w:rPr>
            </w:pPr>
            <w:r w:rsidRPr="004D7B71">
              <w:rPr>
                <w:rFonts w:ascii="Arial" w:eastAsia="Times New Roman" w:hAnsi="Arial" w:cs="Arial"/>
                <w:color w:val="000000"/>
                <w:sz w:val="16"/>
                <w:szCs w:val="16"/>
                <w:vertAlign w:val="superscript"/>
                <w:lang w:eastAsia="el-GR"/>
              </w:rPr>
              <w:t>1</w:t>
            </w:r>
            <w:r w:rsidRPr="004D7B71">
              <w:rPr>
                <w:rFonts w:ascii="Arial" w:eastAsia="Times New Roman" w:hAnsi="Arial" w:cs="Arial"/>
                <w:color w:val="000000"/>
                <w:sz w:val="16"/>
                <w:szCs w:val="16"/>
                <w:vertAlign w:val="superscript"/>
                <w:lang w:eastAsia="el-GR"/>
              </w:rPr>
              <w:tab/>
            </w:r>
            <w:r w:rsidRPr="004D7B71">
              <w:rPr>
                <w:rFonts w:ascii="Arial" w:eastAsia="Times New Roman" w:hAnsi="Arial" w:cs="Arial"/>
                <w:color w:val="000000"/>
                <w:sz w:val="16"/>
                <w:szCs w:val="16"/>
                <w:lang w:eastAsia="el-GR"/>
              </w:rPr>
              <w:t xml:space="preserve">Για τον προσδιορισμό του δημοσιονομικού αποτελέσματος του ΕΟΠΥΥ κατά ESA έχει ενσωματωθεί η στατιστική αλλαγή της μεθοδολογίας καταγραφής των εσόδων από </w:t>
            </w:r>
            <w:proofErr w:type="spellStart"/>
            <w:r w:rsidRPr="004D7B71">
              <w:rPr>
                <w:rFonts w:ascii="Arial" w:eastAsia="Times New Roman" w:hAnsi="Arial" w:cs="Arial"/>
                <w:color w:val="000000"/>
                <w:sz w:val="16"/>
                <w:szCs w:val="16"/>
                <w:lang w:eastAsia="el-GR"/>
              </w:rPr>
              <w:t>rebate</w:t>
            </w:r>
            <w:proofErr w:type="spellEnd"/>
            <w:r w:rsidRPr="004D7B71">
              <w:rPr>
                <w:rFonts w:ascii="Arial" w:eastAsia="Times New Roman" w:hAnsi="Arial" w:cs="Arial"/>
                <w:color w:val="000000"/>
                <w:sz w:val="16"/>
                <w:szCs w:val="16"/>
                <w:lang w:eastAsia="el-GR"/>
              </w:rPr>
              <w:t xml:space="preserve"> και </w:t>
            </w:r>
            <w:proofErr w:type="spellStart"/>
            <w:r w:rsidRPr="004D7B71">
              <w:rPr>
                <w:rFonts w:ascii="Arial" w:eastAsia="Times New Roman" w:hAnsi="Arial" w:cs="Arial"/>
                <w:color w:val="000000"/>
                <w:sz w:val="16"/>
                <w:szCs w:val="16"/>
                <w:lang w:eastAsia="el-GR"/>
              </w:rPr>
              <w:t>clawback</w:t>
            </w:r>
            <w:proofErr w:type="spellEnd"/>
            <w:r w:rsidRPr="004D7B71">
              <w:rPr>
                <w:rFonts w:ascii="Arial" w:eastAsia="Times New Roman" w:hAnsi="Arial" w:cs="Arial"/>
                <w:color w:val="000000"/>
                <w:sz w:val="16"/>
                <w:szCs w:val="16"/>
                <w:lang w:eastAsia="el-GR"/>
              </w:rPr>
              <w:t xml:space="preserve">, τα οποία πλέον καταγράφονται σε ταμειακή και όχι σε δεδουλευμένη βάση. </w:t>
            </w:r>
          </w:p>
        </w:tc>
      </w:tr>
    </w:tbl>
    <w:p w14:paraId="0C024593" w14:textId="77777777" w:rsidR="00E7021D" w:rsidRPr="008438E9" w:rsidRDefault="00E7021D" w:rsidP="008438E9">
      <w:pPr>
        <w:jc w:val="both"/>
        <w:rPr>
          <w:b/>
          <w:color w:val="2F5496" w:themeColor="accent1" w:themeShade="BF"/>
        </w:rPr>
      </w:pPr>
    </w:p>
    <w:p w14:paraId="69F48E9D" w14:textId="0EA00427" w:rsidR="008438E9" w:rsidRPr="007A1052" w:rsidRDefault="004D7B71" w:rsidP="008438E9">
      <w:pPr>
        <w:jc w:val="both"/>
        <w:rPr>
          <w:rFonts w:cstheme="minorHAnsi"/>
          <w:b/>
          <w:color w:val="2F5496" w:themeColor="accent1" w:themeShade="BF"/>
        </w:rPr>
      </w:pPr>
      <w:r>
        <w:rPr>
          <w:rFonts w:cstheme="minorHAnsi"/>
          <w:b/>
          <w:color w:val="2F5496" w:themeColor="accent1" w:themeShade="BF"/>
        </w:rPr>
        <w:t>Αναπτυξιακό Πρόγραμμα Δημοσίων Επενδύσεων</w:t>
      </w:r>
    </w:p>
    <w:p w14:paraId="4C3DAD10" w14:textId="77777777" w:rsidR="004D7B71" w:rsidRDefault="004D7B71" w:rsidP="004D7B71">
      <w:pPr>
        <w:jc w:val="both"/>
      </w:pPr>
      <w:r>
        <w:t>Οι κύριοι αναπτυξιακοί τομείς που ενισχύονται με το ΑΠΔΕ είναι το περιβάλλον, οι μεταφορές, η ανταγωνιστικότητα, η ανάπτυξη ανθρώπινου κεφαλαίου, η κοινωνική συνοχή, η ενέργεια, ο ψηφιακός μετασχηματισμός και η αυτοδιοίκηση μέσω της στήριξης των επενδυτικών της προγραμμάτων. Επιπλέον, ενισχύονται πολιτικές του κράτους για τη συντήρηση και επέκταση κοινωνικών υποδομών, τη χρηματοδότηση έκτακτων αναγκών και λοιπών δράσεων καθώς και για την αντιμετώπιση των επιπτώσεων των φυσικών καταστροφών.</w:t>
      </w:r>
    </w:p>
    <w:p w14:paraId="77135B8A" w14:textId="77777777" w:rsidR="004D7B71" w:rsidRPr="00C558E9" w:rsidRDefault="004D7B71" w:rsidP="004D7B71">
      <w:pPr>
        <w:jc w:val="both"/>
      </w:pPr>
      <w:r w:rsidRPr="00C558E9">
        <w:t xml:space="preserve">Κύριος στόχος </w:t>
      </w:r>
      <w:r>
        <w:t xml:space="preserve">του ΑΠΔΕ </w:t>
      </w:r>
      <w:r w:rsidRPr="00C558E9">
        <w:t>για το 2025</w:t>
      </w:r>
      <w:r>
        <w:t>,</w:t>
      </w:r>
      <w:r w:rsidRPr="00C558E9">
        <w:t xml:space="preserve"> όπως και </w:t>
      </w:r>
      <w:r>
        <w:t xml:space="preserve">για </w:t>
      </w:r>
      <w:r w:rsidRPr="00C558E9">
        <w:t xml:space="preserve">τα επόμενα έτη </w:t>
      </w:r>
      <w:r w:rsidRPr="00A40373">
        <w:t>του Μεσοπρόθεσμου Δημοσιονομικού - Διαρθρωτικού Σχεδίου 2025 - 2028, είναι η επιτάχυνση της βελτ</w:t>
      </w:r>
      <w:r w:rsidRPr="00C558E9">
        <w:t xml:space="preserve">ίωσης του βιοτικού επιπέδου και της ευημερίας όλων των πολιτών σε όλες τις γεωγραφικές περιοχές της </w:t>
      </w:r>
      <w:r>
        <w:t>χώρας</w:t>
      </w:r>
      <w:r w:rsidRPr="00C558E9">
        <w:t xml:space="preserve"> και η ταχύτερη σύγκλιση με τον μέσο όρο της ΕΕ, σε όλο το φάσμα των οικονομικών και κοινωνικών επιδόσεων. Αυτός ο στόχος ευθυγραμμίζεται απόλυτα με </w:t>
      </w:r>
      <w:r>
        <w:t>τους</w:t>
      </w:r>
      <w:r w:rsidRPr="00C558E9">
        <w:t xml:space="preserve"> στόχο</w:t>
      </w:r>
      <w:r>
        <w:t>υς</w:t>
      </w:r>
      <w:r w:rsidRPr="00C558E9">
        <w:t>:</w:t>
      </w:r>
    </w:p>
    <w:p w14:paraId="3CABBDA3" w14:textId="0D1CCE85" w:rsidR="004D7B71" w:rsidRPr="004D7B71" w:rsidRDefault="004D7B71" w:rsidP="004D7B71">
      <w:pPr>
        <w:numPr>
          <w:ilvl w:val="0"/>
          <w:numId w:val="1"/>
        </w:numPr>
        <w:spacing w:before="120" w:after="60" w:line="300" w:lineRule="auto"/>
        <w:ind w:left="568" w:hanging="284"/>
        <w:jc w:val="both"/>
        <w:rPr>
          <w:rFonts w:cs="Arial"/>
          <w:szCs w:val="20"/>
        </w:rPr>
      </w:pPr>
      <w:r w:rsidRPr="004D7B71">
        <w:rPr>
          <w:rFonts w:cs="Arial"/>
          <w:szCs w:val="20"/>
        </w:rPr>
        <w:t xml:space="preserve">του ελληνικού Εθνικού Σχεδίου Ανάκαμψης και Ανθεκτικότητας «Ελλάδα 2.0», </w:t>
      </w:r>
    </w:p>
    <w:p w14:paraId="2396DD79" w14:textId="50E462DC" w:rsidR="004D7B71" w:rsidRPr="004D7B71" w:rsidRDefault="004D7B71" w:rsidP="004D7B71">
      <w:pPr>
        <w:numPr>
          <w:ilvl w:val="0"/>
          <w:numId w:val="1"/>
        </w:numPr>
        <w:spacing w:before="60" w:after="60" w:line="300" w:lineRule="auto"/>
        <w:ind w:left="568" w:hanging="284"/>
        <w:jc w:val="both"/>
        <w:rPr>
          <w:rFonts w:cs="Arial"/>
          <w:szCs w:val="20"/>
        </w:rPr>
      </w:pPr>
      <w:r w:rsidRPr="004D7B71">
        <w:rPr>
          <w:rFonts w:cs="Arial"/>
          <w:szCs w:val="20"/>
        </w:rPr>
        <w:t xml:space="preserve">της Συμφωνίας Εταιρικής Σχέσης της Ελλάδας με την Ευρωπαϊκή Επιτροπή 2021 - 2027, </w:t>
      </w:r>
    </w:p>
    <w:p w14:paraId="6DBB3AD4" w14:textId="77777777" w:rsidR="004D7B71" w:rsidRPr="004D7B71" w:rsidRDefault="004D7B71" w:rsidP="004D7B71">
      <w:pPr>
        <w:numPr>
          <w:ilvl w:val="0"/>
          <w:numId w:val="1"/>
        </w:numPr>
        <w:spacing w:before="60" w:after="120" w:line="300" w:lineRule="auto"/>
        <w:ind w:left="568" w:hanging="284"/>
        <w:jc w:val="both"/>
        <w:rPr>
          <w:rFonts w:cs="Arial"/>
          <w:szCs w:val="20"/>
        </w:rPr>
      </w:pPr>
      <w:r w:rsidRPr="004D7B71">
        <w:rPr>
          <w:rFonts w:cs="Arial"/>
          <w:szCs w:val="20"/>
        </w:rPr>
        <w:t>του Εθνικού Προγράμματος Ανάπτυξης (ΕΠΑ).</w:t>
      </w:r>
    </w:p>
    <w:p w14:paraId="7F9752FB" w14:textId="47BF047B" w:rsidR="00F167A7" w:rsidRPr="00C558E9" w:rsidRDefault="00F167A7" w:rsidP="00F167A7">
      <w:pPr>
        <w:spacing w:after="240"/>
        <w:jc w:val="both"/>
      </w:pPr>
      <w:r w:rsidRPr="00C558E9">
        <w:t>Στον παρακάτω</w:t>
      </w:r>
      <w:r w:rsidRPr="006E49C0">
        <w:t xml:space="preserve"> </w:t>
      </w:r>
      <w:r w:rsidRPr="002776DA">
        <w:t>πίνακ</w:t>
      </w:r>
      <w:r>
        <w:t xml:space="preserve">α </w:t>
      </w:r>
      <w:r w:rsidRPr="002776DA">
        <w:t>παρουσιάζονται</w:t>
      </w:r>
      <w:r w:rsidRPr="006E49C0">
        <w:t xml:space="preserve"> η διαχρονική εξέλιξη του προϋπολογισμού</w:t>
      </w:r>
      <w:r w:rsidRPr="00864051">
        <w:t xml:space="preserve"> δημοσίων επενδύσεων</w:t>
      </w:r>
      <w:r w:rsidRPr="00C558E9">
        <w:t xml:space="preserve"> από το 2014 έως το 2025</w:t>
      </w:r>
      <w:r>
        <w:t xml:space="preserve"> </w:t>
      </w:r>
      <w:r w:rsidRPr="00C558E9">
        <w:t xml:space="preserve">και η ποσοστιαία </w:t>
      </w:r>
      <w:r>
        <w:t xml:space="preserve">αναλογία </w:t>
      </w:r>
      <w:r w:rsidRPr="00C558E9">
        <w:t>του στο ΑΕΠ της χώρας.</w:t>
      </w:r>
    </w:p>
    <w:tbl>
      <w:tblPr>
        <w:tblW w:w="7978" w:type="dxa"/>
        <w:jc w:val="center"/>
        <w:tblLook w:val="04A0" w:firstRow="1" w:lastRow="0" w:firstColumn="1" w:lastColumn="0" w:noHBand="0" w:noVBand="1"/>
      </w:tblPr>
      <w:tblGrid>
        <w:gridCol w:w="996"/>
        <w:gridCol w:w="996"/>
        <w:gridCol w:w="996"/>
        <w:gridCol w:w="996"/>
        <w:gridCol w:w="996"/>
        <w:gridCol w:w="996"/>
        <w:gridCol w:w="996"/>
        <w:gridCol w:w="996"/>
        <w:gridCol w:w="10"/>
      </w:tblGrid>
      <w:tr w:rsidR="00F167A7" w:rsidRPr="00644AEE" w14:paraId="4CDF9952" w14:textId="77777777" w:rsidTr="00503F86">
        <w:trPr>
          <w:cantSplit/>
          <w:trHeight w:val="525"/>
          <w:jc w:val="center"/>
        </w:trPr>
        <w:tc>
          <w:tcPr>
            <w:tcW w:w="7978" w:type="dxa"/>
            <w:gridSpan w:val="9"/>
            <w:tcBorders>
              <w:top w:val="single" w:sz="8" w:space="0" w:color="808080"/>
              <w:left w:val="single" w:sz="8" w:space="0" w:color="808080"/>
              <w:bottom w:val="nil"/>
              <w:right w:val="single" w:sz="8" w:space="0" w:color="808080"/>
            </w:tcBorders>
            <w:shd w:val="clear" w:color="auto" w:fill="D5DCE4"/>
            <w:vAlign w:val="center"/>
            <w:hideMark/>
          </w:tcPr>
          <w:p w14:paraId="32875879" w14:textId="4F4E392A" w:rsidR="00F167A7" w:rsidRDefault="00F167A7" w:rsidP="006A71D3">
            <w:pPr>
              <w:spacing w:after="0"/>
              <w:jc w:val="center"/>
              <w:rPr>
                <w:rFonts w:cs="Arial"/>
                <w:b/>
                <w:bCs/>
                <w:color w:val="000000"/>
                <w:sz w:val="18"/>
                <w:szCs w:val="18"/>
              </w:rPr>
            </w:pPr>
            <w:bookmarkStart w:id="11" w:name="_Toc182928042"/>
            <w:r w:rsidRPr="00644AEE">
              <w:rPr>
                <w:rFonts w:cs="Arial"/>
                <w:b/>
                <w:bCs/>
                <w:color w:val="000000"/>
                <w:sz w:val="18"/>
                <w:szCs w:val="18"/>
              </w:rPr>
              <w:t>Διαχρονική εξέλιξη δαπανών</w:t>
            </w:r>
            <w:bookmarkEnd w:id="11"/>
            <w:r w:rsidRPr="00644AEE">
              <w:rPr>
                <w:rFonts w:cs="Arial"/>
                <w:b/>
                <w:bCs/>
                <w:color w:val="000000"/>
                <w:sz w:val="18"/>
                <w:szCs w:val="18"/>
              </w:rPr>
              <w:t xml:space="preserve"> </w:t>
            </w:r>
          </w:p>
          <w:p w14:paraId="0D59E62A" w14:textId="77777777" w:rsidR="00F167A7" w:rsidRPr="00644AEE" w:rsidRDefault="00F167A7" w:rsidP="006A71D3">
            <w:pPr>
              <w:spacing w:after="0"/>
              <w:jc w:val="center"/>
              <w:rPr>
                <w:rFonts w:cs="Arial"/>
                <w:b/>
                <w:bCs/>
                <w:color w:val="000000"/>
                <w:sz w:val="18"/>
                <w:szCs w:val="18"/>
              </w:rPr>
            </w:pPr>
            <w:r w:rsidRPr="00644AEE">
              <w:rPr>
                <w:rFonts w:cs="Arial"/>
                <w:b/>
                <w:bCs/>
                <w:color w:val="000000"/>
                <w:sz w:val="18"/>
                <w:szCs w:val="18"/>
              </w:rPr>
              <w:t xml:space="preserve">προϋπολογισμού δημοσίων επενδύσεων 2014 </w:t>
            </w:r>
            <w:r>
              <w:rPr>
                <w:rFonts w:cs="Arial"/>
                <w:b/>
                <w:bCs/>
                <w:color w:val="000000"/>
                <w:sz w:val="18"/>
                <w:szCs w:val="18"/>
              </w:rPr>
              <w:t>-</w:t>
            </w:r>
            <w:r w:rsidRPr="00644AEE">
              <w:rPr>
                <w:rFonts w:cs="Arial"/>
                <w:b/>
                <w:bCs/>
                <w:color w:val="000000"/>
                <w:sz w:val="18"/>
                <w:szCs w:val="18"/>
              </w:rPr>
              <w:t xml:space="preserve"> 2025</w:t>
            </w:r>
            <w:r>
              <w:rPr>
                <w:rFonts w:cs="Arial"/>
                <w:b/>
                <w:bCs/>
                <w:color w:val="000000"/>
                <w:sz w:val="18"/>
                <w:szCs w:val="18"/>
              </w:rPr>
              <w:t xml:space="preserve"> </w:t>
            </w:r>
            <w:r w:rsidRPr="00644AEE">
              <w:rPr>
                <w:rFonts w:cs="Arial"/>
                <w:b/>
                <w:bCs/>
                <w:color w:val="000000"/>
                <w:sz w:val="18"/>
                <w:szCs w:val="18"/>
              </w:rPr>
              <w:t>(σε εκατ. ευρώ)</w:t>
            </w:r>
          </w:p>
        </w:tc>
      </w:tr>
      <w:tr w:rsidR="00F167A7" w:rsidRPr="00644AEE" w14:paraId="46BA561D" w14:textId="77777777" w:rsidTr="00503F86">
        <w:trPr>
          <w:cantSplit/>
          <w:jc w:val="center"/>
        </w:trPr>
        <w:tc>
          <w:tcPr>
            <w:tcW w:w="7978" w:type="dxa"/>
            <w:gridSpan w:val="9"/>
            <w:tcBorders>
              <w:top w:val="nil"/>
              <w:left w:val="single" w:sz="8" w:space="0" w:color="808080"/>
              <w:bottom w:val="single" w:sz="8" w:space="0" w:color="808080"/>
              <w:right w:val="single" w:sz="8" w:space="0" w:color="808080"/>
            </w:tcBorders>
            <w:shd w:val="clear" w:color="auto" w:fill="D5DCE4"/>
            <w:vAlign w:val="center"/>
            <w:hideMark/>
          </w:tcPr>
          <w:p w14:paraId="3909C43E" w14:textId="77777777" w:rsidR="00F167A7" w:rsidRPr="00644AEE" w:rsidRDefault="00F167A7" w:rsidP="006A71D3">
            <w:pPr>
              <w:spacing w:after="0"/>
              <w:jc w:val="center"/>
              <w:rPr>
                <w:rFonts w:cs="Arial"/>
                <w:b/>
                <w:bCs/>
                <w:color w:val="000000"/>
                <w:sz w:val="18"/>
                <w:szCs w:val="18"/>
              </w:rPr>
            </w:pPr>
          </w:p>
        </w:tc>
      </w:tr>
      <w:tr w:rsidR="00503F86" w:rsidRPr="00644AEE" w14:paraId="2815787D" w14:textId="77777777" w:rsidTr="00503F86">
        <w:trPr>
          <w:gridAfter w:val="1"/>
          <w:wAfter w:w="10" w:type="dxa"/>
          <w:cantSplit/>
          <w:trHeight w:val="226"/>
          <w:jc w:val="center"/>
        </w:trPr>
        <w:tc>
          <w:tcPr>
            <w:tcW w:w="996" w:type="dxa"/>
            <w:vMerge w:val="restart"/>
            <w:tcBorders>
              <w:top w:val="nil"/>
              <w:left w:val="single" w:sz="8" w:space="0" w:color="808080"/>
              <w:bottom w:val="single" w:sz="8" w:space="0" w:color="808080"/>
              <w:right w:val="nil"/>
            </w:tcBorders>
            <w:shd w:val="clear" w:color="auto" w:fill="F2F2F2" w:themeFill="background1" w:themeFillShade="F2"/>
            <w:vAlign w:val="center"/>
            <w:hideMark/>
          </w:tcPr>
          <w:p w14:paraId="75867D55"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Έτη</w:t>
            </w:r>
          </w:p>
        </w:tc>
        <w:tc>
          <w:tcPr>
            <w:tcW w:w="996" w:type="dxa"/>
            <w:vMerge w:val="restart"/>
            <w:tcBorders>
              <w:top w:val="nil"/>
              <w:left w:val="nil"/>
              <w:bottom w:val="single" w:sz="8" w:space="0" w:color="808080"/>
              <w:right w:val="nil"/>
            </w:tcBorders>
            <w:shd w:val="clear" w:color="auto" w:fill="F2F2F2" w:themeFill="background1" w:themeFillShade="F2"/>
            <w:vAlign w:val="center"/>
            <w:hideMark/>
          </w:tcPr>
          <w:p w14:paraId="43832E2C"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Εθνικό</w:t>
            </w:r>
          </w:p>
        </w:tc>
        <w:tc>
          <w:tcPr>
            <w:tcW w:w="996" w:type="dxa"/>
            <w:vMerge w:val="restart"/>
            <w:tcBorders>
              <w:top w:val="nil"/>
              <w:left w:val="nil"/>
              <w:bottom w:val="single" w:sz="8" w:space="0" w:color="808080"/>
              <w:right w:val="nil"/>
            </w:tcBorders>
            <w:shd w:val="clear" w:color="auto" w:fill="F2F2F2" w:themeFill="background1" w:themeFillShade="F2"/>
            <w:vAlign w:val="center"/>
            <w:hideMark/>
          </w:tcPr>
          <w:p w14:paraId="1A8F3769" w14:textId="77777777" w:rsidR="00F167A7" w:rsidRPr="00644AEE" w:rsidRDefault="00F167A7" w:rsidP="006A71D3">
            <w:pPr>
              <w:spacing w:after="0"/>
              <w:jc w:val="center"/>
              <w:rPr>
                <w:rFonts w:cs="Arial"/>
                <w:color w:val="000000"/>
                <w:sz w:val="16"/>
                <w:szCs w:val="16"/>
              </w:rPr>
            </w:pPr>
            <w:proofErr w:type="spellStart"/>
            <w:r w:rsidRPr="00644AEE">
              <w:rPr>
                <w:rFonts w:cs="Arial"/>
                <w:color w:val="000000"/>
                <w:sz w:val="16"/>
                <w:szCs w:val="16"/>
              </w:rPr>
              <w:t>Συγχρ</w:t>
            </w:r>
            <w:proofErr w:type="spellEnd"/>
            <w:r w:rsidRPr="00644AEE">
              <w:rPr>
                <w:rFonts w:cs="Arial"/>
                <w:color w:val="000000"/>
                <w:sz w:val="16"/>
                <w:szCs w:val="16"/>
              </w:rPr>
              <w:t>/</w:t>
            </w:r>
            <w:proofErr w:type="spellStart"/>
            <w:r w:rsidRPr="00644AEE">
              <w:rPr>
                <w:rFonts w:cs="Arial"/>
                <w:color w:val="000000"/>
                <w:sz w:val="16"/>
                <w:szCs w:val="16"/>
              </w:rPr>
              <w:t>νο</w:t>
            </w:r>
            <w:proofErr w:type="spellEnd"/>
          </w:p>
        </w:tc>
        <w:tc>
          <w:tcPr>
            <w:tcW w:w="996" w:type="dxa"/>
            <w:vMerge w:val="restart"/>
            <w:tcBorders>
              <w:top w:val="nil"/>
              <w:left w:val="nil"/>
              <w:bottom w:val="single" w:sz="8" w:space="0" w:color="808080"/>
              <w:right w:val="nil"/>
            </w:tcBorders>
            <w:shd w:val="clear" w:color="auto" w:fill="F2F2F2" w:themeFill="background1" w:themeFillShade="F2"/>
            <w:vAlign w:val="center"/>
            <w:hideMark/>
          </w:tcPr>
          <w:p w14:paraId="034D806E"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ΤΑΑ</w:t>
            </w:r>
          </w:p>
        </w:tc>
        <w:tc>
          <w:tcPr>
            <w:tcW w:w="996" w:type="dxa"/>
            <w:vMerge w:val="restart"/>
            <w:tcBorders>
              <w:top w:val="nil"/>
              <w:left w:val="nil"/>
              <w:bottom w:val="single" w:sz="8" w:space="0" w:color="808080"/>
              <w:right w:val="nil"/>
            </w:tcBorders>
            <w:shd w:val="clear" w:color="auto" w:fill="F2F2F2" w:themeFill="background1" w:themeFillShade="F2"/>
            <w:vAlign w:val="center"/>
            <w:hideMark/>
          </w:tcPr>
          <w:p w14:paraId="4F44A1CD"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Σύνολο</w:t>
            </w:r>
          </w:p>
        </w:tc>
        <w:tc>
          <w:tcPr>
            <w:tcW w:w="996" w:type="dxa"/>
            <w:tcBorders>
              <w:top w:val="nil"/>
              <w:left w:val="nil"/>
              <w:bottom w:val="nil"/>
              <w:right w:val="nil"/>
            </w:tcBorders>
            <w:shd w:val="clear" w:color="auto" w:fill="F2F2F2" w:themeFill="background1" w:themeFillShade="F2"/>
            <w:vAlign w:val="center"/>
            <w:hideMark/>
          </w:tcPr>
          <w:p w14:paraId="170004E7"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Ετήσια</w:t>
            </w:r>
          </w:p>
        </w:tc>
        <w:tc>
          <w:tcPr>
            <w:tcW w:w="996" w:type="dxa"/>
            <w:vMerge w:val="restart"/>
            <w:tcBorders>
              <w:top w:val="nil"/>
              <w:left w:val="nil"/>
              <w:bottom w:val="single" w:sz="8" w:space="0" w:color="808080"/>
              <w:right w:val="nil"/>
            </w:tcBorders>
            <w:shd w:val="clear" w:color="auto" w:fill="F2F2F2" w:themeFill="background1" w:themeFillShade="F2"/>
            <w:vAlign w:val="center"/>
            <w:hideMark/>
          </w:tcPr>
          <w:p w14:paraId="76C8CAB6"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ΑΕΠ</w:t>
            </w:r>
          </w:p>
        </w:tc>
        <w:tc>
          <w:tcPr>
            <w:tcW w:w="996" w:type="dxa"/>
            <w:tcBorders>
              <w:top w:val="nil"/>
              <w:left w:val="nil"/>
              <w:bottom w:val="nil"/>
              <w:right w:val="single" w:sz="8" w:space="0" w:color="808080"/>
            </w:tcBorders>
            <w:shd w:val="clear" w:color="auto" w:fill="F2F2F2" w:themeFill="background1" w:themeFillShade="F2"/>
            <w:vAlign w:val="center"/>
            <w:hideMark/>
          </w:tcPr>
          <w:p w14:paraId="10159C2F"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Σύνολο</w:t>
            </w:r>
          </w:p>
        </w:tc>
      </w:tr>
      <w:tr w:rsidR="00503F86" w:rsidRPr="00644AEE" w14:paraId="792529C2" w14:textId="77777777" w:rsidTr="00503F86">
        <w:trPr>
          <w:gridAfter w:val="1"/>
          <w:wAfter w:w="10" w:type="dxa"/>
          <w:cantSplit/>
          <w:trHeight w:val="147"/>
          <w:jc w:val="center"/>
        </w:trPr>
        <w:tc>
          <w:tcPr>
            <w:tcW w:w="996" w:type="dxa"/>
            <w:vMerge/>
            <w:tcBorders>
              <w:top w:val="nil"/>
              <w:left w:val="single" w:sz="8" w:space="0" w:color="808080"/>
              <w:bottom w:val="single" w:sz="8" w:space="0" w:color="808080"/>
              <w:right w:val="nil"/>
            </w:tcBorders>
            <w:shd w:val="clear" w:color="auto" w:fill="F2F2F2" w:themeFill="background1" w:themeFillShade="F2"/>
            <w:vAlign w:val="center"/>
            <w:hideMark/>
          </w:tcPr>
          <w:p w14:paraId="5ABC1CD7" w14:textId="77777777" w:rsidR="00F167A7" w:rsidRPr="00644AEE" w:rsidRDefault="00F167A7" w:rsidP="006A71D3">
            <w:pPr>
              <w:spacing w:after="0"/>
              <w:rPr>
                <w:rFonts w:cs="Arial"/>
                <w:color w:val="000000"/>
                <w:sz w:val="16"/>
                <w:szCs w:val="16"/>
              </w:rPr>
            </w:pP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7DAB3E3E" w14:textId="77777777" w:rsidR="00F167A7" w:rsidRPr="00644AEE" w:rsidRDefault="00F167A7" w:rsidP="006A71D3">
            <w:pPr>
              <w:spacing w:after="0"/>
              <w:rPr>
                <w:rFonts w:cs="Arial"/>
                <w:color w:val="000000"/>
                <w:sz w:val="16"/>
                <w:szCs w:val="16"/>
              </w:rPr>
            </w:pP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2D7FBE12" w14:textId="77777777" w:rsidR="00F167A7" w:rsidRPr="00644AEE" w:rsidRDefault="00F167A7" w:rsidP="006A71D3">
            <w:pPr>
              <w:spacing w:after="0"/>
              <w:rPr>
                <w:rFonts w:cs="Arial"/>
                <w:color w:val="000000"/>
                <w:sz w:val="16"/>
                <w:szCs w:val="16"/>
              </w:rPr>
            </w:pP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18AB8199" w14:textId="77777777" w:rsidR="00F167A7" w:rsidRPr="00644AEE" w:rsidRDefault="00F167A7" w:rsidP="006A71D3">
            <w:pPr>
              <w:spacing w:after="0"/>
              <w:rPr>
                <w:rFonts w:cs="Arial"/>
                <w:color w:val="000000"/>
                <w:sz w:val="16"/>
                <w:szCs w:val="16"/>
              </w:rPr>
            </w:pP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069781E2" w14:textId="77777777" w:rsidR="00F167A7" w:rsidRPr="00644AEE" w:rsidRDefault="00F167A7" w:rsidP="006A71D3">
            <w:pPr>
              <w:spacing w:after="0"/>
              <w:rPr>
                <w:rFonts w:cs="Arial"/>
                <w:color w:val="000000"/>
                <w:sz w:val="16"/>
                <w:szCs w:val="16"/>
              </w:rPr>
            </w:pPr>
          </w:p>
        </w:tc>
        <w:tc>
          <w:tcPr>
            <w:tcW w:w="996" w:type="dxa"/>
            <w:tcBorders>
              <w:top w:val="nil"/>
              <w:left w:val="nil"/>
              <w:bottom w:val="nil"/>
              <w:right w:val="nil"/>
            </w:tcBorders>
            <w:shd w:val="clear" w:color="auto" w:fill="F2F2F2" w:themeFill="background1" w:themeFillShade="F2"/>
            <w:vAlign w:val="center"/>
            <w:hideMark/>
          </w:tcPr>
          <w:p w14:paraId="7D5E7086"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Μεταβολή</w:t>
            </w: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2B0FB214" w14:textId="77777777" w:rsidR="00F167A7" w:rsidRPr="00644AEE" w:rsidRDefault="00F167A7" w:rsidP="006A71D3">
            <w:pPr>
              <w:spacing w:after="0"/>
              <w:rPr>
                <w:rFonts w:cs="Arial"/>
                <w:color w:val="000000"/>
                <w:sz w:val="16"/>
                <w:szCs w:val="16"/>
              </w:rPr>
            </w:pPr>
          </w:p>
        </w:tc>
        <w:tc>
          <w:tcPr>
            <w:tcW w:w="996" w:type="dxa"/>
            <w:tcBorders>
              <w:top w:val="nil"/>
              <w:left w:val="nil"/>
              <w:bottom w:val="nil"/>
              <w:right w:val="single" w:sz="8" w:space="0" w:color="808080"/>
            </w:tcBorders>
            <w:shd w:val="clear" w:color="auto" w:fill="F2F2F2" w:themeFill="background1" w:themeFillShade="F2"/>
            <w:vAlign w:val="center"/>
            <w:hideMark/>
          </w:tcPr>
          <w:p w14:paraId="142F643D"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 xml:space="preserve">% ΑΕΠ </w:t>
            </w:r>
          </w:p>
        </w:tc>
      </w:tr>
      <w:tr w:rsidR="00503F86" w:rsidRPr="00644AEE" w14:paraId="1707204E" w14:textId="77777777" w:rsidTr="00503F86">
        <w:trPr>
          <w:gridAfter w:val="1"/>
          <w:wAfter w:w="10" w:type="dxa"/>
          <w:cantSplit/>
          <w:trHeight w:val="147"/>
          <w:jc w:val="center"/>
        </w:trPr>
        <w:tc>
          <w:tcPr>
            <w:tcW w:w="996" w:type="dxa"/>
            <w:vMerge/>
            <w:tcBorders>
              <w:top w:val="nil"/>
              <w:left w:val="single" w:sz="8" w:space="0" w:color="808080"/>
              <w:bottom w:val="single" w:sz="8" w:space="0" w:color="808080"/>
              <w:right w:val="nil"/>
            </w:tcBorders>
            <w:shd w:val="clear" w:color="auto" w:fill="F2F2F2" w:themeFill="background1" w:themeFillShade="F2"/>
            <w:vAlign w:val="center"/>
            <w:hideMark/>
          </w:tcPr>
          <w:p w14:paraId="21C0011F" w14:textId="77777777" w:rsidR="00F167A7" w:rsidRPr="00644AEE" w:rsidRDefault="00F167A7" w:rsidP="006A71D3">
            <w:pPr>
              <w:spacing w:after="0"/>
              <w:rPr>
                <w:rFonts w:cs="Arial"/>
                <w:color w:val="000000"/>
                <w:sz w:val="16"/>
                <w:szCs w:val="16"/>
              </w:rPr>
            </w:pP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5DF7CFA9" w14:textId="77777777" w:rsidR="00F167A7" w:rsidRPr="00644AEE" w:rsidRDefault="00F167A7" w:rsidP="006A71D3">
            <w:pPr>
              <w:spacing w:after="0"/>
              <w:rPr>
                <w:rFonts w:cs="Arial"/>
                <w:color w:val="000000"/>
                <w:sz w:val="16"/>
                <w:szCs w:val="16"/>
              </w:rPr>
            </w:pP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06E67897" w14:textId="77777777" w:rsidR="00F167A7" w:rsidRPr="00644AEE" w:rsidRDefault="00F167A7" w:rsidP="006A71D3">
            <w:pPr>
              <w:spacing w:after="0"/>
              <w:rPr>
                <w:rFonts w:cs="Arial"/>
                <w:color w:val="000000"/>
                <w:sz w:val="16"/>
                <w:szCs w:val="16"/>
              </w:rPr>
            </w:pP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52ACE570" w14:textId="77777777" w:rsidR="00F167A7" w:rsidRPr="00644AEE" w:rsidRDefault="00F167A7" w:rsidP="006A71D3">
            <w:pPr>
              <w:spacing w:after="0"/>
              <w:rPr>
                <w:rFonts w:cs="Arial"/>
                <w:color w:val="000000"/>
                <w:sz w:val="16"/>
                <w:szCs w:val="16"/>
              </w:rPr>
            </w:pP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4DEAD673" w14:textId="77777777" w:rsidR="00F167A7" w:rsidRPr="00644AEE" w:rsidRDefault="00F167A7" w:rsidP="006A71D3">
            <w:pPr>
              <w:spacing w:after="0"/>
              <w:rPr>
                <w:rFonts w:cs="Arial"/>
                <w:color w:val="000000"/>
                <w:sz w:val="16"/>
                <w:szCs w:val="16"/>
              </w:rPr>
            </w:pPr>
          </w:p>
        </w:tc>
        <w:tc>
          <w:tcPr>
            <w:tcW w:w="996" w:type="dxa"/>
            <w:tcBorders>
              <w:top w:val="nil"/>
              <w:left w:val="nil"/>
              <w:bottom w:val="single" w:sz="8" w:space="0" w:color="808080"/>
              <w:right w:val="nil"/>
            </w:tcBorders>
            <w:shd w:val="clear" w:color="auto" w:fill="F2F2F2" w:themeFill="background1" w:themeFillShade="F2"/>
            <w:vAlign w:val="center"/>
            <w:hideMark/>
          </w:tcPr>
          <w:p w14:paraId="4531CEAC"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w:t>
            </w:r>
          </w:p>
        </w:tc>
        <w:tc>
          <w:tcPr>
            <w:tcW w:w="996" w:type="dxa"/>
            <w:vMerge/>
            <w:tcBorders>
              <w:top w:val="nil"/>
              <w:left w:val="nil"/>
              <w:bottom w:val="single" w:sz="8" w:space="0" w:color="808080"/>
              <w:right w:val="nil"/>
            </w:tcBorders>
            <w:shd w:val="clear" w:color="auto" w:fill="F2F2F2" w:themeFill="background1" w:themeFillShade="F2"/>
            <w:vAlign w:val="center"/>
            <w:hideMark/>
          </w:tcPr>
          <w:p w14:paraId="22D26E9C" w14:textId="77777777" w:rsidR="00F167A7" w:rsidRPr="00644AEE" w:rsidRDefault="00F167A7" w:rsidP="006A71D3">
            <w:pPr>
              <w:spacing w:after="0"/>
              <w:rPr>
                <w:rFonts w:cs="Arial"/>
                <w:color w:val="000000"/>
                <w:sz w:val="16"/>
                <w:szCs w:val="16"/>
              </w:rPr>
            </w:pPr>
          </w:p>
        </w:tc>
        <w:tc>
          <w:tcPr>
            <w:tcW w:w="996" w:type="dxa"/>
            <w:tcBorders>
              <w:top w:val="nil"/>
              <w:left w:val="nil"/>
              <w:bottom w:val="single" w:sz="8" w:space="0" w:color="808080"/>
              <w:right w:val="single" w:sz="8" w:space="0" w:color="808080"/>
            </w:tcBorders>
            <w:shd w:val="clear" w:color="auto" w:fill="F2F2F2" w:themeFill="background1" w:themeFillShade="F2"/>
            <w:vAlign w:val="center"/>
            <w:hideMark/>
          </w:tcPr>
          <w:p w14:paraId="7DEA0D24" w14:textId="77777777" w:rsidR="00F167A7" w:rsidRPr="00644AEE" w:rsidRDefault="00F167A7" w:rsidP="006A71D3">
            <w:pPr>
              <w:spacing w:after="0"/>
              <w:rPr>
                <w:rFonts w:ascii="Calibri" w:hAnsi="Calibri" w:cs="Calibri"/>
                <w:color w:val="000000"/>
              </w:rPr>
            </w:pPr>
            <w:r w:rsidRPr="00644AEE">
              <w:rPr>
                <w:rFonts w:ascii="Calibri" w:hAnsi="Calibri" w:cs="Calibri"/>
                <w:color w:val="000000"/>
              </w:rPr>
              <w:t> </w:t>
            </w:r>
          </w:p>
        </w:tc>
      </w:tr>
      <w:tr w:rsidR="00F167A7" w:rsidRPr="00644AEE" w14:paraId="07200E33" w14:textId="77777777" w:rsidTr="00503F86">
        <w:trPr>
          <w:gridAfter w:val="1"/>
          <w:wAfter w:w="10" w:type="dxa"/>
          <w:cantSplit/>
          <w:trHeight w:val="236"/>
          <w:jc w:val="center"/>
        </w:trPr>
        <w:tc>
          <w:tcPr>
            <w:tcW w:w="996" w:type="dxa"/>
            <w:tcBorders>
              <w:top w:val="nil"/>
              <w:left w:val="single" w:sz="8" w:space="0" w:color="808080"/>
              <w:bottom w:val="nil"/>
              <w:right w:val="nil"/>
            </w:tcBorders>
            <w:shd w:val="clear" w:color="auto" w:fill="auto"/>
            <w:vAlign w:val="center"/>
            <w:hideMark/>
          </w:tcPr>
          <w:p w14:paraId="076F1E7D"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2014</w:t>
            </w:r>
          </w:p>
        </w:tc>
        <w:tc>
          <w:tcPr>
            <w:tcW w:w="996" w:type="dxa"/>
            <w:tcBorders>
              <w:top w:val="nil"/>
              <w:left w:val="nil"/>
              <w:bottom w:val="nil"/>
              <w:right w:val="nil"/>
            </w:tcBorders>
            <w:shd w:val="clear" w:color="auto" w:fill="auto"/>
            <w:vAlign w:val="center"/>
            <w:hideMark/>
          </w:tcPr>
          <w:p w14:paraId="4CF16632"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704</w:t>
            </w:r>
          </w:p>
        </w:tc>
        <w:tc>
          <w:tcPr>
            <w:tcW w:w="996" w:type="dxa"/>
            <w:tcBorders>
              <w:top w:val="nil"/>
              <w:left w:val="nil"/>
              <w:bottom w:val="nil"/>
              <w:right w:val="nil"/>
            </w:tcBorders>
            <w:shd w:val="clear" w:color="auto" w:fill="auto"/>
            <w:vAlign w:val="center"/>
            <w:hideMark/>
          </w:tcPr>
          <w:p w14:paraId="63EA5C43"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5</w:t>
            </w:r>
            <w:r>
              <w:rPr>
                <w:rFonts w:cs="Arial"/>
                <w:color w:val="000000"/>
                <w:sz w:val="16"/>
                <w:szCs w:val="16"/>
              </w:rPr>
              <w:t>.</w:t>
            </w:r>
            <w:r w:rsidRPr="00644AEE">
              <w:rPr>
                <w:rFonts w:cs="Arial"/>
                <w:color w:val="000000"/>
                <w:sz w:val="16"/>
                <w:szCs w:val="16"/>
              </w:rPr>
              <w:t>888</w:t>
            </w:r>
          </w:p>
        </w:tc>
        <w:tc>
          <w:tcPr>
            <w:tcW w:w="996" w:type="dxa"/>
            <w:tcBorders>
              <w:top w:val="nil"/>
              <w:left w:val="nil"/>
              <w:bottom w:val="nil"/>
              <w:right w:val="nil"/>
            </w:tcBorders>
            <w:shd w:val="clear" w:color="auto" w:fill="auto"/>
            <w:vAlign w:val="center"/>
            <w:hideMark/>
          </w:tcPr>
          <w:p w14:paraId="30E256D9" w14:textId="77777777" w:rsidR="00F167A7" w:rsidRPr="00644AEE" w:rsidRDefault="00F167A7" w:rsidP="006A71D3">
            <w:pPr>
              <w:spacing w:after="0"/>
              <w:jc w:val="right"/>
              <w:rPr>
                <w:rFonts w:cs="Arial"/>
                <w:color w:val="000000"/>
                <w:sz w:val="16"/>
                <w:szCs w:val="16"/>
              </w:rPr>
            </w:pPr>
          </w:p>
        </w:tc>
        <w:tc>
          <w:tcPr>
            <w:tcW w:w="996" w:type="dxa"/>
            <w:tcBorders>
              <w:top w:val="nil"/>
              <w:left w:val="nil"/>
              <w:bottom w:val="nil"/>
              <w:right w:val="nil"/>
            </w:tcBorders>
            <w:shd w:val="clear" w:color="auto" w:fill="auto"/>
            <w:vAlign w:val="center"/>
            <w:hideMark/>
          </w:tcPr>
          <w:p w14:paraId="762A9ADF"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6.592</w:t>
            </w:r>
          </w:p>
        </w:tc>
        <w:tc>
          <w:tcPr>
            <w:tcW w:w="996" w:type="dxa"/>
            <w:tcBorders>
              <w:top w:val="nil"/>
              <w:left w:val="nil"/>
              <w:bottom w:val="nil"/>
              <w:right w:val="nil"/>
            </w:tcBorders>
            <w:shd w:val="clear" w:color="auto" w:fill="auto"/>
            <w:vAlign w:val="center"/>
            <w:hideMark/>
          </w:tcPr>
          <w:p w14:paraId="5B844742"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-0,88</w:t>
            </w:r>
          </w:p>
        </w:tc>
        <w:tc>
          <w:tcPr>
            <w:tcW w:w="996" w:type="dxa"/>
            <w:tcBorders>
              <w:top w:val="nil"/>
              <w:left w:val="nil"/>
              <w:bottom w:val="nil"/>
              <w:right w:val="nil"/>
            </w:tcBorders>
            <w:shd w:val="clear" w:color="auto" w:fill="auto"/>
            <w:vAlign w:val="center"/>
          </w:tcPr>
          <w:p w14:paraId="7CAE9EB1"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176.072</w:t>
            </w:r>
          </w:p>
        </w:tc>
        <w:tc>
          <w:tcPr>
            <w:tcW w:w="996" w:type="dxa"/>
            <w:tcBorders>
              <w:top w:val="nil"/>
              <w:left w:val="nil"/>
              <w:bottom w:val="nil"/>
              <w:right w:val="single" w:sz="8" w:space="0" w:color="808080"/>
            </w:tcBorders>
            <w:shd w:val="clear" w:color="auto" w:fill="auto"/>
            <w:vAlign w:val="center"/>
          </w:tcPr>
          <w:p w14:paraId="520AE5D5"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3,74</w:t>
            </w:r>
          </w:p>
        </w:tc>
      </w:tr>
      <w:tr w:rsidR="00F167A7" w:rsidRPr="00644AEE" w14:paraId="03B3FA17" w14:textId="77777777" w:rsidTr="00503F86">
        <w:trPr>
          <w:gridAfter w:val="1"/>
          <w:wAfter w:w="10" w:type="dxa"/>
          <w:cantSplit/>
          <w:trHeight w:val="226"/>
          <w:jc w:val="center"/>
        </w:trPr>
        <w:tc>
          <w:tcPr>
            <w:tcW w:w="996" w:type="dxa"/>
            <w:tcBorders>
              <w:top w:val="nil"/>
              <w:left w:val="single" w:sz="8" w:space="0" w:color="808080"/>
              <w:bottom w:val="nil"/>
              <w:right w:val="nil"/>
            </w:tcBorders>
            <w:shd w:val="clear" w:color="auto" w:fill="auto"/>
            <w:vAlign w:val="center"/>
            <w:hideMark/>
          </w:tcPr>
          <w:p w14:paraId="73CD6AA1"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2015</w:t>
            </w:r>
          </w:p>
        </w:tc>
        <w:tc>
          <w:tcPr>
            <w:tcW w:w="996" w:type="dxa"/>
            <w:tcBorders>
              <w:top w:val="nil"/>
              <w:left w:val="nil"/>
              <w:bottom w:val="nil"/>
              <w:right w:val="nil"/>
            </w:tcBorders>
            <w:shd w:val="clear" w:color="auto" w:fill="auto"/>
            <w:vAlign w:val="center"/>
            <w:hideMark/>
          </w:tcPr>
          <w:p w14:paraId="2A8093DB"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660</w:t>
            </w:r>
          </w:p>
        </w:tc>
        <w:tc>
          <w:tcPr>
            <w:tcW w:w="996" w:type="dxa"/>
            <w:tcBorders>
              <w:top w:val="nil"/>
              <w:left w:val="nil"/>
              <w:bottom w:val="nil"/>
              <w:right w:val="nil"/>
            </w:tcBorders>
            <w:shd w:val="clear" w:color="auto" w:fill="auto"/>
            <w:vAlign w:val="center"/>
            <w:hideMark/>
          </w:tcPr>
          <w:p w14:paraId="21B50BA8"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5</w:t>
            </w:r>
            <w:r>
              <w:rPr>
                <w:rFonts w:cs="Arial"/>
                <w:color w:val="000000"/>
                <w:sz w:val="16"/>
                <w:szCs w:val="16"/>
              </w:rPr>
              <w:t>.</w:t>
            </w:r>
            <w:r w:rsidRPr="00644AEE">
              <w:rPr>
                <w:rFonts w:cs="Arial"/>
                <w:color w:val="000000"/>
                <w:sz w:val="16"/>
                <w:szCs w:val="16"/>
              </w:rPr>
              <w:t>717</w:t>
            </w:r>
          </w:p>
        </w:tc>
        <w:tc>
          <w:tcPr>
            <w:tcW w:w="996" w:type="dxa"/>
            <w:tcBorders>
              <w:top w:val="nil"/>
              <w:left w:val="nil"/>
              <w:bottom w:val="nil"/>
              <w:right w:val="nil"/>
            </w:tcBorders>
            <w:shd w:val="clear" w:color="auto" w:fill="auto"/>
            <w:vAlign w:val="center"/>
            <w:hideMark/>
          </w:tcPr>
          <w:p w14:paraId="398CF05E" w14:textId="77777777" w:rsidR="00F167A7" w:rsidRPr="00644AEE" w:rsidRDefault="00F167A7" w:rsidP="006A71D3">
            <w:pPr>
              <w:spacing w:after="0"/>
              <w:jc w:val="right"/>
              <w:rPr>
                <w:rFonts w:cs="Arial"/>
                <w:color w:val="000000"/>
                <w:sz w:val="16"/>
                <w:szCs w:val="16"/>
              </w:rPr>
            </w:pPr>
          </w:p>
        </w:tc>
        <w:tc>
          <w:tcPr>
            <w:tcW w:w="996" w:type="dxa"/>
            <w:tcBorders>
              <w:top w:val="nil"/>
              <w:left w:val="nil"/>
              <w:bottom w:val="nil"/>
              <w:right w:val="nil"/>
            </w:tcBorders>
            <w:shd w:val="clear" w:color="auto" w:fill="auto"/>
            <w:vAlign w:val="center"/>
            <w:hideMark/>
          </w:tcPr>
          <w:p w14:paraId="6EEE12CC"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6.377</w:t>
            </w:r>
          </w:p>
        </w:tc>
        <w:tc>
          <w:tcPr>
            <w:tcW w:w="996" w:type="dxa"/>
            <w:tcBorders>
              <w:top w:val="nil"/>
              <w:left w:val="nil"/>
              <w:bottom w:val="nil"/>
              <w:right w:val="nil"/>
            </w:tcBorders>
            <w:shd w:val="clear" w:color="auto" w:fill="auto"/>
            <w:vAlign w:val="center"/>
            <w:hideMark/>
          </w:tcPr>
          <w:p w14:paraId="3E541558"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-3,25</w:t>
            </w:r>
          </w:p>
        </w:tc>
        <w:tc>
          <w:tcPr>
            <w:tcW w:w="996" w:type="dxa"/>
            <w:tcBorders>
              <w:top w:val="nil"/>
              <w:left w:val="nil"/>
              <w:bottom w:val="nil"/>
              <w:right w:val="nil"/>
            </w:tcBorders>
            <w:shd w:val="clear" w:color="auto" w:fill="auto"/>
            <w:vAlign w:val="center"/>
          </w:tcPr>
          <w:p w14:paraId="3AC3A6EA"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175.363</w:t>
            </w:r>
          </w:p>
        </w:tc>
        <w:tc>
          <w:tcPr>
            <w:tcW w:w="996" w:type="dxa"/>
            <w:tcBorders>
              <w:top w:val="nil"/>
              <w:left w:val="nil"/>
              <w:bottom w:val="nil"/>
              <w:right w:val="single" w:sz="8" w:space="0" w:color="808080"/>
            </w:tcBorders>
            <w:shd w:val="clear" w:color="auto" w:fill="auto"/>
            <w:vAlign w:val="center"/>
          </w:tcPr>
          <w:p w14:paraId="7EE71F98"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3,64</w:t>
            </w:r>
          </w:p>
        </w:tc>
      </w:tr>
      <w:tr w:rsidR="00F167A7" w:rsidRPr="00644AEE" w14:paraId="420C5192" w14:textId="77777777" w:rsidTr="00503F86">
        <w:trPr>
          <w:gridAfter w:val="1"/>
          <w:wAfter w:w="10" w:type="dxa"/>
          <w:cantSplit/>
          <w:trHeight w:val="236"/>
          <w:jc w:val="center"/>
        </w:trPr>
        <w:tc>
          <w:tcPr>
            <w:tcW w:w="996" w:type="dxa"/>
            <w:tcBorders>
              <w:top w:val="nil"/>
              <w:left w:val="single" w:sz="8" w:space="0" w:color="808080"/>
              <w:bottom w:val="nil"/>
              <w:right w:val="nil"/>
            </w:tcBorders>
            <w:shd w:val="clear" w:color="auto" w:fill="auto"/>
            <w:vAlign w:val="center"/>
            <w:hideMark/>
          </w:tcPr>
          <w:p w14:paraId="2A8DFF2D"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2016</w:t>
            </w:r>
          </w:p>
        </w:tc>
        <w:tc>
          <w:tcPr>
            <w:tcW w:w="996" w:type="dxa"/>
            <w:tcBorders>
              <w:top w:val="nil"/>
              <w:left w:val="nil"/>
              <w:bottom w:val="nil"/>
              <w:right w:val="nil"/>
            </w:tcBorders>
            <w:shd w:val="clear" w:color="auto" w:fill="auto"/>
            <w:vAlign w:val="center"/>
            <w:hideMark/>
          </w:tcPr>
          <w:p w14:paraId="24832B61"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810</w:t>
            </w:r>
          </w:p>
        </w:tc>
        <w:tc>
          <w:tcPr>
            <w:tcW w:w="996" w:type="dxa"/>
            <w:tcBorders>
              <w:top w:val="nil"/>
              <w:left w:val="nil"/>
              <w:bottom w:val="nil"/>
              <w:right w:val="nil"/>
            </w:tcBorders>
            <w:shd w:val="clear" w:color="auto" w:fill="auto"/>
            <w:vAlign w:val="center"/>
            <w:hideMark/>
          </w:tcPr>
          <w:p w14:paraId="5723ED65"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5</w:t>
            </w:r>
            <w:r>
              <w:rPr>
                <w:rFonts w:cs="Arial"/>
                <w:color w:val="000000"/>
                <w:sz w:val="16"/>
                <w:szCs w:val="16"/>
              </w:rPr>
              <w:t>.</w:t>
            </w:r>
            <w:r w:rsidRPr="00644AEE">
              <w:rPr>
                <w:rFonts w:cs="Arial"/>
                <w:color w:val="000000"/>
                <w:sz w:val="16"/>
                <w:szCs w:val="16"/>
              </w:rPr>
              <w:t>474</w:t>
            </w:r>
          </w:p>
        </w:tc>
        <w:tc>
          <w:tcPr>
            <w:tcW w:w="996" w:type="dxa"/>
            <w:tcBorders>
              <w:top w:val="nil"/>
              <w:left w:val="nil"/>
              <w:bottom w:val="nil"/>
              <w:right w:val="nil"/>
            </w:tcBorders>
            <w:shd w:val="clear" w:color="auto" w:fill="auto"/>
            <w:vAlign w:val="center"/>
            <w:hideMark/>
          </w:tcPr>
          <w:p w14:paraId="18572EA2" w14:textId="77777777" w:rsidR="00F167A7" w:rsidRPr="00644AEE" w:rsidRDefault="00F167A7" w:rsidP="006A71D3">
            <w:pPr>
              <w:spacing w:after="0"/>
              <w:jc w:val="right"/>
              <w:rPr>
                <w:rFonts w:cs="Arial"/>
                <w:color w:val="000000"/>
                <w:sz w:val="16"/>
                <w:szCs w:val="16"/>
              </w:rPr>
            </w:pPr>
          </w:p>
        </w:tc>
        <w:tc>
          <w:tcPr>
            <w:tcW w:w="996" w:type="dxa"/>
            <w:tcBorders>
              <w:top w:val="nil"/>
              <w:left w:val="nil"/>
              <w:bottom w:val="nil"/>
              <w:right w:val="nil"/>
            </w:tcBorders>
            <w:shd w:val="clear" w:color="auto" w:fill="auto"/>
            <w:vAlign w:val="center"/>
            <w:hideMark/>
          </w:tcPr>
          <w:p w14:paraId="63A4C8C1"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6.284</w:t>
            </w:r>
          </w:p>
        </w:tc>
        <w:tc>
          <w:tcPr>
            <w:tcW w:w="996" w:type="dxa"/>
            <w:tcBorders>
              <w:top w:val="nil"/>
              <w:left w:val="nil"/>
              <w:bottom w:val="nil"/>
              <w:right w:val="nil"/>
            </w:tcBorders>
            <w:shd w:val="clear" w:color="auto" w:fill="auto"/>
            <w:vAlign w:val="center"/>
            <w:hideMark/>
          </w:tcPr>
          <w:p w14:paraId="43B66E07"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-1,47</w:t>
            </w:r>
          </w:p>
        </w:tc>
        <w:tc>
          <w:tcPr>
            <w:tcW w:w="996" w:type="dxa"/>
            <w:tcBorders>
              <w:top w:val="nil"/>
              <w:left w:val="nil"/>
              <w:bottom w:val="nil"/>
              <w:right w:val="nil"/>
            </w:tcBorders>
            <w:shd w:val="clear" w:color="auto" w:fill="auto"/>
            <w:vAlign w:val="center"/>
          </w:tcPr>
          <w:p w14:paraId="48A7DB2F"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174.448</w:t>
            </w:r>
          </w:p>
        </w:tc>
        <w:tc>
          <w:tcPr>
            <w:tcW w:w="996" w:type="dxa"/>
            <w:tcBorders>
              <w:top w:val="nil"/>
              <w:left w:val="nil"/>
              <w:bottom w:val="nil"/>
              <w:right w:val="single" w:sz="8" w:space="0" w:color="808080"/>
            </w:tcBorders>
            <w:shd w:val="clear" w:color="auto" w:fill="auto"/>
            <w:vAlign w:val="center"/>
          </w:tcPr>
          <w:p w14:paraId="6A906F57"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3,60</w:t>
            </w:r>
          </w:p>
        </w:tc>
      </w:tr>
      <w:tr w:rsidR="00F167A7" w:rsidRPr="00644AEE" w14:paraId="3518C180" w14:textId="77777777" w:rsidTr="00503F86">
        <w:trPr>
          <w:gridAfter w:val="1"/>
          <w:wAfter w:w="10" w:type="dxa"/>
          <w:cantSplit/>
          <w:trHeight w:val="226"/>
          <w:jc w:val="center"/>
        </w:trPr>
        <w:tc>
          <w:tcPr>
            <w:tcW w:w="996" w:type="dxa"/>
            <w:tcBorders>
              <w:top w:val="nil"/>
              <w:left w:val="single" w:sz="8" w:space="0" w:color="808080"/>
              <w:bottom w:val="nil"/>
              <w:right w:val="nil"/>
            </w:tcBorders>
            <w:shd w:val="clear" w:color="auto" w:fill="auto"/>
            <w:vAlign w:val="center"/>
            <w:hideMark/>
          </w:tcPr>
          <w:p w14:paraId="6DA21644"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2017</w:t>
            </w:r>
          </w:p>
        </w:tc>
        <w:tc>
          <w:tcPr>
            <w:tcW w:w="996" w:type="dxa"/>
            <w:tcBorders>
              <w:top w:val="nil"/>
              <w:left w:val="nil"/>
              <w:bottom w:val="nil"/>
              <w:right w:val="nil"/>
            </w:tcBorders>
            <w:shd w:val="clear" w:color="auto" w:fill="auto"/>
            <w:vAlign w:val="center"/>
            <w:hideMark/>
          </w:tcPr>
          <w:p w14:paraId="7E3D32CC"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1</w:t>
            </w:r>
            <w:r>
              <w:rPr>
                <w:rFonts w:cs="Arial"/>
                <w:color w:val="000000"/>
                <w:sz w:val="16"/>
                <w:szCs w:val="16"/>
              </w:rPr>
              <w:t>.</w:t>
            </w:r>
            <w:r w:rsidRPr="00644AEE">
              <w:rPr>
                <w:rFonts w:cs="Arial"/>
                <w:color w:val="000000"/>
                <w:sz w:val="16"/>
                <w:szCs w:val="16"/>
              </w:rPr>
              <w:t>326</w:t>
            </w:r>
          </w:p>
        </w:tc>
        <w:tc>
          <w:tcPr>
            <w:tcW w:w="996" w:type="dxa"/>
            <w:tcBorders>
              <w:top w:val="nil"/>
              <w:left w:val="nil"/>
              <w:bottom w:val="nil"/>
              <w:right w:val="nil"/>
            </w:tcBorders>
            <w:shd w:val="clear" w:color="auto" w:fill="auto"/>
            <w:vAlign w:val="center"/>
            <w:hideMark/>
          </w:tcPr>
          <w:p w14:paraId="0CD2C54E"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4</w:t>
            </w:r>
            <w:r>
              <w:rPr>
                <w:rFonts w:cs="Arial"/>
                <w:color w:val="000000"/>
                <w:sz w:val="16"/>
                <w:szCs w:val="16"/>
              </w:rPr>
              <w:t>.</w:t>
            </w:r>
            <w:r w:rsidRPr="00644AEE">
              <w:rPr>
                <w:rFonts w:cs="Arial"/>
                <w:color w:val="000000"/>
                <w:sz w:val="16"/>
                <w:szCs w:val="16"/>
              </w:rPr>
              <w:t>624</w:t>
            </w:r>
          </w:p>
        </w:tc>
        <w:tc>
          <w:tcPr>
            <w:tcW w:w="996" w:type="dxa"/>
            <w:tcBorders>
              <w:top w:val="nil"/>
              <w:left w:val="nil"/>
              <w:bottom w:val="nil"/>
              <w:right w:val="nil"/>
            </w:tcBorders>
            <w:shd w:val="clear" w:color="auto" w:fill="auto"/>
            <w:vAlign w:val="center"/>
            <w:hideMark/>
          </w:tcPr>
          <w:p w14:paraId="0CE80B4B" w14:textId="77777777" w:rsidR="00F167A7" w:rsidRPr="00644AEE" w:rsidRDefault="00F167A7" w:rsidP="006A71D3">
            <w:pPr>
              <w:spacing w:after="0"/>
              <w:jc w:val="right"/>
              <w:rPr>
                <w:rFonts w:cs="Arial"/>
                <w:color w:val="000000"/>
                <w:sz w:val="16"/>
                <w:szCs w:val="16"/>
              </w:rPr>
            </w:pPr>
          </w:p>
        </w:tc>
        <w:tc>
          <w:tcPr>
            <w:tcW w:w="996" w:type="dxa"/>
            <w:tcBorders>
              <w:top w:val="nil"/>
              <w:left w:val="nil"/>
              <w:bottom w:val="nil"/>
              <w:right w:val="nil"/>
            </w:tcBorders>
            <w:shd w:val="clear" w:color="auto" w:fill="auto"/>
            <w:vAlign w:val="center"/>
            <w:hideMark/>
          </w:tcPr>
          <w:p w14:paraId="3D05FA70"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5.950</w:t>
            </w:r>
          </w:p>
        </w:tc>
        <w:tc>
          <w:tcPr>
            <w:tcW w:w="996" w:type="dxa"/>
            <w:tcBorders>
              <w:top w:val="nil"/>
              <w:left w:val="nil"/>
              <w:bottom w:val="nil"/>
              <w:right w:val="nil"/>
            </w:tcBorders>
            <w:shd w:val="clear" w:color="auto" w:fill="auto"/>
            <w:vAlign w:val="center"/>
            <w:hideMark/>
          </w:tcPr>
          <w:p w14:paraId="29656B63"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-5,31</w:t>
            </w:r>
          </w:p>
        </w:tc>
        <w:tc>
          <w:tcPr>
            <w:tcW w:w="996" w:type="dxa"/>
            <w:tcBorders>
              <w:top w:val="nil"/>
              <w:left w:val="nil"/>
              <w:bottom w:val="nil"/>
              <w:right w:val="nil"/>
            </w:tcBorders>
            <w:shd w:val="clear" w:color="auto" w:fill="auto"/>
            <w:vAlign w:val="center"/>
          </w:tcPr>
          <w:p w14:paraId="32D5807E"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177.378</w:t>
            </w:r>
          </w:p>
        </w:tc>
        <w:tc>
          <w:tcPr>
            <w:tcW w:w="996" w:type="dxa"/>
            <w:tcBorders>
              <w:top w:val="nil"/>
              <w:left w:val="nil"/>
              <w:bottom w:val="nil"/>
              <w:right w:val="single" w:sz="8" w:space="0" w:color="808080"/>
            </w:tcBorders>
            <w:shd w:val="clear" w:color="auto" w:fill="auto"/>
            <w:vAlign w:val="center"/>
          </w:tcPr>
          <w:p w14:paraId="43AF3F36"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3,35</w:t>
            </w:r>
          </w:p>
        </w:tc>
      </w:tr>
      <w:tr w:rsidR="00F167A7" w:rsidRPr="00644AEE" w14:paraId="6EF18106" w14:textId="77777777" w:rsidTr="00503F86">
        <w:trPr>
          <w:gridAfter w:val="1"/>
          <w:wAfter w:w="10" w:type="dxa"/>
          <w:cantSplit/>
          <w:trHeight w:val="236"/>
          <w:jc w:val="center"/>
        </w:trPr>
        <w:tc>
          <w:tcPr>
            <w:tcW w:w="996" w:type="dxa"/>
            <w:tcBorders>
              <w:top w:val="nil"/>
              <w:left w:val="single" w:sz="8" w:space="0" w:color="808080"/>
              <w:bottom w:val="nil"/>
              <w:right w:val="nil"/>
            </w:tcBorders>
            <w:shd w:val="clear" w:color="auto" w:fill="auto"/>
            <w:vAlign w:val="center"/>
            <w:hideMark/>
          </w:tcPr>
          <w:p w14:paraId="11C41EE6"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2018</w:t>
            </w:r>
          </w:p>
        </w:tc>
        <w:tc>
          <w:tcPr>
            <w:tcW w:w="996" w:type="dxa"/>
            <w:tcBorders>
              <w:top w:val="nil"/>
              <w:left w:val="nil"/>
              <w:bottom w:val="nil"/>
              <w:right w:val="nil"/>
            </w:tcBorders>
            <w:shd w:val="clear" w:color="auto" w:fill="auto"/>
            <w:vAlign w:val="center"/>
            <w:hideMark/>
          </w:tcPr>
          <w:p w14:paraId="2BE21767"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2</w:t>
            </w:r>
            <w:r>
              <w:rPr>
                <w:rFonts w:cs="Arial"/>
                <w:color w:val="000000"/>
                <w:sz w:val="16"/>
                <w:szCs w:val="16"/>
              </w:rPr>
              <w:t>.</w:t>
            </w:r>
            <w:r w:rsidRPr="00644AEE">
              <w:rPr>
                <w:rFonts w:cs="Arial"/>
                <w:color w:val="000000"/>
                <w:sz w:val="16"/>
                <w:szCs w:val="16"/>
              </w:rPr>
              <w:t>633</w:t>
            </w:r>
          </w:p>
        </w:tc>
        <w:tc>
          <w:tcPr>
            <w:tcW w:w="996" w:type="dxa"/>
            <w:tcBorders>
              <w:top w:val="nil"/>
              <w:left w:val="nil"/>
              <w:bottom w:val="nil"/>
              <w:right w:val="nil"/>
            </w:tcBorders>
            <w:shd w:val="clear" w:color="auto" w:fill="auto"/>
            <w:vAlign w:val="center"/>
            <w:hideMark/>
          </w:tcPr>
          <w:p w14:paraId="1BA88697"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3</w:t>
            </w:r>
            <w:r>
              <w:rPr>
                <w:rFonts w:cs="Arial"/>
                <w:color w:val="000000"/>
                <w:sz w:val="16"/>
                <w:szCs w:val="16"/>
              </w:rPr>
              <w:t>.</w:t>
            </w:r>
            <w:r w:rsidRPr="00644AEE">
              <w:rPr>
                <w:rFonts w:cs="Arial"/>
                <w:color w:val="000000"/>
                <w:sz w:val="16"/>
                <w:szCs w:val="16"/>
              </w:rPr>
              <w:t>604</w:t>
            </w:r>
          </w:p>
        </w:tc>
        <w:tc>
          <w:tcPr>
            <w:tcW w:w="996" w:type="dxa"/>
            <w:tcBorders>
              <w:top w:val="nil"/>
              <w:left w:val="nil"/>
              <w:bottom w:val="nil"/>
              <w:right w:val="nil"/>
            </w:tcBorders>
            <w:shd w:val="clear" w:color="auto" w:fill="auto"/>
            <w:vAlign w:val="center"/>
            <w:hideMark/>
          </w:tcPr>
          <w:p w14:paraId="2B3FFCDD" w14:textId="77777777" w:rsidR="00F167A7" w:rsidRPr="00644AEE" w:rsidRDefault="00F167A7" w:rsidP="006A71D3">
            <w:pPr>
              <w:spacing w:after="0"/>
              <w:jc w:val="right"/>
              <w:rPr>
                <w:rFonts w:cs="Arial"/>
                <w:color w:val="000000"/>
                <w:sz w:val="16"/>
                <w:szCs w:val="16"/>
              </w:rPr>
            </w:pPr>
          </w:p>
        </w:tc>
        <w:tc>
          <w:tcPr>
            <w:tcW w:w="996" w:type="dxa"/>
            <w:tcBorders>
              <w:top w:val="nil"/>
              <w:left w:val="nil"/>
              <w:bottom w:val="nil"/>
              <w:right w:val="nil"/>
            </w:tcBorders>
            <w:shd w:val="clear" w:color="auto" w:fill="auto"/>
            <w:vAlign w:val="center"/>
            <w:hideMark/>
          </w:tcPr>
          <w:p w14:paraId="50D471FE"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6.237</w:t>
            </w:r>
          </w:p>
        </w:tc>
        <w:tc>
          <w:tcPr>
            <w:tcW w:w="996" w:type="dxa"/>
            <w:tcBorders>
              <w:top w:val="nil"/>
              <w:left w:val="nil"/>
              <w:bottom w:val="nil"/>
              <w:right w:val="nil"/>
            </w:tcBorders>
            <w:shd w:val="clear" w:color="auto" w:fill="auto"/>
            <w:vAlign w:val="center"/>
            <w:hideMark/>
          </w:tcPr>
          <w:p w14:paraId="0125F099"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4,83</w:t>
            </w:r>
          </w:p>
        </w:tc>
        <w:tc>
          <w:tcPr>
            <w:tcW w:w="996" w:type="dxa"/>
            <w:tcBorders>
              <w:top w:val="nil"/>
              <w:left w:val="nil"/>
              <w:bottom w:val="nil"/>
              <w:right w:val="nil"/>
            </w:tcBorders>
            <w:shd w:val="clear" w:color="auto" w:fill="auto"/>
            <w:vAlign w:val="center"/>
          </w:tcPr>
          <w:p w14:paraId="278BD076"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180.616</w:t>
            </w:r>
          </w:p>
        </w:tc>
        <w:tc>
          <w:tcPr>
            <w:tcW w:w="996" w:type="dxa"/>
            <w:tcBorders>
              <w:top w:val="nil"/>
              <w:left w:val="nil"/>
              <w:bottom w:val="nil"/>
              <w:right w:val="single" w:sz="8" w:space="0" w:color="808080"/>
            </w:tcBorders>
            <w:shd w:val="clear" w:color="auto" w:fill="auto"/>
            <w:vAlign w:val="center"/>
          </w:tcPr>
          <w:p w14:paraId="39C8FF28"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3,45</w:t>
            </w:r>
          </w:p>
        </w:tc>
      </w:tr>
      <w:tr w:rsidR="00F167A7" w:rsidRPr="00644AEE" w14:paraId="1623FAAD" w14:textId="77777777" w:rsidTr="00503F86">
        <w:trPr>
          <w:gridAfter w:val="1"/>
          <w:wAfter w:w="10" w:type="dxa"/>
          <w:cantSplit/>
          <w:trHeight w:val="226"/>
          <w:jc w:val="center"/>
        </w:trPr>
        <w:tc>
          <w:tcPr>
            <w:tcW w:w="996" w:type="dxa"/>
            <w:tcBorders>
              <w:top w:val="nil"/>
              <w:left w:val="single" w:sz="8" w:space="0" w:color="808080"/>
              <w:bottom w:val="nil"/>
              <w:right w:val="nil"/>
            </w:tcBorders>
            <w:shd w:val="clear" w:color="auto" w:fill="auto"/>
            <w:vAlign w:val="center"/>
            <w:hideMark/>
          </w:tcPr>
          <w:p w14:paraId="41EFC375"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2019</w:t>
            </w:r>
          </w:p>
        </w:tc>
        <w:tc>
          <w:tcPr>
            <w:tcW w:w="996" w:type="dxa"/>
            <w:tcBorders>
              <w:top w:val="nil"/>
              <w:left w:val="nil"/>
              <w:bottom w:val="nil"/>
              <w:right w:val="nil"/>
            </w:tcBorders>
            <w:shd w:val="clear" w:color="auto" w:fill="auto"/>
            <w:vAlign w:val="center"/>
            <w:hideMark/>
          </w:tcPr>
          <w:p w14:paraId="262A3825"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1</w:t>
            </w:r>
            <w:r>
              <w:rPr>
                <w:rFonts w:cs="Arial"/>
                <w:color w:val="000000"/>
                <w:sz w:val="16"/>
                <w:szCs w:val="16"/>
              </w:rPr>
              <w:t>.</w:t>
            </w:r>
            <w:r w:rsidRPr="00644AEE">
              <w:rPr>
                <w:rFonts w:cs="Arial"/>
                <w:color w:val="000000"/>
                <w:sz w:val="16"/>
                <w:szCs w:val="16"/>
              </w:rPr>
              <w:t>892</w:t>
            </w:r>
          </w:p>
        </w:tc>
        <w:tc>
          <w:tcPr>
            <w:tcW w:w="996" w:type="dxa"/>
            <w:tcBorders>
              <w:top w:val="nil"/>
              <w:left w:val="nil"/>
              <w:bottom w:val="nil"/>
              <w:right w:val="nil"/>
            </w:tcBorders>
            <w:shd w:val="clear" w:color="auto" w:fill="auto"/>
            <w:vAlign w:val="center"/>
            <w:hideMark/>
          </w:tcPr>
          <w:p w14:paraId="3CB8B8B6"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3</w:t>
            </w:r>
            <w:r>
              <w:rPr>
                <w:rFonts w:cs="Arial"/>
                <w:color w:val="000000"/>
                <w:sz w:val="16"/>
                <w:szCs w:val="16"/>
              </w:rPr>
              <w:t>.</w:t>
            </w:r>
            <w:r w:rsidRPr="00644AEE">
              <w:rPr>
                <w:rFonts w:cs="Arial"/>
                <w:color w:val="000000"/>
                <w:sz w:val="16"/>
                <w:szCs w:val="16"/>
              </w:rPr>
              <w:t>750</w:t>
            </w:r>
          </w:p>
        </w:tc>
        <w:tc>
          <w:tcPr>
            <w:tcW w:w="996" w:type="dxa"/>
            <w:tcBorders>
              <w:top w:val="nil"/>
              <w:left w:val="nil"/>
              <w:bottom w:val="nil"/>
              <w:right w:val="nil"/>
            </w:tcBorders>
            <w:shd w:val="clear" w:color="auto" w:fill="auto"/>
            <w:vAlign w:val="center"/>
            <w:hideMark/>
          </w:tcPr>
          <w:p w14:paraId="1592ECB8" w14:textId="77777777" w:rsidR="00F167A7" w:rsidRPr="00644AEE" w:rsidRDefault="00F167A7" w:rsidP="006A71D3">
            <w:pPr>
              <w:spacing w:after="0"/>
              <w:jc w:val="right"/>
              <w:rPr>
                <w:rFonts w:cs="Arial"/>
                <w:color w:val="000000"/>
                <w:sz w:val="16"/>
                <w:szCs w:val="16"/>
              </w:rPr>
            </w:pPr>
          </w:p>
        </w:tc>
        <w:tc>
          <w:tcPr>
            <w:tcW w:w="996" w:type="dxa"/>
            <w:tcBorders>
              <w:top w:val="nil"/>
              <w:left w:val="nil"/>
              <w:bottom w:val="nil"/>
              <w:right w:val="nil"/>
            </w:tcBorders>
            <w:shd w:val="clear" w:color="auto" w:fill="auto"/>
            <w:vAlign w:val="center"/>
            <w:hideMark/>
          </w:tcPr>
          <w:p w14:paraId="40901713"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5.642</w:t>
            </w:r>
          </w:p>
        </w:tc>
        <w:tc>
          <w:tcPr>
            <w:tcW w:w="996" w:type="dxa"/>
            <w:tcBorders>
              <w:top w:val="nil"/>
              <w:left w:val="nil"/>
              <w:bottom w:val="nil"/>
              <w:right w:val="nil"/>
            </w:tcBorders>
            <w:shd w:val="clear" w:color="auto" w:fill="auto"/>
            <w:vAlign w:val="center"/>
            <w:hideMark/>
          </w:tcPr>
          <w:p w14:paraId="72D211A3"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-9,54</w:t>
            </w:r>
          </w:p>
        </w:tc>
        <w:tc>
          <w:tcPr>
            <w:tcW w:w="996" w:type="dxa"/>
            <w:tcBorders>
              <w:top w:val="nil"/>
              <w:left w:val="nil"/>
              <w:bottom w:val="nil"/>
              <w:right w:val="nil"/>
            </w:tcBorders>
            <w:shd w:val="clear" w:color="auto" w:fill="auto"/>
            <w:vAlign w:val="center"/>
          </w:tcPr>
          <w:p w14:paraId="7FFB7CF7"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185.181</w:t>
            </w:r>
          </w:p>
        </w:tc>
        <w:tc>
          <w:tcPr>
            <w:tcW w:w="996" w:type="dxa"/>
            <w:tcBorders>
              <w:top w:val="nil"/>
              <w:left w:val="nil"/>
              <w:bottom w:val="nil"/>
              <w:right w:val="single" w:sz="8" w:space="0" w:color="808080"/>
            </w:tcBorders>
            <w:shd w:val="clear" w:color="auto" w:fill="auto"/>
            <w:vAlign w:val="center"/>
          </w:tcPr>
          <w:p w14:paraId="6DF61F84"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3,05</w:t>
            </w:r>
          </w:p>
        </w:tc>
      </w:tr>
      <w:tr w:rsidR="00F167A7" w:rsidRPr="00644AEE" w14:paraId="62B234B9" w14:textId="77777777" w:rsidTr="00503F86">
        <w:trPr>
          <w:gridAfter w:val="1"/>
          <w:wAfter w:w="10" w:type="dxa"/>
          <w:cantSplit/>
          <w:trHeight w:val="236"/>
          <w:jc w:val="center"/>
        </w:trPr>
        <w:tc>
          <w:tcPr>
            <w:tcW w:w="996" w:type="dxa"/>
            <w:tcBorders>
              <w:top w:val="nil"/>
              <w:left w:val="single" w:sz="8" w:space="0" w:color="808080"/>
              <w:bottom w:val="nil"/>
              <w:right w:val="nil"/>
            </w:tcBorders>
            <w:shd w:val="clear" w:color="auto" w:fill="auto"/>
            <w:vAlign w:val="center"/>
            <w:hideMark/>
          </w:tcPr>
          <w:p w14:paraId="7D546BBA"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lastRenderedPageBreak/>
              <w:t>2020</w:t>
            </w:r>
          </w:p>
        </w:tc>
        <w:tc>
          <w:tcPr>
            <w:tcW w:w="996" w:type="dxa"/>
            <w:tcBorders>
              <w:top w:val="nil"/>
              <w:left w:val="nil"/>
              <w:bottom w:val="nil"/>
              <w:right w:val="nil"/>
            </w:tcBorders>
            <w:shd w:val="clear" w:color="auto" w:fill="auto"/>
            <w:vAlign w:val="center"/>
            <w:hideMark/>
          </w:tcPr>
          <w:p w14:paraId="2AB5B735"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2</w:t>
            </w:r>
            <w:r>
              <w:rPr>
                <w:rFonts w:cs="Arial"/>
                <w:color w:val="000000"/>
                <w:sz w:val="16"/>
                <w:szCs w:val="16"/>
              </w:rPr>
              <w:t>.</w:t>
            </w:r>
            <w:r w:rsidRPr="00644AEE">
              <w:rPr>
                <w:rFonts w:cs="Arial"/>
                <w:color w:val="000000"/>
                <w:sz w:val="16"/>
                <w:szCs w:val="16"/>
              </w:rPr>
              <w:t>047</w:t>
            </w:r>
          </w:p>
        </w:tc>
        <w:tc>
          <w:tcPr>
            <w:tcW w:w="996" w:type="dxa"/>
            <w:tcBorders>
              <w:top w:val="nil"/>
              <w:left w:val="nil"/>
              <w:bottom w:val="nil"/>
              <w:right w:val="nil"/>
            </w:tcBorders>
            <w:shd w:val="clear" w:color="auto" w:fill="auto"/>
            <w:vAlign w:val="center"/>
            <w:hideMark/>
          </w:tcPr>
          <w:p w14:paraId="184230D1"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8</w:t>
            </w:r>
            <w:r>
              <w:rPr>
                <w:rFonts w:cs="Arial"/>
                <w:color w:val="000000"/>
                <w:sz w:val="16"/>
                <w:szCs w:val="16"/>
              </w:rPr>
              <w:t>.</w:t>
            </w:r>
            <w:r w:rsidRPr="00644AEE">
              <w:rPr>
                <w:rFonts w:cs="Arial"/>
                <w:color w:val="000000"/>
                <w:sz w:val="16"/>
                <w:szCs w:val="16"/>
              </w:rPr>
              <w:t>600</w:t>
            </w:r>
          </w:p>
        </w:tc>
        <w:tc>
          <w:tcPr>
            <w:tcW w:w="996" w:type="dxa"/>
            <w:tcBorders>
              <w:top w:val="nil"/>
              <w:left w:val="nil"/>
              <w:bottom w:val="nil"/>
              <w:right w:val="nil"/>
            </w:tcBorders>
            <w:shd w:val="clear" w:color="auto" w:fill="auto"/>
            <w:vAlign w:val="center"/>
            <w:hideMark/>
          </w:tcPr>
          <w:p w14:paraId="3E577D1F" w14:textId="77777777" w:rsidR="00F167A7" w:rsidRPr="00644AEE" w:rsidRDefault="00F167A7" w:rsidP="006A71D3">
            <w:pPr>
              <w:spacing w:after="0"/>
              <w:jc w:val="right"/>
              <w:rPr>
                <w:rFonts w:cs="Arial"/>
                <w:color w:val="000000"/>
                <w:sz w:val="16"/>
                <w:szCs w:val="16"/>
              </w:rPr>
            </w:pPr>
          </w:p>
        </w:tc>
        <w:tc>
          <w:tcPr>
            <w:tcW w:w="996" w:type="dxa"/>
            <w:tcBorders>
              <w:top w:val="nil"/>
              <w:left w:val="nil"/>
              <w:bottom w:val="nil"/>
              <w:right w:val="nil"/>
            </w:tcBorders>
            <w:shd w:val="clear" w:color="auto" w:fill="auto"/>
            <w:vAlign w:val="center"/>
            <w:hideMark/>
          </w:tcPr>
          <w:p w14:paraId="3D67D4C5"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10.647</w:t>
            </w:r>
          </w:p>
        </w:tc>
        <w:tc>
          <w:tcPr>
            <w:tcW w:w="996" w:type="dxa"/>
            <w:tcBorders>
              <w:top w:val="nil"/>
              <w:left w:val="nil"/>
              <w:bottom w:val="nil"/>
              <w:right w:val="nil"/>
            </w:tcBorders>
            <w:shd w:val="clear" w:color="auto" w:fill="auto"/>
            <w:vAlign w:val="center"/>
            <w:hideMark/>
          </w:tcPr>
          <w:p w14:paraId="535A607B"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88,71</w:t>
            </w:r>
          </w:p>
        </w:tc>
        <w:tc>
          <w:tcPr>
            <w:tcW w:w="996" w:type="dxa"/>
            <w:tcBorders>
              <w:top w:val="nil"/>
              <w:left w:val="nil"/>
              <w:bottom w:val="nil"/>
              <w:right w:val="nil"/>
            </w:tcBorders>
            <w:shd w:val="clear" w:color="auto" w:fill="auto"/>
            <w:vAlign w:val="center"/>
          </w:tcPr>
          <w:p w14:paraId="4D34437F"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167.540</w:t>
            </w:r>
          </w:p>
        </w:tc>
        <w:tc>
          <w:tcPr>
            <w:tcW w:w="996" w:type="dxa"/>
            <w:tcBorders>
              <w:top w:val="nil"/>
              <w:left w:val="nil"/>
              <w:bottom w:val="nil"/>
              <w:right w:val="single" w:sz="8" w:space="0" w:color="808080"/>
            </w:tcBorders>
            <w:shd w:val="clear" w:color="auto" w:fill="auto"/>
            <w:vAlign w:val="center"/>
          </w:tcPr>
          <w:p w14:paraId="690E3FCB"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6,35</w:t>
            </w:r>
          </w:p>
        </w:tc>
      </w:tr>
      <w:tr w:rsidR="00F167A7" w:rsidRPr="00644AEE" w14:paraId="0C771931" w14:textId="77777777" w:rsidTr="00503F86">
        <w:trPr>
          <w:gridAfter w:val="1"/>
          <w:wAfter w:w="10" w:type="dxa"/>
          <w:cantSplit/>
          <w:trHeight w:val="226"/>
          <w:jc w:val="center"/>
        </w:trPr>
        <w:tc>
          <w:tcPr>
            <w:tcW w:w="996" w:type="dxa"/>
            <w:tcBorders>
              <w:top w:val="nil"/>
              <w:left w:val="single" w:sz="8" w:space="0" w:color="808080"/>
              <w:bottom w:val="nil"/>
              <w:right w:val="nil"/>
            </w:tcBorders>
            <w:shd w:val="clear" w:color="auto" w:fill="auto"/>
            <w:vAlign w:val="center"/>
            <w:hideMark/>
          </w:tcPr>
          <w:p w14:paraId="699D7F36"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2021</w:t>
            </w:r>
          </w:p>
        </w:tc>
        <w:tc>
          <w:tcPr>
            <w:tcW w:w="996" w:type="dxa"/>
            <w:tcBorders>
              <w:top w:val="nil"/>
              <w:left w:val="nil"/>
              <w:bottom w:val="nil"/>
              <w:right w:val="nil"/>
            </w:tcBorders>
            <w:shd w:val="clear" w:color="auto" w:fill="auto"/>
            <w:vAlign w:val="center"/>
            <w:hideMark/>
          </w:tcPr>
          <w:p w14:paraId="5A262AEF"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1</w:t>
            </w:r>
            <w:r>
              <w:rPr>
                <w:rFonts w:cs="Arial"/>
                <w:color w:val="000000"/>
                <w:sz w:val="16"/>
                <w:szCs w:val="16"/>
              </w:rPr>
              <w:t>.</w:t>
            </w:r>
            <w:r w:rsidRPr="00644AEE">
              <w:rPr>
                <w:rFonts w:cs="Arial"/>
                <w:color w:val="000000"/>
                <w:sz w:val="16"/>
                <w:szCs w:val="16"/>
              </w:rPr>
              <w:t>358</w:t>
            </w:r>
          </w:p>
        </w:tc>
        <w:tc>
          <w:tcPr>
            <w:tcW w:w="996" w:type="dxa"/>
            <w:tcBorders>
              <w:top w:val="nil"/>
              <w:left w:val="nil"/>
              <w:bottom w:val="nil"/>
              <w:right w:val="nil"/>
            </w:tcBorders>
            <w:shd w:val="clear" w:color="auto" w:fill="auto"/>
            <w:vAlign w:val="center"/>
            <w:hideMark/>
          </w:tcPr>
          <w:p w14:paraId="0549F762"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7</w:t>
            </w:r>
            <w:r>
              <w:rPr>
                <w:rFonts w:cs="Arial"/>
                <w:color w:val="000000"/>
                <w:sz w:val="16"/>
                <w:szCs w:val="16"/>
              </w:rPr>
              <w:t>.</w:t>
            </w:r>
            <w:r w:rsidRPr="00644AEE">
              <w:rPr>
                <w:rFonts w:cs="Arial"/>
                <w:color w:val="000000"/>
                <w:sz w:val="16"/>
                <w:szCs w:val="16"/>
              </w:rPr>
              <w:t>000</w:t>
            </w:r>
          </w:p>
        </w:tc>
        <w:tc>
          <w:tcPr>
            <w:tcW w:w="996" w:type="dxa"/>
            <w:tcBorders>
              <w:top w:val="nil"/>
              <w:left w:val="nil"/>
              <w:bottom w:val="nil"/>
              <w:right w:val="nil"/>
            </w:tcBorders>
            <w:shd w:val="clear" w:color="auto" w:fill="auto"/>
            <w:vAlign w:val="center"/>
            <w:hideMark/>
          </w:tcPr>
          <w:p w14:paraId="01A414F1"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307</w:t>
            </w:r>
          </w:p>
        </w:tc>
        <w:tc>
          <w:tcPr>
            <w:tcW w:w="996" w:type="dxa"/>
            <w:tcBorders>
              <w:top w:val="nil"/>
              <w:left w:val="nil"/>
              <w:bottom w:val="nil"/>
              <w:right w:val="nil"/>
            </w:tcBorders>
            <w:shd w:val="clear" w:color="auto" w:fill="auto"/>
            <w:vAlign w:val="center"/>
            <w:hideMark/>
          </w:tcPr>
          <w:p w14:paraId="0EC406B8"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8.665</w:t>
            </w:r>
          </w:p>
        </w:tc>
        <w:tc>
          <w:tcPr>
            <w:tcW w:w="996" w:type="dxa"/>
            <w:tcBorders>
              <w:top w:val="nil"/>
              <w:left w:val="nil"/>
              <w:bottom w:val="nil"/>
              <w:right w:val="nil"/>
            </w:tcBorders>
            <w:shd w:val="clear" w:color="auto" w:fill="auto"/>
            <w:vAlign w:val="center"/>
            <w:hideMark/>
          </w:tcPr>
          <w:p w14:paraId="114277EC"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-18,62</w:t>
            </w:r>
          </w:p>
        </w:tc>
        <w:tc>
          <w:tcPr>
            <w:tcW w:w="996" w:type="dxa"/>
            <w:tcBorders>
              <w:top w:val="nil"/>
              <w:left w:val="nil"/>
              <w:bottom w:val="nil"/>
              <w:right w:val="nil"/>
            </w:tcBorders>
            <w:shd w:val="clear" w:color="auto" w:fill="auto"/>
            <w:vAlign w:val="center"/>
          </w:tcPr>
          <w:p w14:paraId="3DFF44C1"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184.575</w:t>
            </w:r>
          </w:p>
        </w:tc>
        <w:tc>
          <w:tcPr>
            <w:tcW w:w="996" w:type="dxa"/>
            <w:tcBorders>
              <w:top w:val="nil"/>
              <w:left w:val="nil"/>
              <w:bottom w:val="nil"/>
              <w:right w:val="single" w:sz="8" w:space="0" w:color="808080"/>
            </w:tcBorders>
            <w:shd w:val="clear" w:color="auto" w:fill="auto"/>
            <w:vAlign w:val="center"/>
          </w:tcPr>
          <w:p w14:paraId="04FD8229"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4,69</w:t>
            </w:r>
          </w:p>
        </w:tc>
      </w:tr>
      <w:tr w:rsidR="00F167A7" w:rsidRPr="00644AEE" w14:paraId="71EDB486" w14:textId="77777777" w:rsidTr="00503F86">
        <w:trPr>
          <w:gridAfter w:val="1"/>
          <w:wAfter w:w="10" w:type="dxa"/>
          <w:cantSplit/>
          <w:trHeight w:val="226"/>
          <w:jc w:val="center"/>
        </w:trPr>
        <w:tc>
          <w:tcPr>
            <w:tcW w:w="996" w:type="dxa"/>
            <w:tcBorders>
              <w:top w:val="nil"/>
              <w:left w:val="single" w:sz="8" w:space="0" w:color="808080"/>
              <w:bottom w:val="nil"/>
              <w:right w:val="nil"/>
            </w:tcBorders>
            <w:shd w:val="clear" w:color="auto" w:fill="auto"/>
            <w:vAlign w:val="center"/>
            <w:hideMark/>
          </w:tcPr>
          <w:p w14:paraId="500E2C6A"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2022</w:t>
            </w:r>
          </w:p>
        </w:tc>
        <w:tc>
          <w:tcPr>
            <w:tcW w:w="996" w:type="dxa"/>
            <w:tcBorders>
              <w:top w:val="nil"/>
              <w:left w:val="nil"/>
              <w:bottom w:val="nil"/>
              <w:right w:val="nil"/>
            </w:tcBorders>
            <w:shd w:val="clear" w:color="auto" w:fill="auto"/>
            <w:vAlign w:val="center"/>
            <w:hideMark/>
          </w:tcPr>
          <w:p w14:paraId="4ACAC084"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1</w:t>
            </w:r>
            <w:r>
              <w:rPr>
                <w:rFonts w:cs="Arial"/>
                <w:color w:val="000000"/>
                <w:sz w:val="16"/>
                <w:szCs w:val="16"/>
              </w:rPr>
              <w:t>.</w:t>
            </w:r>
            <w:r w:rsidRPr="00644AEE">
              <w:rPr>
                <w:rFonts w:cs="Arial"/>
                <w:color w:val="000000"/>
                <w:sz w:val="16"/>
                <w:szCs w:val="16"/>
              </w:rPr>
              <w:t>696</w:t>
            </w:r>
          </w:p>
        </w:tc>
        <w:tc>
          <w:tcPr>
            <w:tcW w:w="996" w:type="dxa"/>
            <w:tcBorders>
              <w:top w:val="nil"/>
              <w:left w:val="nil"/>
              <w:bottom w:val="nil"/>
              <w:right w:val="nil"/>
            </w:tcBorders>
            <w:shd w:val="clear" w:color="auto" w:fill="auto"/>
            <w:vAlign w:val="center"/>
            <w:hideMark/>
          </w:tcPr>
          <w:p w14:paraId="5F4851E8"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6</w:t>
            </w:r>
            <w:r>
              <w:rPr>
                <w:rFonts w:cs="Arial"/>
                <w:color w:val="000000"/>
                <w:sz w:val="16"/>
                <w:szCs w:val="16"/>
              </w:rPr>
              <w:t>.</w:t>
            </w:r>
            <w:r w:rsidRPr="00644AEE">
              <w:rPr>
                <w:rFonts w:cs="Arial"/>
                <w:color w:val="000000"/>
                <w:sz w:val="16"/>
                <w:szCs w:val="16"/>
              </w:rPr>
              <w:t>822</w:t>
            </w:r>
          </w:p>
        </w:tc>
        <w:tc>
          <w:tcPr>
            <w:tcW w:w="996" w:type="dxa"/>
            <w:tcBorders>
              <w:top w:val="nil"/>
              <w:left w:val="nil"/>
              <w:bottom w:val="nil"/>
              <w:right w:val="nil"/>
            </w:tcBorders>
            <w:shd w:val="clear" w:color="auto" w:fill="auto"/>
            <w:vAlign w:val="center"/>
            <w:hideMark/>
          </w:tcPr>
          <w:p w14:paraId="747B15D5"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2</w:t>
            </w:r>
            <w:r>
              <w:rPr>
                <w:rFonts w:cs="Arial"/>
                <w:color w:val="000000"/>
                <w:sz w:val="16"/>
                <w:szCs w:val="16"/>
              </w:rPr>
              <w:t>.</w:t>
            </w:r>
            <w:r w:rsidRPr="00644AEE">
              <w:rPr>
                <w:rFonts w:cs="Arial"/>
                <w:color w:val="000000"/>
                <w:sz w:val="16"/>
                <w:szCs w:val="16"/>
              </w:rPr>
              <w:t>843</w:t>
            </w:r>
          </w:p>
        </w:tc>
        <w:tc>
          <w:tcPr>
            <w:tcW w:w="996" w:type="dxa"/>
            <w:tcBorders>
              <w:top w:val="nil"/>
              <w:left w:val="nil"/>
              <w:bottom w:val="nil"/>
              <w:right w:val="nil"/>
            </w:tcBorders>
            <w:shd w:val="clear" w:color="auto" w:fill="auto"/>
            <w:vAlign w:val="center"/>
            <w:hideMark/>
          </w:tcPr>
          <w:p w14:paraId="31018371"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11.361</w:t>
            </w:r>
          </w:p>
        </w:tc>
        <w:tc>
          <w:tcPr>
            <w:tcW w:w="996" w:type="dxa"/>
            <w:tcBorders>
              <w:top w:val="nil"/>
              <w:left w:val="nil"/>
              <w:bottom w:val="nil"/>
              <w:right w:val="nil"/>
            </w:tcBorders>
            <w:shd w:val="clear" w:color="auto" w:fill="auto"/>
            <w:vAlign w:val="center"/>
            <w:hideMark/>
          </w:tcPr>
          <w:p w14:paraId="221C51A8" w14:textId="77777777" w:rsidR="00F167A7" w:rsidRPr="00644AEE" w:rsidRDefault="00F167A7" w:rsidP="006A71D3">
            <w:pPr>
              <w:spacing w:after="0"/>
              <w:jc w:val="right"/>
              <w:rPr>
                <w:rFonts w:cs="Arial"/>
                <w:color w:val="000000"/>
                <w:sz w:val="16"/>
                <w:szCs w:val="16"/>
              </w:rPr>
            </w:pPr>
            <w:r w:rsidRPr="00644AEE">
              <w:rPr>
                <w:rFonts w:cs="Arial"/>
                <w:color w:val="000000"/>
                <w:sz w:val="16"/>
                <w:szCs w:val="16"/>
              </w:rPr>
              <w:t>31,12</w:t>
            </w:r>
          </w:p>
        </w:tc>
        <w:tc>
          <w:tcPr>
            <w:tcW w:w="996" w:type="dxa"/>
            <w:tcBorders>
              <w:top w:val="nil"/>
              <w:left w:val="nil"/>
              <w:bottom w:val="nil"/>
              <w:right w:val="nil"/>
            </w:tcBorders>
            <w:shd w:val="clear" w:color="auto" w:fill="auto"/>
            <w:vAlign w:val="center"/>
          </w:tcPr>
          <w:p w14:paraId="33755813"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207.854</w:t>
            </w:r>
          </w:p>
        </w:tc>
        <w:tc>
          <w:tcPr>
            <w:tcW w:w="996" w:type="dxa"/>
            <w:tcBorders>
              <w:top w:val="nil"/>
              <w:left w:val="nil"/>
              <w:bottom w:val="nil"/>
              <w:right w:val="single" w:sz="8" w:space="0" w:color="808080"/>
            </w:tcBorders>
            <w:shd w:val="clear" w:color="auto" w:fill="auto"/>
            <w:vAlign w:val="center"/>
          </w:tcPr>
          <w:p w14:paraId="37C093AA" w14:textId="77777777" w:rsidR="00F167A7" w:rsidRPr="0034041A" w:rsidRDefault="00F167A7" w:rsidP="006A71D3">
            <w:pPr>
              <w:spacing w:after="0"/>
              <w:jc w:val="right"/>
              <w:rPr>
                <w:rFonts w:cs="Arial"/>
                <w:color w:val="000000"/>
                <w:sz w:val="16"/>
                <w:szCs w:val="16"/>
              </w:rPr>
            </w:pPr>
            <w:r w:rsidRPr="0034041A">
              <w:rPr>
                <w:rFonts w:cs="Arial"/>
                <w:color w:val="000000"/>
                <w:sz w:val="16"/>
                <w:szCs w:val="16"/>
              </w:rPr>
              <w:t>5,47</w:t>
            </w:r>
          </w:p>
        </w:tc>
      </w:tr>
      <w:tr w:rsidR="00F167A7" w:rsidRPr="00644AEE" w14:paraId="70D443CC" w14:textId="77777777" w:rsidTr="00503F86">
        <w:trPr>
          <w:gridAfter w:val="1"/>
          <w:wAfter w:w="10" w:type="dxa"/>
          <w:cantSplit/>
          <w:trHeight w:val="236"/>
          <w:jc w:val="center"/>
        </w:trPr>
        <w:tc>
          <w:tcPr>
            <w:tcW w:w="996" w:type="dxa"/>
            <w:tcBorders>
              <w:top w:val="nil"/>
              <w:left w:val="single" w:sz="8" w:space="0" w:color="808080"/>
              <w:bottom w:val="nil"/>
              <w:right w:val="nil"/>
            </w:tcBorders>
            <w:shd w:val="clear" w:color="auto" w:fill="auto"/>
            <w:vAlign w:val="center"/>
            <w:hideMark/>
          </w:tcPr>
          <w:p w14:paraId="47337BBB"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2023</w:t>
            </w:r>
          </w:p>
        </w:tc>
        <w:tc>
          <w:tcPr>
            <w:tcW w:w="996" w:type="dxa"/>
            <w:tcBorders>
              <w:top w:val="nil"/>
              <w:left w:val="nil"/>
              <w:bottom w:val="nil"/>
              <w:right w:val="nil"/>
            </w:tcBorders>
            <w:shd w:val="clear" w:color="auto" w:fill="auto"/>
            <w:vAlign w:val="center"/>
            <w:hideMark/>
          </w:tcPr>
          <w:p w14:paraId="1D1E82F0" w14:textId="77777777" w:rsidR="00F167A7" w:rsidRPr="00644AEE" w:rsidRDefault="00F167A7" w:rsidP="006A71D3">
            <w:pPr>
              <w:spacing w:after="0"/>
              <w:jc w:val="right"/>
              <w:rPr>
                <w:rFonts w:cs="Arial"/>
                <w:sz w:val="16"/>
                <w:szCs w:val="16"/>
              </w:rPr>
            </w:pPr>
            <w:r w:rsidRPr="00644AEE">
              <w:rPr>
                <w:rFonts w:cs="Arial"/>
                <w:sz w:val="16"/>
                <w:szCs w:val="16"/>
              </w:rPr>
              <w:t>1</w:t>
            </w:r>
            <w:r>
              <w:rPr>
                <w:rFonts w:cs="Arial"/>
                <w:sz w:val="16"/>
                <w:szCs w:val="16"/>
              </w:rPr>
              <w:t>.</w:t>
            </w:r>
            <w:r w:rsidRPr="00644AEE">
              <w:rPr>
                <w:rFonts w:cs="Arial"/>
                <w:sz w:val="16"/>
                <w:szCs w:val="16"/>
              </w:rPr>
              <w:t>716</w:t>
            </w:r>
          </w:p>
        </w:tc>
        <w:tc>
          <w:tcPr>
            <w:tcW w:w="996" w:type="dxa"/>
            <w:tcBorders>
              <w:top w:val="nil"/>
              <w:left w:val="nil"/>
              <w:bottom w:val="nil"/>
              <w:right w:val="nil"/>
            </w:tcBorders>
            <w:shd w:val="clear" w:color="auto" w:fill="auto"/>
            <w:vAlign w:val="center"/>
            <w:hideMark/>
          </w:tcPr>
          <w:p w14:paraId="3691E809" w14:textId="77777777" w:rsidR="00F167A7" w:rsidRPr="00644AEE" w:rsidRDefault="00F167A7" w:rsidP="006A71D3">
            <w:pPr>
              <w:spacing w:after="0"/>
              <w:jc w:val="right"/>
              <w:rPr>
                <w:rFonts w:cs="Arial"/>
                <w:sz w:val="16"/>
                <w:szCs w:val="16"/>
              </w:rPr>
            </w:pPr>
            <w:r w:rsidRPr="00644AEE">
              <w:rPr>
                <w:rFonts w:cs="Arial"/>
                <w:sz w:val="16"/>
                <w:szCs w:val="16"/>
              </w:rPr>
              <w:t>7</w:t>
            </w:r>
            <w:r>
              <w:rPr>
                <w:rFonts w:cs="Arial"/>
                <w:sz w:val="16"/>
                <w:szCs w:val="16"/>
              </w:rPr>
              <w:t>.</w:t>
            </w:r>
            <w:r w:rsidRPr="00644AEE">
              <w:rPr>
                <w:rFonts w:cs="Arial"/>
                <w:sz w:val="16"/>
                <w:szCs w:val="16"/>
              </w:rPr>
              <w:t>395</w:t>
            </w:r>
          </w:p>
        </w:tc>
        <w:tc>
          <w:tcPr>
            <w:tcW w:w="996" w:type="dxa"/>
            <w:tcBorders>
              <w:top w:val="nil"/>
              <w:left w:val="nil"/>
              <w:bottom w:val="nil"/>
              <w:right w:val="nil"/>
            </w:tcBorders>
            <w:shd w:val="clear" w:color="auto" w:fill="auto"/>
            <w:vAlign w:val="center"/>
            <w:hideMark/>
          </w:tcPr>
          <w:p w14:paraId="167F799D" w14:textId="77777777" w:rsidR="00F167A7" w:rsidRPr="00644AEE" w:rsidRDefault="00F167A7" w:rsidP="006A71D3">
            <w:pPr>
              <w:spacing w:after="0"/>
              <w:jc w:val="right"/>
              <w:rPr>
                <w:rFonts w:cs="Arial"/>
                <w:sz w:val="16"/>
                <w:szCs w:val="16"/>
              </w:rPr>
            </w:pPr>
            <w:r w:rsidRPr="00644AEE">
              <w:rPr>
                <w:rFonts w:cs="Arial"/>
                <w:sz w:val="16"/>
                <w:szCs w:val="16"/>
              </w:rPr>
              <w:t>2</w:t>
            </w:r>
            <w:r>
              <w:rPr>
                <w:rFonts w:cs="Arial"/>
                <w:sz w:val="16"/>
                <w:szCs w:val="16"/>
              </w:rPr>
              <w:t>.</w:t>
            </w:r>
            <w:r w:rsidRPr="00644AEE">
              <w:rPr>
                <w:rFonts w:cs="Arial"/>
                <w:sz w:val="16"/>
                <w:szCs w:val="16"/>
              </w:rPr>
              <w:t>089</w:t>
            </w:r>
          </w:p>
        </w:tc>
        <w:tc>
          <w:tcPr>
            <w:tcW w:w="996" w:type="dxa"/>
            <w:tcBorders>
              <w:top w:val="nil"/>
              <w:left w:val="nil"/>
              <w:bottom w:val="nil"/>
              <w:right w:val="nil"/>
            </w:tcBorders>
            <w:shd w:val="clear" w:color="auto" w:fill="auto"/>
            <w:vAlign w:val="center"/>
            <w:hideMark/>
          </w:tcPr>
          <w:p w14:paraId="3369356E" w14:textId="77777777" w:rsidR="00F167A7" w:rsidRPr="00644AEE" w:rsidRDefault="00F167A7" w:rsidP="006A71D3">
            <w:pPr>
              <w:spacing w:after="0"/>
              <w:jc w:val="right"/>
              <w:rPr>
                <w:rFonts w:cs="Arial"/>
                <w:sz w:val="16"/>
                <w:szCs w:val="16"/>
              </w:rPr>
            </w:pPr>
            <w:r w:rsidRPr="00644AEE">
              <w:rPr>
                <w:rFonts w:cs="Arial"/>
                <w:sz w:val="16"/>
                <w:szCs w:val="16"/>
              </w:rPr>
              <w:t>11.201</w:t>
            </w:r>
          </w:p>
        </w:tc>
        <w:tc>
          <w:tcPr>
            <w:tcW w:w="996" w:type="dxa"/>
            <w:tcBorders>
              <w:top w:val="nil"/>
              <w:left w:val="nil"/>
              <w:bottom w:val="nil"/>
              <w:right w:val="nil"/>
            </w:tcBorders>
            <w:shd w:val="clear" w:color="auto" w:fill="auto"/>
            <w:vAlign w:val="center"/>
            <w:hideMark/>
          </w:tcPr>
          <w:p w14:paraId="66339C0B" w14:textId="77777777" w:rsidR="00F167A7" w:rsidRPr="00644AEE" w:rsidRDefault="00F167A7" w:rsidP="006A71D3">
            <w:pPr>
              <w:spacing w:after="0"/>
              <w:jc w:val="right"/>
              <w:rPr>
                <w:rFonts w:cs="Arial"/>
                <w:sz w:val="16"/>
                <w:szCs w:val="16"/>
              </w:rPr>
            </w:pPr>
            <w:r w:rsidRPr="00644AEE">
              <w:rPr>
                <w:rFonts w:cs="Arial"/>
                <w:sz w:val="16"/>
                <w:szCs w:val="16"/>
              </w:rPr>
              <w:t>-1,41</w:t>
            </w:r>
          </w:p>
        </w:tc>
        <w:tc>
          <w:tcPr>
            <w:tcW w:w="996" w:type="dxa"/>
            <w:tcBorders>
              <w:top w:val="nil"/>
              <w:left w:val="nil"/>
              <w:bottom w:val="nil"/>
              <w:right w:val="nil"/>
            </w:tcBorders>
            <w:shd w:val="clear" w:color="auto" w:fill="auto"/>
            <w:vAlign w:val="center"/>
            <w:hideMark/>
          </w:tcPr>
          <w:p w14:paraId="64F63F17" w14:textId="77777777" w:rsidR="00F167A7" w:rsidRPr="00644AEE" w:rsidRDefault="00F167A7" w:rsidP="006A71D3">
            <w:pPr>
              <w:spacing w:after="0"/>
              <w:jc w:val="right"/>
              <w:rPr>
                <w:rFonts w:cs="Arial"/>
                <w:sz w:val="16"/>
                <w:szCs w:val="16"/>
              </w:rPr>
            </w:pPr>
            <w:r w:rsidRPr="00644AEE">
              <w:rPr>
                <w:rFonts w:cs="Arial"/>
                <w:sz w:val="16"/>
                <w:szCs w:val="16"/>
              </w:rPr>
              <w:t>225.197</w:t>
            </w:r>
          </w:p>
        </w:tc>
        <w:tc>
          <w:tcPr>
            <w:tcW w:w="996" w:type="dxa"/>
            <w:tcBorders>
              <w:top w:val="nil"/>
              <w:left w:val="nil"/>
              <w:bottom w:val="nil"/>
              <w:right w:val="single" w:sz="8" w:space="0" w:color="808080"/>
            </w:tcBorders>
            <w:shd w:val="clear" w:color="auto" w:fill="auto"/>
            <w:vAlign w:val="center"/>
            <w:hideMark/>
          </w:tcPr>
          <w:p w14:paraId="55DF412D" w14:textId="77777777" w:rsidR="00F167A7" w:rsidRPr="00644AEE" w:rsidRDefault="00F167A7" w:rsidP="006A71D3">
            <w:pPr>
              <w:spacing w:after="0"/>
              <w:jc w:val="right"/>
              <w:rPr>
                <w:rFonts w:cs="Arial"/>
                <w:sz w:val="16"/>
                <w:szCs w:val="16"/>
              </w:rPr>
            </w:pPr>
            <w:r w:rsidRPr="00644AEE">
              <w:rPr>
                <w:rFonts w:cs="Arial"/>
                <w:sz w:val="16"/>
                <w:szCs w:val="16"/>
              </w:rPr>
              <w:t>4,97</w:t>
            </w:r>
          </w:p>
        </w:tc>
      </w:tr>
      <w:tr w:rsidR="00F167A7" w:rsidRPr="00644AEE" w14:paraId="447E121C" w14:textId="77777777" w:rsidTr="00503F86">
        <w:trPr>
          <w:gridAfter w:val="1"/>
          <w:wAfter w:w="10" w:type="dxa"/>
          <w:cantSplit/>
          <w:trHeight w:val="226"/>
          <w:jc w:val="center"/>
        </w:trPr>
        <w:tc>
          <w:tcPr>
            <w:tcW w:w="996" w:type="dxa"/>
            <w:tcBorders>
              <w:top w:val="nil"/>
              <w:left w:val="single" w:sz="8" w:space="0" w:color="808080"/>
              <w:bottom w:val="nil"/>
              <w:right w:val="nil"/>
            </w:tcBorders>
            <w:shd w:val="clear" w:color="auto" w:fill="auto"/>
            <w:vAlign w:val="center"/>
            <w:hideMark/>
          </w:tcPr>
          <w:p w14:paraId="1A39CAE5"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2024*</w:t>
            </w:r>
          </w:p>
        </w:tc>
        <w:tc>
          <w:tcPr>
            <w:tcW w:w="996" w:type="dxa"/>
            <w:tcBorders>
              <w:top w:val="nil"/>
              <w:left w:val="nil"/>
              <w:bottom w:val="nil"/>
              <w:right w:val="nil"/>
            </w:tcBorders>
            <w:shd w:val="clear" w:color="auto" w:fill="auto"/>
            <w:vAlign w:val="center"/>
            <w:hideMark/>
          </w:tcPr>
          <w:p w14:paraId="36296851" w14:textId="77777777" w:rsidR="00F167A7" w:rsidRPr="00644AEE" w:rsidRDefault="00F167A7" w:rsidP="006A71D3">
            <w:pPr>
              <w:spacing w:after="0"/>
              <w:jc w:val="right"/>
              <w:rPr>
                <w:rFonts w:cs="Arial"/>
                <w:sz w:val="16"/>
                <w:szCs w:val="16"/>
              </w:rPr>
            </w:pPr>
            <w:r w:rsidRPr="00644AEE">
              <w:rPr>
                <w:rFonts w:cs="Arial"/>
                <w:sz w:val="16"/>
                <w:szCs w:val="16"/>
              </w:rPr>
              <w:t>2</w:t>
            </w:r>
            <w:r>
              <w:rPr>
                <w:rFonts w:cs="Arial"/>
                <w:sz w:val="16"/>
                <w:szCs w:val="16"/>
              </w:rPr>
              <w:t>.</w:t>
            </w:r>
            <w:r w:rsidRPr="00644AEE">
              <w:rPr>
                <w:rFonts w:cs="Arial"/>
                <w:sz w:val="16"/>
                <w:szCs w:val="16"/>
              </w:rPr>
              <w:t>750</w:t>
            </w:r>
          </w:p>
        </w:tc>
        <w:tc>
          <w:tcPr>
            <w:tcW w:w="996" w:type="dxa"/>
            <w:tcBorders>
              <w:top w:val="nil"/>
              <w:left w:val="nil"/>
              <w:bottom w:val="nil"/>
              <w:right w:val="nil"/>
            </w:tcBorders>
            <w:shd w:val="clear" w:color="auto" w:fill="auto"/>
            <w:vAlign w:val="center"/>
            <w:hideMark/>
          </w:tcPr>
          <w:p w14:paraId="6D93BCF2" w14:textId="77777777" w:rsidR="00F167A7" w:rsidRPr="00644AEE" w:rsidRDefault="00F167A7" w:rsidP="006A71D3">
            <w:pPr>
              <w:spacing w:after="0"/>
              <w:jc w:val="right"/>
              <w:rPr>
                <w:rFonts w:cs="Arial"/>
                <w:sz w:val="16"/>
                <w:szCs w:val="16"/>
              </w:rPr>
            </w:pPr>
            <w:r w:rsidRPr="00644AEE">
              <w:rPr>
                <w:rFonts w:cs="Arial"/>
                <w:sz w:val="16"/>
                <w:szCs w:val="16"/>
              </w:rPr>
              <w:t>7</w:t>
            </w:r>
            <w:r>
              <w:rPr>
                <w:rFonts w:cs="Arial"/>
                <w:sz w:val="16"/>
                <w:szCs w:val="16"/>
              </w:rPr>
              <w:t>.</w:t>
            </w:r>
            <w:r w:rsidRPr="00644AEE">
              <w:rPr>
                <w:rFonts w:cs="Arial"/>
                <w:sz w:val="16"/>
                <w:szCs w:val="16"/>
              </w:rPr>
              <w:t>100</w:t>
            </w:r>
          </w:p>
        </w:tc>
        <w:tc>
          <w:tcPr>
            <w:tcW w:w="996" w:type="dxa"/>
            <w:tcBorders>
              <w:top w:val="nil"/>
              <w:left w:val="nil"/>
              <w:bottom w:val="nil"/>
              <w:right w:val="nil"/>
            </w:tcBorders>
            <w:shd w:val="clear" w:color="auto" w:fill="auto"/>
            <w:vAlign w:val="center"/>
            <w:hideMark/>
          </w:tcPr>
          <w:p w14:paraId="57C481BB" w14:textId="77777777" w:rsidR="00F167A7" w:rsidRPr="00644AEE" w:rsidRDefault="00F167A7" w:rsidP="006A71D3">
            <w:pPr>
              <w:spacing w:after="0"/>
              <w:jc w:val="right"/>
              <w:rPr>
                <w:rFonts w:cs="Arial"/>
                <w:sz w:val="16"/>
                <w:szCs w:val="16"/>
              </w:rPr>
            </w:pPr>
            <w:r w:rsidRPr="00644AEE">
              <w:rPr>
                <w:rFonts w:cs="Arial"/>
                <w:sz w:val="16"/>
                <w:szCs w:val="16"/>
              </w:rPr>
              <w:t>3</w:t>
            </w:r>
            <w:r>
              <w:rPr>
                <w:rFonts w:cs="Arial"/>
                <w:sz w:val="16"/>
                <w:szCs w:val="16"/>
              </w:rPr>
              <w:t>.</w:t>
            </w:r>
            <w:r w:rsidRPr="00644AEE">
              <w:rPr>
                <w:rFonts w:cs="Arial"/>
                <w:sz w:val="16"/>
                <w:szCs w:val="16"/>
              </w:rPr>
              <w:t>300</w:t>
            </w:r>
          </w:p>
        </w:tc>
        <w:tc>
          <w:tcPr>
            <w:tcW w:w="996" w:type="dxa"/>
            <w:tcBorders>
              <w:top w:val="nil"/>
              <w:left w:val="nil"/>
              <w:bottom w:val="nil"/>
              <w:right w:val="nil"/>
            </w:tcBorders>
            <w:shd w:val="clear" w:color="auto" w:fill="auto"/>
            <w:vAlign w:val="center"/>
            <w:hideMark/>
          </w:tcPr>
          <w:p w14:paraId="28B1B97A" w14:textId="77777777" w:rsidR="00F167A7" w:rsidRPr="00644AEE" w:rsidRDefault="00F167A7" w:rsidP="006A71D3">
            <w:pPr>
              <w:spacing w:after="0"/>
              <w:jc w:val="right"/>
              <w:rPr>
                <w:rFonts w:cs="Arial"/>
                <w:sz w:val="16"/>
                <w:szCs w:val="16"/>
              </w:rPr>
            </w:pPr>
            <w:r w:rsidRPr="00644AEE">
              <w:rPr>
                <w:rFonts w:cs="Arial"/>
                <w:sz w:val="16"/>
                <w:szCs w:val="16"/>
              </w:rPr>
              <w:t>13.150</w:t>
            </w:r>
          </w:p>
        </w:tc>
        <w:tc>
          <w:tcPr>
            <w:tcW w:w="996" w:type="dxa"/>
            <w:tcBorders>
              <w:top w:val="nil"/>
              <w:left w:val="nil"/>
              <w:bottom w:val="nil"/>
              <w:right w:val="nil"/>
            </w:tcBorders>
            <w:shd w:val="clear" w:color="auto" w:fill="auto"/>
            <w:vAlign w:val="center"/>
            <w:hideMark/>
          </w:tcPr>
          <w:p w14:paraId="45254F4B" w14:textId="77777777" w:rsidR="00F167A7" w:rsidRPr="00644AEE" w:rsidRDefault="00F167A7" w:rsidP="006A71D3">
            <w:pPr>
              <w:spacing w:after="0"/>
              <w:jc w:val="right"/>
              <w:rPr>
                <w:rFonts w:cs="Arial"/>
                <w:sz w:val="16"/>
                <w:szCs w:val="16"/>
              </w:rPr>
            </w:pPr>
            <w:r w:rsidRPr="00644AEE">
              <w:rPr>
                <w:rFonts w:cs="Arial"/>
                <w:sz w:val="16"/>
                <w:szCs w:val="16"/>
              </w:rPr>
              <w:t>17,40</w:t>
            </w:r>
          </w:p>
        </w:tc>
        <w:tc>
          <w:tcPr>
            <w:tcW w:w="996" w:type="dxa"/>
            <w:tcBorders>
              <w:top w:val="nil"/>
              <w:left w:val="nil"/>
              <w:bottom w:val="nil"/>
              <w:right w:val="nil"/>
            </w:tcBorders>
            <w:shd w:val="clear" w:color="auto" w:fill="auto"/>
            <w:vAlign w:val="center"/>
            <w:hideMark/>
          </w:tcPr>
          <w:p w14:paraId="435FBF25" w14:textId="77777777" w:rsidR="00F167A7" w:rsidRPr="00644AEE" w:rsidRDefault="00F167A7" w:rsidP="006A71D3">
            <w:pPr>
              <w:spacing w:after="0"/>
              <w:jc w:val="right"/>
              <w:rPr>
                <w:rFonts w:cs="Arial"/>
                <w:sz w:val="16"/>
                <w:szCs w:val="16"/>
              </w:rPr>
            </w:pPr>
            <w:r w:rsidRPr="00644AEE">
              <w:rPr>
                <w:rFonts w:cs="Arial"/>
                <w:sz w:val="16"/>
                <w:szCs w:val="16"/>
              </w:rPr>
              <w:t>236.965</w:t>
            </w:r>
          </w:p>
        </w:tc>
        <w:tc>
          <w:tcPr>
            <w:tcW w:w="996" w:type="dxa"/>
            <w:tcBorders>
              <w:top w:val="nil"/>
              <w:left w:val="nil"/>
              <w:bottom w:val="nil"/>
              <w:right w:val="single" w:sz="8" w:space="0" w:color="808080"/>
            </w:tcBorders>
            <w:shd w:val="clear" w:color="auto" w:fill="auto"/>
            <w:vAlign w:val="center"/>
            <w:hideMark/>
          </w:tcPr>
          <w:p w14:paraId="4B34D28C" w14:textId="77777777" w:rsidR="00F167A7" w:rsidRPr="00644AEE" w:rsidRDefault="00F167A7" w:rsidP="006A71D3">
            <w:pPr>
              <w:spacing w:after="0"/>
              <w:jc w:val="right"/>
              <w:rPr>
                <w:rFonts w:cs="Arial"/>
                <w:sz w:val="16"/>
                <w:szCs w:val="16"/>
              </w:rPr>
            </w:pPr>
            <w:r w:rsidRPr="00644AEE">
              <w:rPr>
                <w:rFonts w:cs="Arial"/>
                <w:sz w:val="16"/>
                <w:szCs w:val="16"/>
              </w:rPr>
              <w:t>5,55</w:t>
            </w:r>
          </w:p>
        </w:tc>
      </w:tr>
      <w:tr w:rsidR="00F167A7" w:rsidRPr="00644AEE" w14:paraId="2CA06A36" w14:textId="77777777" w:rsidTr="00503F86">
        <w:trPr>
          <w:gridAfter w:val="1"/>
          <w:wAfter w:w="10" w:type="dxa"/>
          <w:cantSplit/>
          <w:trHeight w:val="236"/>
          <w:jc w:val="center"/>
        </w:trPr>
        <w:tc>
          <w:tcPr>
            <w:tcW w:w="996" w:type="dxa"/>
            <w:tcBorders>
              <w:top w:val="nil"/>
              <w:left w:val="single" w:sz="8" w:space="0" w:color="808080"/>
              <w:bottom w:val="single" w:sz="8" w:space="0" w:color="808080"/>
              <w:right w:val="nil"/>
            </w:tcBorders>
            <w:shd w:val="clear" w:color="auto" w:fill="auto"/>
            <w:vAlign w:val="center"/>
            <w:hideMark/>
          </w:tcPr>
          <w:p w14:paraId="3389A06D" w14:textId="77777777" w:rsidR="00F167A7" w:rsidRPr="00644AEE" w:rsidRDefault="00F167A7" w:rsidP="006A71D3">
            <w:pPr>
              <w:spacing w:after="0"/>
              <w:jc w:val="center"/>
              <w:rPr>
                <w:rFonts w:cs="Arial"/>
                <w:color w:val="000000"/>
                <w:sz w:val="16"/>
                <w:szCs w:val="16"/>
              </w:rPr>
            </w:pPr>
            <w:r w:rsidRPr="00644AEE">
              <w:rPr>
                <w:rFonts w:cs="Arial"/>
                <w:color w:val="000000"/>
                <w:sz w:val="16"/>
                <w:szCs w:val="16"/>
              </w:rPr>
              <w:t>2025*</w:t>
            </w:r>
          </w:p>
        </w:tc>
        <w:tc>
          <w:tcPr>
            <w:tcW w:w="996" w:type="dxa"/>
            <w:tcBorders>
              <w:top w:val="nil"/>
              <w:left w:val="nil"/>
              <w:bottom w:val="nil"/>
              <w:right w:val="nil"/>
            </w:tcBorders>
            <w:shd w:val="clear" w:color="auto" w:fill="auto"/>
            <w:vAlign w:val="center"/>
            <w:hideMark/>
          </w:tcPr>
          <w:p w14:paraId="41DC50C9" w14:textId="77777777" w:rsidR="00F167A7" w:rsidRPr="00644AEE" w:rsidRDefault="00F167A7" w:rsidP="006A71D3">
            <w:pPr>
              <w:spacing w:after="0"/>
              <w:jc w:val="right"/>
              <w:rPr>
                <w:rFonts w:cs="Arial"/>
                <w:sz w:val="16"/>
                <w:szCs w:val="16"/>
              </w:rPr>
            </w:pPr>
            <w:r w:rsidRPr="00644AEE">
              <w:rPr>
                <w:rFonts w:cs="Arial"/>
                <w:sz w:val="16"/>
                <w:szCs w:val="16"/>
              </w:rPr>
              <w:t>2</w:t>
            </w:r>
            <w:r>
              <w:rPr>
                <w:rFonts w:cs="Arial"/>
                <w:sz w:val="16"/>
                <w:szCs w:val="16"/>
              </w:rPr>
              <w:t>.</w:t>
            </w:r>
            <w:r w:rsidRPr="00644AEE">
              <w:rPr>
                <w:rFonts w:cs="Arial"/>
                <w:sz w:val="16"/>
                <w:szCs w:val="16"/>
              </w:rPr>
              <w:t>750</w:t>
            </w:r>
          </w:p>
        </w:tc>
        <w:tc>
          <w:tcPr>
            <w:tcW w:w="996" w:type="dxa"/>
            <w:tcBorders>
              <w:top w:val="nil"/>
              <w:left w:val="nil"/>
              <w:bottom w:val="nil"/>
              <w:right w:val="nil"/>
            </w:tcBorders>
            <w:shd w:val="clear" w:color="auto" w:fill="auto"/>
            <w:vAlign w:val="center"/>
            <w:hideMark/>
          </w:tcPr>
          <w:p w14:paraId="3C140B08" w14:textId="77777777" w:rsidR="00F167A7" w:rsidRPr="00644AEE" w:rsidRDefault="00F167A7" w:rsidP="006A71D3">
            <w:pPr>
              <w:spacing w:after="0"/>
              <w:jc w:val="right"/>
              <w:rPr>
                <w:rFonts w:cs="Arial"/>
                <w:sz w:val="16"/>
                <w:szCs w:val="16"/>
              </w:rPr>
            </w:pPr>
            <w:r w:rsidRPr="00644AEE">
              <w:rPr>
                <w:rFonts w:cs="Arial"/>
                <w:sz w:val="16"/>
                <w:szCs w:val="16"/>
              </w:rPr>
              <w:t>6</w:t>
            </w:r>
            <w:r>
              <w:rPr>
                <w:rFonts w:cs="Arial"/>
                <w:sz w:val="16"/>
                <w:szCs w:val="16"/>
              </w:rPr>
              <w:t>.</w:t>
            </w:r>
            <w:r w:rsidRPr="00644AEE">
              <w:rPr>
                <w:rFonts w:cs="Arial"/>
                <w:sz w:val="16"/>
                <w:szCs w:val="16"/>
              </w:rPr>
              <w:t>450</w:t>
            </w:r>
          </w:p>
        </w:tc>
        <w:tc>
          <w:tcPr>
            <w:tcW w:w="996" w:type="dxa"/>
            <w:tcBorders>
              <w:top w:val="nil"/>
              <w:left w:val="nil"/>
              <w:bottom w:val="nil"/>
              <w:right w:val="nil"/>
            </w:tcBorders>
            <w:shd w:val="clear" w:color="auto" w:fill="auto"/>
            <w:vAlign w:val="center"/>
            <w:hideMark/>
          </w:tcPr>
          <w:p w14:paraId="67F80DD7" w14:textId="77777777" w:rsidR="00F167A7" w:rsidRPr="00644AEE" w:rsidRDefault="00F167A7" w:rsidP="006A71D3">
            <w:pPr>
              <w:spacing w:after="0"/>
              <w:jc w:val="right"/>
              <w:rPr>
                <w:rFonts w:cs="Arial"/>
                <w:sz w:val="16"/>
                <w:szCs w:val="16"/>
              </w:rPr>
            </w:pPr>
            <w:r w:rsidRPr="00644AEE">
              <w:rPr>
                <w:rFonts w:cs="Arial"/>
                <w:sz w:val="16"/>
                <w:szCs w:val="16"/>
              </w:rPr>
              <w:t>4</w:t>
            </w:r>
            <w:r>
              <w:rPr>
                <w:rFonts w:cs="Arial"/>
                <w:sz w:val="16"/>
                <w:szCs w:val="16"/>
              </w:rPr>
              <w:t>.</w:t>
            </w:r>
            <w:r w:rsidRPr="00644AEE">
              <w:rPr>
                <w:rFonts w:cs="Arial"/>
                <w:sz w:val="16"/>
                <w:szCs w:val="16"/>
              </w:rPr>
              <w:t>900</w:t>
            </w:r>
          </w:p>
        </w:tc>
        <w:tc>
          <w:tcPr>
            <w:tcW w:w="996" w:type="dxa"/>
            <w:tcBorders>
              <w:top w:val="nil"/>
              <w:left w:val="nil"/>
              <w:bottom w:val="nil"/>
              <w:right w:val="nil"/>
            </w:tcBorders>
            <w:shd w:val="clear" w:color="auto" w:fill="auto"/>
            <w:vAlign w:val="center"/>
            <w:hideMark/>
          </w:tcPr>
          <w:p w14:paraId="3237EC70" w14:textId="77777777" w:rsidR="00F167A7" w:rsidRPr="00644AEE" w:rsidRDefault="00F167A7" w:rsidP="006A71D3">
            <w:pPr>
              <w:spacing w:after="0"/>
              <w:jc w:val="right"/>
              <w:rPr>
                <w:rFonts w:cs="Arial"/>
                <w:sz w:val="16"/>
                <w:szCs w:val="16"/>
              </w:rPr>
            </w:pPr>
            <w:r w:rsidRPr="00644AEE">
              <w:rPr>
                <w:rFonts w:cs="Arial"/>
                <w:sz w:val="16"/>
                <w:szCs w:val="16"/>
              </w:rPr>
              <w:t>14.100</w:t>
            </w:r>
          </w:p>
        </w:tc>
        <w:tc>
          <w:tcPr>
            <w:tcW w:w="996" w:type="dxa"/>
            <w:tcBorders>
              <w:top w:val="nil"/>
              <w:left w:val="nil"/>
              <w:bottom w:val="nil"/>
              <w:right w:val="nil"/>
            </w:tcBorders>
            <w:shd w:val="clear" w:color="auto" w:fill="auto"/>
            <w:vAlign w:val="center"/>
            <w:hideMark/>
          </w:tcPr>
          <w:p w14:paraId="26765DC7" w14:textId="77777777" w:rsidR="00F167A7" w:rsidRPr="00644AEE" w:rsidRDefault="00F167A7" w:rsidP="006A71D3">
            <w:pPr>
              <w:spacing w:after="0"/>
              <w:jc w:val="right"/>
              <w:rPr>
                <w:rFonts w:cs="Arial"/>
                <w:sz w:val="16"/>
                <w:szCs w:val="16"/>
              </w:rPr>
            </w:pPr>
            <w:r w:rsidRPr="00644AEE">
              <w:rPr>
                <w:rFonts w:cs="Arial"/>
                <w:sz w:val="16"/>
                <w:szCs w:val="16"/>
              </w:rPr>
              <w:t>7,22</w:t>
            </w:r>
          </w:p>
        </w:tc>
        <w:tc>
          <w:tcPr>
            <w:tcW w:w="996" w:type="dxa"/>
            <w:tcBorders>
              <w:top w:val="nil"/>
              <w:left w:val="nil"/>
              <w:bottom w:val="single" w:sz="8" w:space="0" w:color="808080"/>
              <w:right w:val="nil"/>
            </w:tcBorders>
            <w:shd w:val="clear" w:color="auto" w:fill="auto"/>
            <w:vAlign w:val="center"/>
            <w:hideMark/>
          </w:tcPr>
          <w:p w14:paraId="25F87403" w14:textId="77777777" w:rsidR="00F167A7" w:rsidRPr="00644AEE" w:rsidRDefault="00F167A7" w:rsidP="006A71D3">
            <w:pPr>
              <w:spacing w:after="0"/>
              <w:jc w:val="right"/>
              <w:rPr>
                <w:rFonts w:cs="Arial"/>
                <w:sz w:val="16"/>
                <w:szCs w:val="16"/>
              </w:rPr>
            </w:pPr>
            <w:r w:rsidRPr="00644AEE">
              <w:rPr>
                <w:rFonts w:cs="Arial"/>
                <w:sz w:val="16"/>
                <w:szCs w:val="16"/>
              </w:rPr>
              <w:t>247.514</w:t>
            </w:r>
          </w:p>
        </w:tc>
        <w:tc>
          <w:tcPr>
            <w:tcW w:w="996" w:type="dxa"/>
            <w:tcBorders>
              <w:top w:val="nil"/>
              <w:left w:val="nil"/>
              <w:bottom w:val="nil"/>
              <w:right w:val="single" w:sz="8" w:space="0" w:color="808080"/>
            </w:tcBorders>
            <w:shd w:val="clear" w:color="auto" w:fill="auto"/>
            <w:vAlign w:val="center"/>
            <w:hideMark/>
          </w:tcPr>
          <w:p w14:paraId="47874CF7" w14:textId="77777777" w:rsidR="00F167A7" w:rsidRPr="00644AEE" w:rsidRDefault="00F167A7" w:rsidP="006A71D3">
            <w:pPr>
              <w:spacing w:after="0"/>
              <w:jc w:val="right"/>
              <w:rPr>
                <w:rFonts w:cs="Arial"/>
                <w:sz w:val="16"/>
                <w:szCs w:val="16"/>
              </w:rPr>
            </w:pPr>
            <w:r w:rsidRPr="00644AEE">
              <w:rPr>
                <w:rFonts w:cs="Arial"/>
                <w:sz w:val="16"/>
                <w:szCs w:val="16"/>
              </w:rPr>
              <w:t>5,70</w:t>
            </w:r>
          </w:p>
        </w:tc>
      </w:tr>
      <w:tr w:rsidR="00F167A7" w:rsidRPr="00644AEE" w14:paraId="191FFEEC" w14:textId="77777777" w:rsidTr="00D055B1">
        <w:trPr>
          <w:cantSplit/>
          <w:trHeight w:val="581"/>
          <w:jc w:val="center"/>
        </w:trPr>
        <w:tc>
          <w:tcPr>
            <w:tcW w:w="7978" w:type="dxa"/>
            <w:gridSpan w:val="9"/>
            <w:tcBorders>
              <w:top w:val="single" w:sz="8" w:space="0" w:color="808080"/>
              <w:left w:val="nil"/>
              <w:bottom w:val="nil"/>
              <w:right w:val="nil"/>
            </w:tcBorders>
            <w:shd w:val="clear" w:color="auto" w:fill="auto"/>
            <w:vAlign w:val="center"/>
            <w:hideMark/>
          </w:tcPr>
          <w:p w14:paraId="6391FE9E" w14:textId="77777777" w:rsidR="00F167A7" w:rsidRDefault="00F167A7" w:rsidP="006A71D3">
            <w:pPr>
              <w:tabs>
                <w:tab w:val="left" w:pos="170"/>
              </w:tabs>
              <w:spacing w:before="60" w:after="0" w:line="240" w:lineRule="auto"/>
              <w:ind w:left="170" w:hanging="170"/>
              <w:rPr>
                <w:rFonts w:cs="Arial"/>
                <w:color w:val="000000"/>
                <w:sz w:val="16"/>
                <w:szCs w:val="16"/>
              </w:rPr>
            </w:pPr>
            <w:r w:rsidRPr="00644AEE">
              <w:rPr>
                <w:rFonts w:cs="Arial"/>
                <w:color w:val="000000"/>
                <w:sz w:val="16"/>
                <w:szCs w:val="16"/>
              </w:rPr>
              <w:t>*</w:t>
            </w:r>
            <w:r>
              <w:rPr>
                <w:rFonts w:cs="Arial"/>
                <w:color w:val="000000"/>
                <w:sz w:val="16"/>
                <w:szCs w:val="16"/>
              </w:rPr>
              <w:tab/>
            </w:r>
            <w:r w:rsidRPr="00644AEE">
              <w:rPr>
                <w:rFonts w:cs="Arial"/>
                <w:color w:val="000000"/>
                <w:sz w:val="16"/>
                <w:szCs w:val="16"/>
              </w:rPr>
              <w:t xml:space="preserve">Τα ποσά για τον προϋπολογισμό δημοσίων επενδύσεων και το ΑΕΠ αποτελούν για το έτος 2024 εκτίμηση και για το 2025 πρόβλεψη, ενώ τα ποσά </w:t>
            </w:r>
            <w:r>
              <w:rPr>
                <w:rFonts w:cs="Arial"/>
                <w:color w:val="000000"/>
                <w:sz w:val="16"/>
                <w:szCs w:val="16"/>
              </w:rPr>
              <w:t>των δαπανών έως</w:t>
            </w:r>
            <w:r w:rsidRPr="00644AEE">
              <w:rPr>
                <w:rFonts w:cs="Arial"/>
                <w:color w:val="000000"/>
                <w:sz w:val="16"/>
                <w:szCs w:val="16"/>
              </w:rPr>
              <w:t xml:space="preserve"> και το 2023 αποτελούν στοιχεία του επίσημου Απολογισμού του Κράτους.</w:t>
            </w:r>
          </w:p>
          <w:p w14:paraId="72E1EA62" w14:textId="77777777" w:rsidR="00D055B1" w:rsidRDefault="00D055B1" w:rsidP="00D055B1">
            <w:pPr>
              <w:spacing w:after="0" w:line="240" w:lineRule="auto"/>
              <w:rPr>
                <w:rFonts w:cs="Arial"/>
                <w:color w:val="000000"/>
                <w:sz w:val="16"/>
                <w:szCs w:val="16"/>
              </w:rPr>
            </w:pPr>
            <w:r w:rsidRPr="00644AEE">
              <w:rPr>
                <w:rFonts w:cs="Arial"/>
                <w:color w:val="000000"/>
                <w:sz w:val="16"/>
                <w:szCs w:val="16"/>
              </w:rPr>
              <w:t>Πηγή: Υπουργείο Εθνικής Οικονομίας και Οικονομικών (Γενικό Λογιστήριο του Κράτους</w:t>
            </w:r>
            <w:r>
              <w:rPr>
                <w:rFonts w:cs="Arial"/>
                <w:color w:val="000000"/>
                <w:sz w:val="16"/>
                <w:szCs w:val="16"/>
              </w:rPr>
              <w:t>/ΔΠΓΚ και ΔΛΓΚ</w:t>
            </w:r>
            <w:r w:rsidRPr="00644AEE">
              <w:rPr>
                <w:rFonts w:cs="Arial"/>
                <w:color w:val="000000"/>
                <w:sz w:val="16"/>
                <w:szCs w:val="16"/>
              </w:rPr>
              <w:t xml:space="preserve">, </w:t>
            </w:r>
            <w:r>
              <w:rPr>
                <w:rFonts w:cs="Arial"/>
                <w:color w:val="000000"/>
                <w:sz w:val="16"/>
                <w:szCs w:val="16"/>
              </w:rPr>
              <w:t>Γενική Γραμματεία Οικονομικής Πολιτικής και Στρατηγικής/</w:t>
            </w:r>
            <w:r w:rsidRPr="00644AEE">
              <w:rPr>
                <w:rFonts w:cs="Arial"/>
                <w:color w:val="000000"/>
                <w:sz w:val="16"/>
                <w:szCs w:val="16"/>
              </w:rPr>
              <w:t xml:space="preserve">Διεύθυνση Μακροοικονομικής Πολιτικής </w:t>
            </w:r>
            <w:r>
              <w:rPr>
                <w:rFonts w:cs="Arial"/>
                <w:color w:val="000000"/>
                <w:sz w:val="16"/>
                <w:szCs w:val="16"/>
              </w:rPr>
              <w:t>και</w:t>
            </w:r>
            <w:r w:rsidRPr="00644AEE">
              <w:rPr>
                <w:rFonts w:cs="Arial"/>
                <w:color w:val="000000"/>
                <w:sz w:val="16"/>
                <w:szCs w:val="16"/>
              </w:rPr>
              <w:t xml:space="preserve"> Προβλέψεων), Ε</w:t>
            </w:r>
            <w:r>
              <w:rPr>
                <w:rFonts w:cs="Arial"/>
                <w:color w:val="000000"/>
                <w:sz w:val="16"/>
                <w:szCs w:val="16"/>
              </w:rPr>
              <w:t>ΛΣΤΑΤ</w:t>
            </w:r>
            <w:r w:rsidRPr="00644AEE">
              <w:rPr>
                <w:rFonts w:cs="Arial"/>
                <w:color w:val="000000"/>
                <w:sz w:val="16"/>
                <w:szCs w:val="16"/>
              </w:rPr>
              <w:t xml:space="preserve">, International </w:t>
            </w:r>
            <w:proofErr w:type="spellStart"/>
            <w:r w:rsidRPr="00644AEE">
              <w:rPr>
                <w:rFonts w:cs="Arial"/>
                <w:color w:val="000000"/>
                <w:sz w:val="16"/>
                <w:szCs w:val="16"/>
              </w:rPr>
              <w:t>Monetary</w:t>
            </w:r>
            <w:proofErr w:type="spellEnd"/>
            <w:r w:rsidRPr="00644AEE">
              <w:rPr>
                <w:rFonts w:cs="Arial"/>
                <w:color w:val="000000"/>
                <w:sz w:val="16"/>
                <w:szCs w:val="16"/>
              </w:rPr>
              <w:t xml:space="preserve"> Fund</w:t>
            </w:r>
          </w:p>
          <w:p w14:paraId="2117623A" w14:textId="77777777" w:rsidR="00D055B1" w:rsidRPr="00644AEE" w:rsidRDefault="00D055B1" w:rsidP="006A71D3">
            <w:pPr>
              <w:tabs>
                <w:tab w:val="left" w:pos="170"/>
              </w:tabs>
              <w:spacing w:before="60" w:after="0" w:line="240" w:lineRule="auto"/>
              <w:ind w:left="170" w:hanging="170"/>
              <w:rPr>
                <w:rFonts w:cs="Arial"/>
                <w:color w:val="000000"/>
                <w:sz w:val="16"/>
                <w:szCs w:val="16"/>
              </w:rPr>
            </w:pPr>
          </w:p>
        </w:tc>
      </w:tr>
    </w:tbl>
    <w:p w14:paraId="7E8F02E3" w14:textId="77777777" w:rsidR="00503F86" w:rsidRDefault="00503F86" w:rsidP="00503F86">
      <w:pPr>
        <w:spacing w:before="240"/>
        <w:jc w:val="both"/>
        <w:rPr>
          <w:rFonts w:cs="Arial"/>
          <w:b/>
          <w:szCs w:val="20"/>
        </w:rPr>
      </w:pPr>
      <w:r w:rsidRPr="000804F7">
        <w:t xml:space="preserve">Από την ανάλυση των στοιχείων προκύπτει ότι οι δαπάνες του ΑΠΔΕ τα τελευταία πέντε χρόνια κυμαίνονται μεταξύ </w:t>
      </w:r>
      <w:r>
        <w:t>5</w:t>
      </w:r>
      <w:r w:rsidRPr="000804F7">
        <w:t>,</w:t>
      </w:r>
      <w:r>
        <w:t>0</w:t>
      </w:r>
      <w:r w:rsidRPr="000804F7">
        <w:t>%</w:t>
      </w:r>
      <w:r>
        <w:t xml:space="preserve"> </w:t>
      </w:r>
      <w:r w:rsidRPr="000804F7">
        <w:t>-</w:t>
      </w:r>
      <w:r>
        <w:t xml:space="preserve"> </w:t>
      </w:r>
      <w:r w:rsidRPr="000804F7">
        <w:t xml:space="preserve">6,4% του ΑΕΠ, </w:t>
      </w:r>
      <w:r>
        <w:t xml:space="preserve">σε </w:t>
      </w:r>
      <w:r w:rsidRPr="000804F7">
        <w:t xml:space="preserve">σημαντικά υψηλότερο </w:t>
      </w:r>
      <w:r>
        <w:t>ποσοστό συγκριτικά με το αντίστοιχο (</w:t>
      </w:r>
      <w:r w:rsidRPr="000804F7">
        <w:t>3%</w:t>
      </w:r>
      <w:r>
        <w:t xml:space="preserve"> </w:t>
      </w:r>
      <w:r w:rsidRPr="000804F7">
        <w:t>-</w:t>
      </w:r>
      <w:r>
        <w:t xml:space="preserve"> </w:t>
      </w:r>
      <w:r w:rsidRPr="000804F7">
        <w:t>3,7% του ΑΕΠ</w:t>
      </w:r>
      <w:r>
        <w:t xml:space="preserve">) της χρονικής περιόδου </w:t>
      </w:r>
      <w:r w:rsidRPr="000804F7">
        <w:t xml:space="preserve">2014 </w:t>
      </w:r>
      <w:r>
        <w:t>-</w:t>
      </w:r>
      <w:r w:rsidRPr="000804F7">
        <w:t xml:space="preserve"> 2019. Ειδικότερα, το 2020 οι δαπάνες του ΑΠΔΕ αυξήθηκαν κατά 88,7% σε σχέση με το προηγούμενο έτος, καταγράφοντας ποσοστό 6,4% του ΑΕΠ, κυρίως λόγω της χρηματοδότησης δράσεων για την αντιμετώπιση των </w:t>
      </w:r>
      <w:r>
        <w:t>επιπτώσεων</w:t>
      </w:r>
      <w:r w:rsidRPr="000804F7">
        <w:t xml:space="preserve"> της υγειονομικής κρίσης. Τα επόμενα έτη οι δαπάνες του ΑΕΠ παρέμειναν σε ιδιαίτερα υψηλά επίπεδα, σηματοδοτώντας την ενίσχυση της αναπτυξιακής κατεύθυνσης της ελληνικής οικονομίας. Ειδικότερα, η μεγάλη άνοδος που καταγράφηκε το 2020 στις επενδυτικές δαπάνες αποδεικνύεται ότι δεν ήταν περιστασιακή ή λύση ανάγκης για την αντιμετώπιση της υγειονομικής κρίσης, αλλά βασική κατεύθυνση της οικονομικής πολιτικής που ασκείται στη χώρα. Από το 2021 και μετά προστίθενται επιπλέον επενδυτικοί πόροι από το Τ</w:t>
      </w:r>
      <w:r>
        <w:t xml:space="preserve">ΑΑ </w:t>
      </w:r>
      <w:r w:rsidRPr="000804F7">
        <w:t>για την περαιτέρω ενίσχυση όλων των παραγωγικών τομέων της οικονομίας. Το 2024 οι επενδυτικές δαπάνες εκτιμάται ότι θα αυξηθούν κατά 17,4% σε σχέση με το προηγούμενο έτος, κυρίως λόγω της αύξησης των δαπανών για τα έργα του ΤΑΑ, καθώς και για την αντιμετώπιση των προκλήσεων της κλιματικής αλλαγής.</w:t>
      </w:r>
    </w:p>
    <w:p w14:paraId="4CB744EE" w14:textId="0F090939" w:rsidR="00503F86" w:rsidRDefault="00503F86" w:rsidP="00503F86">
      <w:pPr>
        <w:jc w:val="both"/>
      </w:pPr>
      <w:r>
        <w:t xml:space="preserve">Τον Σεπτέμβριο 2024 ψηφίστηκε συμπληρωματικός προϋπολογισμός ύψους 900 εκατ. ευρώ (άρθρο 60 του ν.5140/2024). Με την ψήφιση του συμπληρωματικού προϋπολογισμού το όριο δαπανών στο εθνικό σκέλος αυξήθηκε κατά 600 εκατ. ευρώ και στο συγχρηματοδοτούμενο σκέλος κατά 300 εκατ. ευρώ. </w:t>
      </w:r>
      <w:r w:rsidRPr="002F6E93">
        <w:t>Σύμφωνα με τον προγραμματισμό του Υπουργείου Εθνικής Οικονομίας και Οικονομικών</w:t>
      </w:r>
      <w:r>
        <w:t xml:space="preserve"> και με βάση το σχετικό σχέδιο νόμου που βρίσκεται σε διαβούλευση,</w:t>
      </w:r>
      <w:r w:rsidRPr="002F6E93">
        <w:t xml:space="preserve"> πρόκειται να υποβληθεί στη Βουλή πρ</w:t>
      </w:r>
      <w:r>
        <w:t xml:space="preserve">οτεινόμενη ρύθμιση </w:t>
      </w:r>
      <w:r w:rsidRPr="002F6E93">
        <w:t>αναφορικά με τη</w:t>
      </w:r>
      <w:r>
        <w:t>ν</w:t>
      </w:r>
      <w:r w:rsidRPr="002F6E93">
        <w:t xml:space="preserve"> ψήφιση και δεύτερου συμπληρωματικού προϋπολογισμού, με τον οποίο το όριο δαπανών θα αυξηθεί περαιτέρω κατά 300 εκατ. ευρώ στο συγχρηματοδοτούμενο σκέλος και κατά 100 εκατ. ευρώ στο εθνικό σκέλος</w:t>
      </w:r>
      <w:r>
        <w:t xml:space="preserve">. Κατά συνέπεια, οι τελικές πιστώσεις για το έτος 2024 αναμένεται να διαμορφωθούν σε </w:t>
      </w:r>
      <w:r w:rsidRPr="002F6E93">
        <w:t>2.</w:t>
      </w:r>
      <w:r>
        <w:t>7</w:t>
      </w:r>
      <w:r w:rsidRPr="002F6E93">
        <w:t xml:space="preserve">50 εκατ. ευρώ στο εθνικό σκέλος και σε </w:t>
      </w:r>
      <w:r>
        <w:t>7.1</w:t>
      </w:r>
      <w:r w:rsidRPr="002F6E93">
        <w:t>00 εκατ. ευρώ στο συγχρηματοδοτούμενο σκέλος.</w:t>
      </w:r>
    </w:p>
    <w:p w14:paraId="44938FD4" w14:textId="77777777" w:rsidR="00503F86" w:rsidRDefault="00503F86" w:rsidP="00503F86">
      <w:pPr>
        <w:jc w:val="both"/>
      </w:pPr>
      <w:r>
        <w:t>Το Εθνικό Σχέδιο Ανάκαμψης και Ανθεκτικότητας «Ελλάδα 2.0» εγκρίθηκε στις 13 Ιουλίου 2021 από το Συμβούλιο Οικονομικών Δημοσιονομικών Θεμάτων της ΕΕ (</w:t>
      </w:r>
      <w:proofErr w:type="spellStart"/>
      <w:r>
        <w:t>Ecofin</w:t>
      </w:r>
      <w:proofErr w:type="spellEnd"/>
      <w:r>
        <w:t xml:space="preserve">), με προϋπολογισμό 30,5 δισ. ευρώ, ενώ στις 8 Δεκεμβρίου 2023 εγκρίθηκε η αναθεώρησή του, που αφορούσε κυρίως στην προσθήκη νέων επενδύσεων και μεταρρυθμίσεων στο πλαίσιο του </w:t>
      </w:r>
      <w:proofErr w:type="spellStart"/>
      <w:r>
        <w:t>REPowerEU</w:t>
      </w:r>
      <w:proofErr w:type="spellEnd"/>
      <w:r>
        <w:t xml:space="preserve"> καθώς και στην επέκταση του δανειακού προγράμματος. Με την έγκριση του αναθεωρημένου Σχεδίου ο συνολικός προϋπολογισμός του ανέρχεται σε 35,95 δισ. ευρώ.</w:t>
      </w:r>
    </w:p>
    <w:p w14:paraId="10B02DFB" w14:textId="77777777" w:rsidR="00503F86" w:rsidRPr="00680D49" w:rsidRDefault="00503F86" w:rsidP="00503F86">
      <w:pPr>
        <w:jc w:val="both"/>
      </w:pPr>
      <w:r>
        <w:lastRenderedPageBreak/>
        <w:t>Για την υλοποίηση δράσεων του Εθνικού Σχεδίου Ανάκαμψης και Ανθεκτικότητας «Ελλάδα 2.0», η εκτιμώμενη δαπάνη για το 2024 ανέρχεται σε 3.300 εκατ. ευρώ και περιλαμβάνει μεταρρυθμίσεις που εντάσσονται στους τέσσερις βασικούς πυλώνες του σχεδίου:</w:t>
      </w:r>
    </w:p>
    <w:p w14:paraId="51E09DF8" w14:textId="77777777" w:rsidR="00503F86" w:rsidRPr="00BA232E" w:rsidRDefault="00503F86" w:rsidP="00503F86">
      <w:pPr>
        <w:numPr>
          <w:ilvl w:val="0"/>
          <w:numId w:val="1"/>
        </w:numPr>
        <w:spacing w:before="120" w:after="60" w:line="300" w:lineRule="auto"/>
        <w:ind w:left="568" w:hanging="284"/>
        <w:jc w:val="both"/>
        <w:rPr>
          <w:rFonts w:cs="Arial"/>
          <w:szCs w:val="20"/>
        </w:rPr>
      </w:pPr>
      <w:r w:rsidRPr="00BA232E">
        <w:rPr>
          <w:rFonts w:cs="Arial"/>
          <w:szCs w:val="20"/>
        </w:rPr>
        <w:t>πράσινη μετάβαση,</w:t>
      </w:r>
    </w:p>
    <w:p w14:paraId="31191E3E" w14:textId="77777777" w:rsidR="00503F86" w:rsidRPr="00BA232E" w:rsidRDefault="00503F86" w:rsidP="00503F86">
      <w:pPr>
        <w:numPr>
          <w:ilvl w:val="0"/>
          <w:numId w:val="1"/>
        </w:numPr>
        <w:spacing w:before="60" w:after="60" w:line="300" w:lineRule="auto"/>
        <w:ind w:left="568" w:hanging="284"/>
        <w:jc w:val="both"/>
        <w:rPr>
          <w:rFonts w:cs="Arial"/>
          <w:szCs w:val="20"/>
        </w:rPr>
      </w:pPr>
      <w:r w:rsidRPr="00BA232E">
        <w:rPr>
          <w:rFonts w:cs="Arial"/>
          <w:szCs w:val="20"/>
        </w:rPr>
        <w:t>ψηφιακή μετάβαση,</w:t>
      </w:r>
    </w:p>
    <w:p w14:paraId="2BAA00A0" w14:textId="77777777" w:rsidR="00503F86" w:rsidRPr="00BA232E" w:rsidRDefault="00503F86" w:rsidP="00503F86">
      <w:pPr>
        <w:numPr>
          <w:ilvl w:val="0"/>
          <w:numId w:val="1"/>
        </w:numPr>
        <w:spacing w:before="60" w:after="60" w:line="300" w:lineRule="auto"/>
        <w:ind w:left="568" w:hanging="284"/>
        <w:jc w:val="both"/>
        <w:rPr>
          <w:rFonts w:cs="Arial"/>
          <w:szCs w:val="20"/>
        </w:rPr>
      </w:pPr>
      <w:r w:rsidRPr="00BA232E">
        <w:rPr>
          <w:rFonts w:cs="Arial"/>
          <w:szCs w:val="20"/>
        </w:rPr>
        <w:t>ιδιωτικές επενδύσεις, οικονομικός και θεσμικός μετασχηματισμός και</w:t>
      </w:r>
    </w:p>
    <w:p w14:paraId="33E6B445" w14:textId="77777777" w:rsidR="00503F86" w:rsidRDefault="00503F86" w:rsidP="00503F86">
      <w:pPr>
        <w:numPr>
          <w:ilvl w:val="0"/>
          <w:numId w:val="1"/>
        </w:numPr>
        <w:spacing w:before="60" w:after="120" w:line="300" w:lineRule="auto"/>
        <w:ind w:left="568" w:hanging="284"/>
        <w:jc w:val="both"/>
      </w:pPr>
      <w:r w:rsidRPr="00BA232E">
        <w:t>απασχόληση, δεξιότητες και κοινωνική συνοχή.</w:t>
      </w:r>
    </w:p>
    <w:p w14:paraId="349E931C" w14:textId="364BAE58" w:rsidR="00503F86" w:rsidRDefault="00503F86" w:rsidP="00503F86">
      <w:pPr>
        <w:spacing w:after="240"/>
        <w:jc w:val="both"/>
      </w:pPr>
      <w:r w:rsidRPr="002249B8">
        <w:t xml:space="preserve">Το </w:t>
      </w:r>
      <w:r>
        <w:t xml:space="preserve">Εθνικό Σχέδιο Ανάκαμψης και Ανθεκτικότητας </w:t>
      </w:r>
      <w:r w:rsidRPr="002249B8">
        <w:t>«Ελλάδα 2.0» με χρηματοδότηση από το Τ</w:t>
      </w:r>
      <w:r>
        <w:t>ΑΑ</w:t>
      </w:r>
      <w:r w:rsidRPr="002249B8">
        <w:t xml:space="preserve"> βρίσκεται σε πλήρη εξέλιξη, με την ένταξη 814 έργων συνολικού προϋπολογισμού 22,2 δισ. ευρώ</w:t>
      </w:r>
      <w:r>
        <w:t xml:space="preserve"> (συμπεριλαμβανομένου ΦΠΑ)</w:t>
      </w:r>
      <w:r w:rsidRPr="002776DA">
        <w:rPr>
          <w:szCs w:val="20"/>
        </w:rPr>
        <w:t>.</w:t>
      </w:r>
    </w:p>
    <w:p w14:paraId="128E8156" w14:textId="6CB54D25" w:rsidR="00433831" w:rsidRDefault="00433831" w:rsidP="00433831">
      <w:pPr>
        <w:jc w:val="both"/>
      </w:pPr>
      <w:r>
        <w:t>Με τον προϋπολογισμό δημοσίων επενδύσεων του έτους 2025 συνεχίζεται η προσπάθεια για την περαιτέρω ανάπτυξη της οικονομίας, την ενίσχυση της ανταγωνιστικότητας, της επιχειρηματικότητας και του φιλικού προς τις επενδύσεις περιβάλλοντος, την ισόρροπη περιφερειακή ανάπτυξη, την προαγωγή της κοινωνικής ευημερίας και της κοινωνικής συνοχής, την καταπολέμηση κάθε μορφής διακρίσεων, την αειφόρο διαχείριση και αξιοποίηση του περιβάλλοντος καθώς και την αντιμετώπιση των δυσμενών επιπτώσεων των εξωγενών κρίσεων, περιλαμβανομένων και των κλιματικών κινδύνων.</w:t>
      </w:r>
    </w:p>
    <w:p w14:paraId="20E1DC04" w14:textId="7B26977D" w:rsidR="00433831" w:rsidRDefault="00433831" w:rsidP="00433831">
      <w:pPr>
        <w:jc w:val="both"/>
      </w:pPr>
      <w:r w:rsidRPr="00894406">
        <w:t xml:space="preserve">Για το έτος 2025 προβλέπεται διάθεση πόρων ύψους 9.200 εκατ. ευρώ, </w:t>
      </w:r>
      <w:r w:rsidRPr="005F7A24">
        <w:t xml:space="preserve">που αντιπροσωπεύουν το 3,72% του ΑΕΠ της χώρας, </w:t>
      </w:r>
      <w:r w:rsidRPr="00894406">
        <w:t xml:space="preserve">με κατανομή της συνολικής δαπάνης </w:t>
      </w:r>
      <w:r>
        <w:t>σε έργα</w:t>
      </w:r>
      <w:r w:rsidRPr="00894406">
        <w:t xml:space="preserve"> που θα συγχρηματοδοτηθούν από πόρους της ΕΕ, ύψους 6.450 εκατ. ευρώ και </w:t>
      </w:r>
      <w:r>
        <w:t>σε έργα</w:t>
      </w:r>
      <w:r w:rsidRPr="00894406">
        <w:t xml:space="preserve"> που θα χρηματοδοτηθούν αποκλειστικά από εθνικούς πόρους, ύψους 2.750 εκατ. ευρώ.</w:t>
      </w:r>
    </w:p>
    <w:p w14:paraId="4B97C021" w14:textId="77777777" w:rsidR="00433831" w:rsidRPr="003220A1" w:rsidRDefault="00433831" w:rsidP="00433831">
      <w:pPr>
        <w:jc w:val="both"/>
        <w:rPr>
          <w:bCs/>
        </w:rPr>
      </w:pPr>
      <w:r>
        <w:t>Πέραν των ανωτέρω, στο πλαίσιο του Εθνικού Σχεδίου Ανάκαμψης και Ανθεκτικότητας, προωθείται η υλοποίηση σημαντικών</w:t>
      </w:r>
      <w:r w:rsidRPr="007775B9">
        <w:rPr>
          <w:bCs/>
        </w:rPr>
        <w:t xml:space="preserve"> έργων, με </w:t>
      </w:r>
      <w:r w:rsidRPr="003220A1">
        <w:rPr>
          <w:bCs/>
        </w:rPr>
        <w:t xml:space="preserve">προβλεπόμενη δαπάνη για το 2025, </w:t>
      </w:r>
      <w:r>
        <w:rPr>
          <w:bCs/>
        </w:rPr>
        <w:t>όπως φαίνεται στη συνέχεια</w:t>
      </w:r>
      <w:r w:rsidRPr="003220A1">
        <w:rPr>
          <w:bCs/>
        </w:rPr>
        <w:t>:</w:t>
      </w:r>
    </w:p>
    <w:p w14:paraId="17B29E6A" w14:textId="77777777" w:rsidR="00433831" w:rsidRPr="003220A1" w:rsidRDefault="00433831" w:rsidP="00433831">
      <w:pPr>
        <w:numPr>
          <w:ilvl w:val="0"/>
          <w:numId w:val="1"/>
        </w:numPr>
        <w:spacing w:before="120" w:after="60" w:line="300" w:lineRule="auto"/>
        <w:ind w:left="568" w:hanging="284"/>
        <w:jc w:val="both"/>
        <w:rPr>
          <w:rFonts w:cs="Arial"/>
          <w:szCs w:val="20"/>
        </w:rPr>
      </w:pPr>
      <w:r w:rsidRPr="003220A1">
        <w:rPr>
          <w:rFonts w:cs="Arial"/>
          <w:szCs w:val="20"/>
        </w:rPr>
        <w:t xml:space="preserve">βελτίωση οδικής ασφάλειας μέσω επεμβάσεων σε αστικά και υπεραστικά </w:t>
      </w:r>
      <w:r>
        <w:rPr>
          <w:rFonts w:cs="Arial"/>
          <w:szCs w:val="20"/>
        </w:rPr>
        <w:t xml:space="preserve">οδικά </w:t>
      </w:r>
      <w:r w:rsidRPr="003220A1">
        <w:rPr>
          <w:rFonts w:cs="Arial"/>
          <w:szCs w:val="20"/>
        </w:rPr>
        <w:t xml:space="preserve">δίκτυα, </w:t>
      </w:r>
      <w:r>
        <w:rPr>
          <w:rFonts w:cs="Arial"/>
          <w:szCs w:val="20"/>
        </w:rPr>
        <w:t xml:space="preserve">με προώθηση </w:t>
      </w:r>
      <w:r w:rsidRPr="003220A1">
        <w:rPr>
          <w:rFonts w:cs="Arial"/>
          <w:szCs w:val="20"/>
        </w:rPr>
        <w:t>τη</w:t>
      </w:r>
      <w:r>
        <w:rPr>
          <w:rFonts w:cs="Arial"/>
          <w:szCs w:val="20"/>
        </w:rPr>
        <w:t>ς</w:t>
      </w:r>
      <w:r w:rsidRPr="003220A1">
        <w:rPr>
          <w:rFonts w:cs="Arial"/>
          <w:szCs w:val="20"/>
        </w:rPr>
        <w:t xml:space="preserve"> βιώσιμη</w:t>
      </w:r>
      <w:r>
        <w:rPr>
          <w:rFonts w:cs="Arial"/>
          <w:szCs w:val="20"/>
        </w:rPr>
        <w:t>ς</w:t>
      </w:r>
      <w:r w:rsidRPr="003220A1">
        <w:rPr>
          <w:rFonts w:cs="Arial"/>
          <w:szCs w:val="20"/>
        </w:rPr>
        <w:t xml:space="preserve"> κινητικότητα</w:t>
      </w:r>
      <w:r>
        <w:rPr>
          <w:rFonts w:cs="Arial"/>
          <w:szCs w:val="20"/>
        </w:rPr>
        <w:t xml:space="preserve">ς, </w:t>
      </w:r>
      <w:r w:rsidRPr="003220A1">
        <w:rPr>
          <w:rFonts w:cs="Arial"/>
          <w:szCs w:val="20"/>
        </w:rPr>
        <w:t>περιορισμό ατυχημάτων</w:t>
      </w:r>
      <w:r>
        <w:rPr>
          <w:rFonts w:cs="Arial"/>
          <w:szCs w:val="20"/>
        </w:rPr>
        <w:t xml:space="preserve"> και</w:t>
      </w:r>
      <w:r w:rsidRPr="003220A1">
        <w:rPr>
          <w:rFonts w:cs="Arial"/>
          <w:szCs w:val="20"/>
        </w:rPr>
        <w:t xml:space="preserve"> αυστηρή τήρηση </w:t>
      </w:r>
      <w:r>
        <w:rPr>
          <w:rFonts w:cs="Arial"/>
          <w:szCs w:val="20"/>
        </w:rPr>
        <w:t xml:space="preserve">των </w:t>
      </w:r>
      <w:r w:rsidRPr="003220A1">
        <w:rPr>
          <w:rFonts w:cs="Arial"/>
          <w:szCs w:val="20"/>
        </w:rPr>
        <w:t>περιβαλλοντικών προτύπων (206 εκατ. ευρώ),</w:t>
      </w:r>
    </w:p>
    <w:p w14:paraId="3A73F59E" w14:textId="77777777" w:rsidR="00433831" w:rsidRPr="003220A1" w:rsidRDefault="00433831" w:rsidP="00433831">
      <w:pPr>
        <w:numPr>
          <w:ilvl w:val="0"/>
          <w:numId w:val="1"/>
        </w:numPr>
        <w:spacing w:before="60" w:after="60" w:line="300" w:lineRule="auto"/>
        <w:ind w:left="568" w:hanging="284"/>
        <w:jc w:val="both"/>
        <w:rPr>
          <w:rFonts w:cs="Arial"/>
          <w:szCs w:val="20"/>
        </w:rPr>
      </w:pPr>
      <w:r w:rsidRPr="003220A1">
        <w:rPr>
          <w:rFonts w:cs="Arial"/>
          <w:szCs w:val="20"/>
        </w:rPr>
        <w:t>προληπτική συντήρηση 250 γεφυρών με έξυπνες τεχνολογίες και αισθητήρες για παρακολούθηση της δομικής επάρκειας, αποτροπή ατυχημάτων και αντιμετώπιση κινδύνων από την κλιματική αλλαγή (156 εκατ. ευρώ),</w:t>
      </w:r>
    </w:p>
    <w:p w14:paraId="0DA26F37" w14:textId="77777777" w:rsidR="00433831" w:rsidRPr="003220A1" w:rsidRDefault="00433831" w:rsidP="00433831">
      <w:pPr>
        <w:numPr>
          <w:ilvl w:val="0"/>
          <w:numId w:val="1"/>
        </w:numPr>
        <w:spacing w:before="60" w:after="60" w:line="300" w:lineRule="auto"/>
        <w:ind w:left="568" w:hanging="284"/>
        <w:jc w:val="both"/>
        <w:rPr>
          <w:rFonts w:cs="Arial"/>
          <w:szCs w:val="20"/>
        </w:rPr>
      </w:pPr>
      <w:r w:rsidRPr="003220A1">
        <w:rPr>
          <w:rFonts w:cs="Arial"/>
          <w:szCs w:val="20"/>
        </w:rPr>
        <w:t xml:space="preserve">αναβάθμιση και δημιουργία ενεργειακά αποδοτικών τουριστικών λιμένων, </w:t>
      </w:r>
      <w:r>
        <w:rPr>
          <w:rFonts w:cs="Arial"/>
          <w:szCs w:val="20"/>
        </w:rPr>
        <w:t xml:space="preserve">με συνακόλουθη προώθηση </w:t>
      </w:r>
      <w:r w:rsidRPr="003220A1">
        <w:rPr>
          <w:rFonts w:cs="Arial"/>
          <w:szCs w:val="20"/>
        </w:rPr>
        <w:t>τη</w:t>
      </w:r>
      <w:r>
        <w:rPr>
          <w:rFonts w:cs="Arial"/>
          <w:szCs w:val="20"/>
        </w:rPr>
        <w:t>ς</w:t>
      </w:r>
      <w:r w:rsidRPr="003220A1">
        <w:rPr>
          <w:rFonts w:cs="Arial"/>
          <w:szCs w:val="20"/>
        </w:rPr>
        <w:t xml:space="preserve"> διαφοροποίηση</w:t>
      </w:r>
      <w:r>
        <w:rPr>
          <w:rFonts w:cs="Arial"/>
          <w:szCs w:val="20"/>
        </w:rPr>
        <w:t>ς</w:t>
      </w:r>
      <w:r w:rsidRPr="003220A1">
        <w:rPr>
          <w:rFonts w:cs="Arial"/>
          <w:szCs w:val="20"/>
        </w:rPr>
        <w:t xml:space="preserve"> του τουριστικού προϊόντος, τη</w:t>
      </w:r>
      <w:r>
        <w:rPr>
          <w:rFonts w:cs="Arial"/>
          <w:szCs w:val="20"/>
        </w:rPr>
        <w:t>ς</w:t>
      </w:r>
      <w:r w:rsidRPr="003220A1">
        <w:rPr>
          <w:rFonts w:cs="Arial"/>
          <w:szCs w:val="20"/>
        </w:rPr>
        <w:t xml:space="preserve"> επιμήκυνση</w:t>
      </w:r>
      <w:r>
        <w:rPr>
          <w:rFonts w:cs="Arial"/>
          <w:szCs w:val="20"/>
        </w:rPr>
        <w:t>ς</w:t>
      </w:r>
      <w:r w:rsidRPr="003220A1">
        <w:rPr>
          <w:rFonts w:cs="Arial"/>
          <w:szCs w:val="20"/>
        </w:rPr>
        <w:t xml:space="preserve"> της τουριστικής περιόδου και τη</w:t>
      </w:r>
      <w:r>
        <w:rPr>
          <w:rFonts w:cs="Arial"/>
          <w:szCs w:val="20"/>
        </w:rPr>
        <w:t>ς</w:t>
      </w:r>
      <w:r w:rsidRPr="003220A1">
        <w:rPr>
          <w:rFonts w:cs="Arial"/>
          <w:szCs w:val="20"/>
        </w:rPr>
        <w:t xml:space="preserve"> περιβαλλοντική</w:t>
      </w:r>
      <w:r>
        <w:rPr>
          <w:rFonts w:cs="Arial"/>
          <w:szCs w:val="20"/>
        </w:rPr>
        <w:t>ς</w:t>
      </w:r>
      <w:r w:rsidRPr="003220A1">
        <w:rPr>
          <w:rFonts w:cs="Arial"/>
          <w:szCs w:val="20"/>
        </w:rPr>
        <w:t xml:space="preserve"> βιωσιμότητα</w:t>
      </w:r>
      <w:r>
        <w:rPr>
          <w:rFonts w:cs="Arial"/>
          <w:szCs w:val="20"/>
        </w:rPr>
        <w:t>ς</w:t>
      </w:r>
      <w:r w:rsidRPr="003220A1">
        <w:rPr>
          <w:rFonts w:cs="Arial"/>
          <w:szCs w:val="20"/>
        </w:rPr>
        <w:t xml:space="preserve"> μέσω εξειδικευμένων μελετών και δράσεων </w:t>
      </w:r>
      <w:proofErr w:type="spellStart"/>
      <w:r w:rsidRPr="003220A1">
        <w:rPr>
          <w:rFonts w:cs="Arial"/>
          <w:szCs w:val="20"/>
        </w:rPr>
        <w:t>ψηφιοποίησης</w:t>
      </w:r>
      <w:proofErr w:type="spellEnd"/>
      <w:r w:rsidRPr="003220A1">
        <w:rPr>
          <w:rFonts w:cs="Arial"/>
          <w:szCs w:val="20"/>
        </w:rPr>
        <w:t xml:space="preserve"> (139 εκατ. ευρώ),</w:t>
      </w:r>
    </w:p>
    <w:p w14:paraId="2B914907" w14:textId="77777777" w:rsidR="00433831" w:rsidRPr="003220A1" w:rsidRDefault="00433831" w:rsidP="00433831">
      <w:pPr>
        <w:numPr>
          <w:ilvl w:val="0"/>
          <w:numId w:val="1"/>
        </w:numPr>
        <w:spacing w:before="60" w:after="60" w:line="300" w:lineRule="auto"/>
        <w:ind w:left="568" w:hanging="284"/>
        <w:jc w:val="both"/>
        <w:rPr>
          <w:rFonts w:cs="Arial"/>
          <w:szCs w:val="20"/>
        </w:rPr>
      </w:pPr>
      <w:r w:rsidRPr="003220A1">
        <w:rPr>
          <w:rFonts w:cs="Arial"/>
          <w:szCs w:val="20"/>
        </w:rPr>
        <w:t xml:space="preserve">ανακαίνιση 156 Κέντρων Υγείας (133 εκατ. ευρώ) και αναβάθμιση νοσοκομειακών υποδομών (102 εκατ. ευρώ) για βελτίωση </w:t>
      </w:r>
      <w:r>
        <w:rPr>
          <w:rFonts w:cs="Arial"/>
          <w:szCs w:val="20"/>
        </w:rPr>
        <w:t>τ</w:t>
      </w:r>
      <w:r w:rsidRPr="003220A1">
        <w:rPr>
          <w:rFonts w:cs="Arial"/>
          <w:szCs w:val="20"/>
        </w:rPr>
        <w:t>ης ποιότητας των παρεχόμενων υπηρεσιών υγείας, μέσω ανακατασκευών, νέων εγκαταστάσεων και ενεργειακών παρεμβάσεων,</w:t>
      </w:r>
    </w:p>
    <w:p w14:paraId="7FAB6649" w14:textId="77777777" w:rsidR="00433831" w:rsidRPr="003220A1" w:rsidRDefault="00433831" w:rsidP="00433831">
      <w:pPr>
        <w:numPr>
          <w:ilvl w:val="0"/>
          <w:numId w:val="1"/>
        </w:numPr>
        <w:spacing w:before="60" w:after="60" w:line="300" w:lineRule="auto"/>
        <w:ind w:left="568" w:hanging="284"/>
        <w:jc w:val="both"/>
        <w:rPr>
          <w:rFonts w:cs="Arial"/>
          <w:szCs w:val="20"/>
        </w:rPr>
      </w:pPr>
      <w:proofErr w:type="spellStart"/>
      <w:r w:rsidRPr="003220A1">
        <w:rPr>
          <w:rFonts w:cs="Arial"/>
          <w:szCs w:val="20"/>
        </w:rPr>
        <w:lastRenderedPageBreak/>
        <w:t>στοχευμένα</w:t>
      </w:r>
      <w:proofErr w:type="spellEnd"/>
      <w:r w:rsidRPr="003220A1">
        <w:rPr>
          <w:rFonts w:cs="Arial"/>
          <w:szCs w:val="20"/>
        </w:rPr>
        <w:t xml:space="preserve"> προγράμματα κατάρτισης σε κλάδους αιχμής, με έμφαση στις δεξιότητες υψηλής ζήτησης για ενίσχυση του ανθρώπινου δυναμικού και σύνδεση με την αγορά εργασίας (103 εκατ. ευρώ),</w:t>
      </w:r>
    </w:p>
    <w:p w14:paraId="6D7FE911" w14:textId="77777777" w:rsidR="00433831" w:rsidRPr="003220A1" w:rsidRDefault="00433831" w:rsidP="00433831">
      <w:pPr>
        <w:numPr>
          <w:ilvl w:val="0"/>
          <w:numId w:val="1"/>
        </w:numPr>
        <w:spacing w:before="60" w:after="60" w:line="300" w:lineRule="auto"/>
        <w:ind w:left="568" w:hanging="284"/>
        <w:jc w:val="both"/>
        <w:rPr>
          <w:rFonts w:cs="Arial"/>
          <w:szCs w:val="20"/>
        </w:rPr>
      </w:pPr>
      <w:r w:rsidRPr="003220A1">
        <w:rPr>
          <w:rFonts w:cs="Arial"/>
          <w:szCs w:val="20"/>
        </w:rPr>
        <w:t>κατασκευή νέας γραμμής προαστιακού σιδηρ</w:t>
      </w:r>
      <w:r>
        <w:rPr>
          <w:rFonts w:cs="Arial"/>
          <w:szCs w:val="20"/>
        </w:rPr>
        <w:t>ό</w:t>
      </w:r>
      <w:r w:rsidRPr="003220A1">
        <w:rPr>
          <w:rFonts w:cs="Arial"/>
          <w:szCs w:val="20"/>
        </w:rPr>
        <w:t>δρ</w:t>
      </w:r>
      <w:r>
        <w:rPr>
          <w:rFonts w:cs="Arial"/>
          <w:szCs w:val="20"/>
        </w:rPr>
        <w:t>ο</w:t>
      </w:r>
      <w:r w:rsidRPr="003220A1">
        <w:rPr>
          <w:rFonts w:cs="Arial"/>
          <w:szCs w:val="20"/>
        </w:rPr>
        <w:t>μου μήκους 36 χλμ. στα δυτικά της Αθήνας</w:t>
      </w:r>
      <w:r>
        <w:rPr>
          <w:rFonts w:cs="Arial"/>
          <w:szCs w:val="20"/>
        </w:rPr>
        <w:t xml:space="preserve"> για την </w:t>
      </w:r>
      <w:r w:rsidRPr="003220A1">
        <w:rPr>
          <w:rFonts w:cs="Arial"/>
          <w:szCs w:val="20"/>
        </w:rPr>
        <w:t>εξυπηρ</w:t>
      </w:r>
      <w:r>
        <w:rPr>
          <w:rFonts w:cs="Arial"/>
          <w:szCs w:val="20"/>
        </w:rPr>
        <w:t xml:space="preserve">έτηση </w:t>
      </w:r>
      <w:r w:rsidRPr="003220A1">
        <w:rPr>
          <w:rFonts w:cs="Arial"/>
          <w:szCs w:val="20"/>
        </w:rPr>
        <w:t>κατοικημέν</w:t>
      </w:r>
      <w:r>
        <w:rPr>
          <w:rFonts w:cs="Arial"/>
          <w:szCs w:val="20"/>
        </w:rPr>
        <w:t>ων</w:t>
      </w:r>
      <w:r w:rsidRPr="003220A1">
        <w:rPr>
          <w:rFonts w:cs="Arial"/>
          <w:szCs w:val="20"/>
        </w:rPr>
        <w:t xml:space="preserve"> περιοχ</w:t>
      </w:r>
      <w:r>
        <w:rPr>
          <w:rFonts w:cs="Arial"/>
          <w:szCs w:val="20"/>
        </w:rPr>
        <w:t>ών</w:t>
      </w:r>
      <w:r w:rsidRPr="003220A1">
        <w:rPr>
          <w:rFonts w:cs="Arial"/>
          <w:szCs w:val="20"/>
        </w:rPr>
        <w:t xml:space="preserve"> και εμπορευματικ</w:t>
      </w:r>
      <w:r>
        <w:rPr>
          <w:rFonts w:cs="Arial"/>
          <w:szCs w:val="20"/>
        </w:rPr>
        <w:t>ών</w:t>
      </w:r>
      <w:r w:rsidRPr="003220A1">
        <w:rPr>
          <w:rFonts w:cs="Arial"/>
          <w:szCs w:val="20"/>
        </w:rPr>
        <w:t xml:space="preserve"> αν</w:t>
      </w:r>
      <w:r>
        <w:rPr>
          <w:rFonts w:cs="Arial"/>
          <w:szCs w:val="20"/>
        </w:rPr>
        <w:t>αγκών</w:t>
      </w:r>
      <w:r w:rsidRPr="003220A1">
        <w:rPr>
          <w:rFonts w:cs="Arial"/>
          <w:szCs w:val="20"/>
        </w:rPr>
        <w:t xml:space="preserve"> (97 εκατ. ευρώ),</w:t>
      </w:r>
    </w:p>
    <w:p w14:paraId="5F1D1667" w14:textId="77777777" w:rsidR="00433831" w:rsidRPr="003220A1" w:rsidRDefault="00433831" w:rsidP="00433831">
      <w:pPr>
        <w:numPr>
          <w:ilvl w:val="0"/>
          <w:numId w:val="1"/>
        </w:numPr>
        <w:spacing w:before="60" w:after="60" w:line="300" w:lineRule="auto"/>
        <w:ind w:left="568" w:hanging="284"/>
        <w:jc w:val="both"/>
        <w:rPr>
          <w:rFonts w:cs="Arial"/>
          <w:szCs w:val="20"/>
        </w:rPr>
      </w:pPr>
      <w:proofErr w:type="spellStart"/>
      <w:r w:rsidRPr="003220A1">
        <w:rPr>
          <w:rFonts w:cs="Arial"/>
          <w:szCs w:val="20"/>
        </w:rPr>
        <w:t>ψηφιοποίηση</w:t>
      </w:r>
      <w:proofErr w:type="spellEnd"/>
      <w:r w:rsidRPr="003220A1">
        <w:rPr>
          <w:rFonts w:cs="Arial"/>
          <w:szCs w:val="20"/>
        </w:rPr>
        <w:t xml:space="preserve"> αρχείου δημόσιων νοσοκομείων </w:t>
      </w:r>
      <w:r>
        <w:rPr>
          <w:rFonts w:cs="Arial"/>
          <w:szCs w:val="20"/>
        </w:rPr>
        <w:t xml:space="preserve">για τη διασφάλιση </w:t>
      </w:r>
      <w:r w:rsidRPr="003220A1">
        <w:rPr>
          <w:rFonts w:cs="Arial"/>
          <w:szCs w:val="20"/>
        </w:rPr>
        <w:t>τη</w:t>
      </w:r>
      <w:r>
        <w:rPr>
          <w:rFonts w:cs="Arial"/>
          <w:szCs w:val="20"/>
        </w:rPr>
        <w:t>ς</w:t>
      </w:r>
      <w:r w:rsidRPr="003220A1">
        <w:rPr>
          <w:rFonts w:cs="Arial"/>
          <w:szCs w:val="20"/>
        </w:rPr>
        <w:t xml:space="preserve"> πρόσβαση</w:t>
      </w:r>
      <w:r>
        <w:rPr>
          <w:rFonts w:cs="Arial"/>
          <w:szCs w:val="20"/>
        </w:rPr>
        <w:t>ς</w:t>
      </w:r>
      <w:r w:rsidRPr="003220A1">
        <w:rPr>
          <w:rFonts w:cs="Arial"/>
          <w:szCs w:val="20"/>
        </w:rPr>
        <w:t xml:space="preserve"> πολιτών και υγειονομικού προσωπικού σε </w:t>
      </w:r>
      <w:r>
        <w:rPr>
          <w:rFonts w:cs="Arial"/>
          <w:szCs w:val="20"/>
        </w:rPr>
        <w:t xml:space="preserve">ιατρικά </w:t>
      </w:r>
      <w:r w:rsidRPr="003220A1">
        <w:rPr>
          <w:rFonts w:cs="Arial"/>
          <w:szCs w:val="20"/>
        </w:rPr>
        <w:t>δεδομένα, μέσω της εφαρμογής του Ατομικού Ηλεκτρονικού Φακέλου Υγείας (83 εκατ. ευρώ) και</w:t>
      </w:r>
    </w:p>
    <w:p w14:paraId="79F1568A" w14:textId="77777777" w:rsidR="00433831" w:rsidRDefault="00433831" w:rsidP="00433831">
      <w:pPr>
        <w:numPr>
          <w:ilvl w:val="0"/>
          <w:numId w:val="1"/>
        </w:numPr>
        <w:spacing w:before="60" w:after="120" w:line="300" w:lineRule="auto"/>
        <w:ind w:left="568" w:hanging="284"/>
        <w:jc w:val="both"/>
        <w:rPr>
          <w:rFonts w:cs="Arial"/>
          <w:szCs w:val="20"/>
        </w:rPr>
      </w:pPr>
      <w:r w:rsidRPr="003220A1">
        <w:rPr>
          <w:rFonts w:cs="Arial"/>
          <w:szCs w:val="20"/>
        </w:rPr>
        <w:t xml:space="preserve">παροχή κουπονιών συνδεσιμότητας για </w:t>
      </w:r>
      <w:proofErr w:type="spellStart"/>
      <w:r w:rsidRPr="003220A1">
        <w:rPr>
          <w:rFonts w:cs="Arial"/>
          <w:szCs w:val="20"/>
        </w:rPr>
        <w:t>ευρυζωνική</w:t>
      </w:r>
      <w:proofErr w:type="spellEnd"/>
      <w:r w:rsidRPr="003220A1">
        <w:rPr>
          <w:rFonts w:cs="Arial"/>
          <w:szCs w:val="20"/>
        </w:rPr>
        <w:t xml:space="preserve"> πρόσβαση υψηλών ταχυτήτων, </w:t>
      </w:r>
      <w:r>
        <w:rPr>
          <w:rFonts w:cs="Arial"/>
          <w:szCs w:val="20"/>
        </w:rPr>
        <w:t>με κάλυψη των</w:t>
      </w:r>
      <w:r w:rsidRPr="003220A1">
        <w:rPr>
          <w:rFonts w:cs="Arial"/>
          <w:szCs w:val="20"/>
        </w:rPr>
        <w:t xml:space="preserve"> </w:t>
      </w:r>
      <w:r>
        <w:rPr>
          <w:rFonts w:cs="Arial"/>
          <w:szCs w:val="20"/>
        </w:rPr>
        <w:t xml:space="preserve">εξόδων </w:t>
      </w:r>
      <w:r w:rsidRPr="003220A1">
        <w:rPr>
          <w:rFonts w:cs="Arial"/>
          <w:szCs w:val="20"/>
        </w:rPr>
        <w:t>σύνδεσης και εξοπλισμού</w:t>
      </w:r>
      <w:r>
        <w:rPr>
          <w:rFonts w:cs="Arial"/>
          <w:szCs w:val="20"/>
        </w:rPr>
        <w:t xml:space="preserve"> για την </w:t>
      </w:r>
      <w:r w:rsidRPr="003220A1">
        <w:rPr>
          <w:rFonts w:cs="Arial"/>
          <w:szCs w:val="20"/>
        </w:rPr>
        <w:t>εν</w:t>
      </w:r>
      <w:r>
        <w:rPr>
          <w:rFonts w:cs="Arial"/>
          <w:szCs w:val="20"/>
        </w:rPr>
        <w:t>ίσχυση των</w:t>
      </w:r>
      <w:r w:rsidRPr="003220A1">
        <w:rPr>
          <w:rFonts w:cs="Arial"/>
          <w:szCs w:val="20"/>
        </w:rPr>
        <w:t xml:space="preserve"> νοικοκυρι</w:t>
      </w:r>
      <w:r>
        <w:rPr>
          <w:rFonts w:cs="Arial"/>
          <w:szCs w:val="20"/>
        </w:rPr>
        <w:t>ών</w:t>
      </w:r>
      <w:r w:rsidRPr="003220A1">
        <w:rPr>
          <w:rFonts w:cs="Arial"/>
          <w:szCs w:val="20"/>
        </w:rPr>
        <w:t xml:space="preserve"> και </w:t>
      </w:r>
      <w:r>
        <w:rPr>
          <w:rFonts w:cs="Arial"/>
          <w:szCs w:val="20"/>
        </w:rPr>
        <w:t xml:space="preserve">των </w:t>
      </w:r>
      <w:r w:rsidRPr="003220A1">
        <w:rPr>
          <w:rFonts w:cs="Arial"/>
          <w:szCs w:val="20"/>
        </w:rPr>
        <w:t>μικρομεσαί</w:t>
      </w:r>
      <w:r>
        <w:rPr>
          <w:rFonts w:cs="Arial"/>
          <w:szCs w:val="20"/>
        </w:rPr>
        <w:t>ων</w:t>
      </w:r>
      <w:r w:rsidRPr="003220A1">
        <w:rPr>
          <w:rFonts w:cs="Arial"/>
          <w:szCs w:val="20"/>
        </w:rPr>
        <w:t xml:space="preserve"> επιχειρήσε</w:t>
      </w:r>
      <w:r>
        <w:rPr>
          <w:rFonts w:cs="Arial"/>
          <w:szCs w:val="20"/>
        </w:rPr>
        <w:t>ων</w:t>
      </w:r>
      <w:r w:rsidRPr="003220A1">
        <w:rPr>
          <w:rFonts w:cs="Arial"/>
          <w:szCs w:val="20"/>
        </w:rPr>
        <w:t xml:space="preserve"> (79 εκατ. ευρώ).</w:t>
      </w:r>
    </w:p>
    <w:p w14:paraId="3A91E644" w14:textId="77777777" w:rsidR="00433831" w:rsidRPr="00ED65D8" w:rsidRDefault="00433831" w:rsidP="00433831">
      <w:pPr>
        <w:jc w:val="both"/>
      </w:pPr>
      <w:r w:rsidRPr="00ED65D8">
        <w:t>Από το δανειακό σκέλος του ΤΑΑ αναμένεται εντός του 2025 να εκταμιευθούν προς τα πιστωτικά ιδρύματα ποσά ύψους 5.455 εκατ. ευρώ. Σημαντικό μέρος αυτών αφορ</w:t>
      </w:r>
      <w:r>
        <w:t>ά</w:t>
      </w:r>
      <w:r w:rsidRPr="00ED65D8">
        <w:t xml:space="preserve"> </w:t>
      </w:r>
      <w:r>
        <w:t>σ</w:t>
      </w:r>
      <w:r w:rsidRPr="00ED65D8">
        <w:t>τ</w:t>
      </w:r>
      <w:r>
        <w:t>ο</w:t>
      </w:r>
      <w:r w:rsidRPr="00ED65D8">
        <w:t xml:space="preserve"> πρ</w:t>
      </w:r>
      <w:r>
        <w:t>όγραμμα «</w:t>
      </w:r>
      <w:r w:rsidRPr="00ED65D8">
        <w:t>ΣΠΙΤΙ μου ΙΙ</w:t>
      </w:r>
      <w:r>
        <w:t>»</w:t>
      </w:r>
      <w:r w:rsidRPr="00ED65D8">
        <w:t xml:space="preserve"> με πόρους 1 δισ. ευρώ από το ΤΑΑ και επιπλέον 1 δισ. ευρώ από τα πιστωτικά ιδρύματα καθώς και </w:t>
      </w:r>
      <w:r>
        <w:t>σ</w:t>
      </w:r>
      <w:r w:rsidRPr="00ED65D8">
        <w:t>το πρόγραμμα «Αναβαθμίζω το Σπίτι μου» με πόρους ύψο</w:t>
      </w:r>
      <w:r>
        <w:t>υ</w:t>
      </w:r>
      <w:r w:rsidRPr="00ED65D8">
        <w:t>ς 400 εκατ. ευρώ, εκ των οποίων 300 εκατ. ευρώ προέρχονται από το ΤΑΑ.</w:t>
      </w:r>
    </w:p>
    <w:p w14:paraId="123061FF" w14:textId="36502D4E" w:rsidR="008438E9" w:rsidRPr="002C3A9A" w:rsidRDefault="008438E9" w:rsidP="002C3A9A">
      <w:pPr>
        <w:spacing w:after="120" w:line="300" w:lineRule="auto"/>
        <w:jc w:val="both"/>
        <w:rPr>
          <w:rFonts w:eastAsia="Times New Roman" w:cstheme="minorHAnsi"/>
          <w:lang w:eastAsia="el-GR"/>
        </w:rPr>
      </w:pPr>
      <w:r w:rsidRPr="00416693">
        <w:rPr>
          <w:rFonts w:cstheme="minorHAnsi"/>
          <w:color w:val="2F5496" w:themeColor="accent1" w:themeShade="BF"/>
        </w:rPr>
        <w:t xml:space="preserve">Δημοσιονομικές παρεμβάσεις </w:t>
      </w:r>
      <w:r w:rsidR="002C3A9A">
        <w:rPr>
          <w:rFonts w:cstheme="minorHAnsi"/>
          <w:color w:val="2F5496" w:themeColor="accent1" w:themeShade="BF"/>
        </w:rPr>
        <w:t xml:space="preserve"> 2024-2025 </w:t>
      </w:r>
    </w:p>
    <w:p w14:paraId="52179685" w14:textId="77777777" w:rsidR="002C3A9A" w:rsidRDefault="002C3A9A" w:rsidP="002C3A9A">
      <w:pPr>
        <w:jc w:val="both"/>
      </w:pPr>
      <w:r>
        <w:t>Οι δημοσιονομικές παρεμβάσεις για τα έτη 2024 και 2025 αποσκοπούν στην ενίσχυση του διαθέσιμου εισοδήματος σε συνδυασμό με τη μείωση των κοινωνικών ανισοτήτων καθώς και στην αντιμετώπιση σημαντικών κοινωνικών προβλημάτων, όπως το δημογραφικό και το στεγαστικό. Ιδιαίτερη μέριμνα δίνεται στην αντιμετώπιση των επιπτώσεων από φυσικές καταστροφές, ενώ παράλληλα με τις δημοσιονομικές παρεμβάσεις λαμβάνονται μέτρα θεσμικού χαρακτήρα και προωθούνται σημαντικές μεταρρυθμίσεις.</w:t>
      </w:r>
    </w:p>
    <w:tbl>
      <w:tblPr>
        <w:tblW w:w="983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547"/>
        <w:gridCol w:w="7468"/>
        <w:gridCol w:w="24"/>
        <w:gridCol w:w="898"/>
        <w:gridCol w:w="898"/>
      </w:tblGrid>
      <w:tr w:rsidR="002C3A9A" w14:paraId="6D5D99ED" w14:textId="77777777" w:rsidTr="002C3A9A">
        <w:trPr>
          <w:cantSplit/>
          <w:trHeight w:val="510"/>
          <w:tblHeader/>
          <w:jc w:val="center"/>
        </w:trPr>
        <w:tc>
          <w:tcPr>
            <w:tcW w:w="9835" w:type="dxa"/>
            <w:gridSpan w:val="5"/>
            <w:shd w:val="clear" w:color="auto" w:fill="D5DCE4"/>
            <w:vAlign w:val="center"/>
            <w:hideMark/>
          </w:tcPr>
          <w:p w14:paraId="71581F81" w14:textId="6BAB98DC" w:rsidR="002C3A9A" w:rsidRPr="0020653D" w:rsidRDefault="002C3A9A" w:rsidP="006A71D3">
            <w:pPr>
              <w:spacing w:after="0"/>
              <w:jc w:val="center"/>
              <w:rPr>
                <w:rFonts w:cs="Arial"/>
                <w:b/>
                <w:bCs/>
                <w:sz w:val="18"/>
                <w:szCs w:val="18"/>
              </w:rPr>
            </w:pPr>
            <w:bookmarkStart w:id="12" w:name="_Toc178751916"/>
            <w:bookmarkStart w:id="13" w:name="_Toc182928056"/>
            <w:r w:rsidRPr="0020653D">
              <w:rPr>
                <w:rFonts w:cs="Arial"/>
                <w:b/>
                <w:bCs/>
                <w:sz w:val="18"/>
                <w:szCs w:val="18"/>
              </w:rPr>
              <w:t>Μόνιμες δημοσιονομικές παρεμβάσεις 2024 - 2025</w:t>
            </w:r>
            <w:bookmarkEnd w:id="12"/>
            <w:bookmarkEnd w:id="13"/>
          </w:p>
          <w:p w14:paraId="5CBD8329" w14:textId="77777777" w:rsidR="002C3A9A" w:rsidRDefault="002C3A9A" w:rsidP="006A71D3">
            <w:pPr>
              <w:spacing w:after="0"/>
              <w:jc w:val="center"/>
              <w:rPr>
                <w:rFonts w:cs="Arial"/>
                <w:b/>
                <w:bCs/>
                <w:sz w:val="18"/>
                <w:szCs w:val="18"/>
              </w:rPr>
            </w:pPr>
            <w:r w:rsidRPr="0020653D">
              <w:rPr>
                <w:rFonts w:cs="Arial"/>
                <w:b/>
                <w:bCs/>
                <w:sz w:val="18"/>
                <w:szCs w:val="18"/>
              </w:rPr>
              <w:t>(σε εκατ. ευρώ)</w:t>
            </w:r>
          </w:p>
        </w:tc>
      </w:tr>
      <w:tr w:rsidR="002C3A9A" w14:paraId="35B4E738" w14:textId="77777777" w:rsidTr="002C3A9A">
        <w:trPr>
          <w:cantSplit/>
          <w:trHeight w:val="227"/>
          <w:jc w:val="center"/>
        </w:trPr>
        <w:tc>
          <w:tcPr>
            <w:tcW w:w="547" w:type="dxa"/>
            <w:shd w:val="clear" w:color="auto" w:fill="FFFFFF"/>
            <w:vAlign w:val="center"/>
            <w:hideMark/>
          </w:tcPr>
          <w:p w14:paraId="3AE717BA" w14:textId="77777777" w:rsidR="002C3A9A" w:rsidRDefault="002C3A9A" w:rsidP="006A71D3">
            <w:pPr>
              <w:spacing w:after="0"/>
              <w:jc w:val="center"/>
              <w:rPr>
                <w:rFonts w:cs="Arial"/>
                <w:b/>
                <w:bCs/>
                <w:color w:val="000000"/>
                <w:sz w:val="16"/>
                <w:szCs w:val="16"/>
              </w:rPr>
            </w:pPr>
            <w:r>
              <w:rPr>
                <w:rFonts w:cs="Arial"/>
                <w:b/>
                <w:bCs/>
                <w:color w:val="000000"/>
                <w:sz w:val="16"/>
                <w:szCs w:val="16"/>
              </w:rPr>
              <w:t>α/α</w:t>
            </w:r>
          </w:p>
        </w:tc>
        <w:tc>
          <w:tcPr>
            <w:tcW w:w="7468" w:type="dxa"/>
            <w:shd w:val="clear" w:color="auto" w:fill="FFFFFF"/>
            <w:noWrap/>
            <w:vAlign w:val="center"/>
            <w:hideMark/>
          </w:tcPr>
          <w:p w14:paraId="4E861382" w14:textId="77777777" w:rsidR="002C3A9A" w:rsidRDefault="002C3A9A" w:rsidP="006A71D3">
            <w:pPr>
              <w:spacing w:after="0"/>
              <w:jc w:val="center"/>
              <w:rPr>
                <w:rFonts w:cs="Arial"/>
                <w:b/>
                <w:bCs/>
                <w:color w:val="000000"/>
                <w:sz w:val="16"/>
                <w:szCs w:val="16"/>
              </w:rPr>
            </w:pPr>
            <w:r>
              <w:rPr>
                <w:rFonts w:cs="Arial"/>
                <w:b/>
                <w:bCs/>
                <w:color w:val="000000"/>
                <w:sz w:val="16"/>
                <w:szCs w:val="16"/>
              </w:rPr>
              <w:t>Περιγραφή</w:t>
            </w:r>
          </w:p>
        </w:tc>
        <w:tc>
          <w:tcPr>
            <w:tcW w:w="922" w:type="dxa"/>
            <w:gridSpan w:val="2"/>
            <w:shd w:val="clear" w:color="auto" w:fill="FFFFFF"/>
            <w:noWrap/>
            <w:vAlign w:val="center"/>
            <w:hideMark/>
          </w:tcPr>
          <w:p w14:paraId="08A7535F" w14:textId="77777777" w:rsidR="002C3A9A" w:rsidRDefault="002C3A9A" w:rsidP="006A71D3">
            <w:pPr>
              <w:spacing w:after="0"/>
              <w:jc w:val="center"/>
              <w:rPr>
                <w:rFonts w:cs="Arial"/>
                <w:b/>
                <w:bCs/>
                <w:color w:val="000000"/>
                <w:sz w:val="16"/>
                <w:szCs w:val="16"/>
              </w:rPr>
            </w:pPr>
            <w:r>
              <w:rPr>
                <w:rFonts w:cs="Arial"/>
                <w:b/>
                <w:bCs/>
                <w:color w:val="000000"/>
                <w:sz w:val="16"/>
                <w:szCs w:val="16"/>
              </w:rPr>
              <w:t>2024</w:t>
            </w:r>
          </w:p>
        </w:tc>
        <w:tc>
          <w:tcPr>
            <w:tcW w:w="898" w:type="dxa"/>
            <w:shd w:val="clear" w:color="auto" w:fill="FFFFFF"/>
            <w:noWrap/>
            <w:vAlign w:val="center"/>
            <w:hideMark/>
          </w:tcPr>
          <w:p w14:paraId="163621A1" w14:textId="77777777" w:rsidR="002C3A9A" w:rsidRDefault="002C3A9A" w:rsidP="006A71D3">
            <w:pPr>
              <w:spacing w:after="0"/>
              <w:jc w:val="center"/>
              <w:rPr>
                <w:rFonts w:cs="Arial"/>
                <w:b/>
                <w:bCs/>
                <w:color w:val="000000"/>
                <w:sz w:val="16"/>
                <w:szCs w:val="16"/>
              </w:rPr>
            </w:pPr>
            <w:r>
              <w:rPr>
                <w:rFonts w:cs="Arial"/>
                <w:b/>
                <w:bCs/>
                <w:color w:val="000000"/>
                <w:sz w:val="16"/>
                <w:szCs w:val="16"/>
              </w:rPr>
              <w:t>2025</w:t>
            </w:r>
          </w:p>
        </w:tc>
      </w:tr>
      <w:tr w:rsidR="002C3A9A" w14:paraId="794940AA" w14:textId="77777777" w:rsidTr="002C3A9A">
        <w:trPr>
          <w:cantSplit/>
          <w:jc w:val="center"/>
        </w:trPr>
        <w:tc>
          <w:tcPr>
            <w:tcW w:w="547" w:type="dxa"/>
            <w:shd w:val="clear" w:color="auto" w:fill="D9D9D9"/>
            <w:vAlign w:val="center"/>
            <w:hideMark/>
          </w:tcPr>
          <w:p w14:paraId="78171EFD" w14:textId="77777777" w:rsidR="002C3A9A" w:rsidRDefault="002C3A9A" w:rsidP="006A71D3">
            <w:pPr>
              <w:spacing w:after="0"/>
              <w:jc w:val="center"/>
              <w:rPr>
                <w:rFonts w:cs="Arial"/>
                <w:b/>
                <w:bCs/>
                <w:color w:val="000000"/>
                <w:sz w:val="16"/>
                <w:szCs w:val="16"/>
              </w:rPr>
            </w:pPr>
            <w:r>
              <w:rPr>
                <w:rFonts w:cs="Arial"/>
                <w:b/>
                <w:bCs/>
                <w:color w:val="000000"/>
                <w:sz w:val="16"/>
                <w:szCs w:val="16"/>
              </w:rPr>
              <w:t>Α</w:t>
            </w:r>
          </w:p>
        </w:tc>
        <w:tc>
          <w:tcPr>
            <w:tcW w:w="7468" w:type="dxa"/>
            <w:shd w:val="clear" w:color="auto" w:fill="D9D9D9"/>
            <w:noWrap/>
            <w:vAlign w:val="center"/>
            <w:hideMark/>
          </w:tcPr>
          <w:p w14:paraId="2A0CD356" w14:textId="77777777" w:rsidR="002C3A9A" w:rsidRDefault="002C3A9A" w:rsidP="006A71D3">
            <w:pPr>
              <w:spacing w:after="0"/>
              <w:rPr>
                <w:rFonts w:cs="Arial"/>
                <w:b/>
                <w:bCs/>
                <w:color w:val="000000"/>
                <w:sz w:val="16"/>
                <w:szCs w:val="16"/>
              </w:rPr>
            </w:pPr>
            <w:r>
              <w:rPr>
                <w:rFonts w:cs="Arial"/>
                <w:b/>
                <w:bCs/>
                <w:color w:val="000000"/>
                <w:sz w:val="16"/>
                <w:szCs w:val="16"/>
              </w:rPr>
              <w:t>Παρεμβάσεις στο σκέλος των εσόδων της Γενικής Κυβέρνησης (Α.1. + Α.2.)</w:t>
            </w:r>
          </w:p>
        </w:tc>
        <w:tc>
          <w:tcPr>
            <w:tcW w:w="922" w:type="dxa"/>
            <w:gridSpan w:val="2"/>
            <w:shd w:val="clear" w:color="auto" w:fill="D9D9D9"/>
            <w:noWrap/>
            <w:vAlign w:val="center"/>
            <w:hideMark/>
          </w:tcPr>
          <w:p w14:paraId="491454CC" w14:textId="77777777" w:rsidR="002C3A9A" w:rsidRDefault="002C3A9A" w:rsidP="006A71D3">
            <w:pPr>
              <w:spacing w:after="0"/>
              <w:jc w:val="right"/>
              <w:rPr>
                <w:rFonts w:cs="Arial"/>
                <w:b/>
                <w:bCs/>
                <w:color w:val="000000"/>
                <w:sz w:val="16"/>
                <w:szCs w:val="16"/>
              </w:rPr>
            </w:pPr>
            <w:r>
              <w:rPr>
                <w:rFonts w:cs="Arial"/>
                <w:b/>
                <w:bCs/>
                <w:color w:val="000000"/>
                <w:sz w:val="16"/>
                <w:szCs w:val="16"/>
              </w:rPr>
              <w:t>-126</w:t>
            </w:r>
          </w:p>
        </w:tc>
        <w:tc>
          <w:tcPr>
            <w:tcW w:w="898" w:type="dxa"/>
            <w:shd w:val="clear" w:color="auto" w:fill="D9D9D9"/>
            <w:noWrap/>
            <w:vAlign w:val="center"/>
            <w:hideMark/>
          </w:tcPr>
          <w:p w14:paraId="2C05E5AF" w14:textId="77777777" w:rsidR="002C3A9A" w:rsidRDefault="002C3A9A" w:rsidP="006A71D3">
            <w:pPr>
              <w:spacing w:after="0"/>
              <w:jc w:val="right"/>
              <w:rPr>
                <w:rFonts w:cs="Arial"/>
                <w:b/>
                <w:bCs/>
                <w:color w:val="000000"/>
                <w:sz w:val="16"/>
                <w:szCs w:val="16"/>
              </w:rPr>
            </w:pPr>
            <w:r>
              <w:rPr>
                <w:rFonts w:cs="Arial"/>
                <w:b/>
                <w:bCs/>
                <w:color w:val="000000"/>
                <w:sz w:val="16"/>
                <w:szCs w:val="16"/>
              </w:rPr>
              <w:t>-628</w:t>
            </w:r>
          </w:p>
        </w:tc>
      </w:tr>
      <w:tr w:rsidR="002C3A9A" w14:paraId="3A8111D1" w14:textId="77777777" w:rsidTr="002C3A9A">
        <w:trPr>
          <w:cantSplit/>
          <w:jc w:val="center"/>
        </w:trPr>
        <w:tc>
          <w:tcPr>
            <w:tcW w:w="547" w:type="dxa"/>
            <w:shd w:val="clear" w:color="auto" w:fill="F2F2F2"/>
            <w:vAlign w:val="center"/>
            <w:hideMark/>
          </w:tcPr>
          <w:p w14:paraId="0A42AEA6" w14:textId="77777777" w:rsidR="002C3A9A" w:rsidRDefault="002C3A9A" w:rsidP="006A71D3">
            <w:pPr>
              <w:spacing w:after="0"/>
              <w:jc w:val="center"/>
              <w:rPr>
                <w:rFonts w:cs="Arial"/>
                <w:b/>
                <w:bCs/>
                <w:color w:val="000000"/>
                <w:sz w:val="16"/>
                <w:szCs w:val="16"/>
              </w:rPr>
            </w:pPr>
            <w:r>
              <w:rPr>
                <w:rFonts w:cs="Arial"/>
                <w:b/>
                <w:bCs/>
                <w:color w:val="000000"/>
                <w:sz w:val="16"/>
                <w:szCs w:val="16"/>
              </w:rPr>
              <w:t>Α.1.</w:t>
            </w:r>
          </w:p>
        </w:tc>
        <w:tc>
          <w:tcPr>
            <w:tcW w:w="7468" w:type="dxa"/>
            <w:shd w:val="clear" w:color="auto" w:fill="F2F2F2"/>
            <w:noWrap/>
            <w:vAlign w:val="center"/>
            <w:hideMark/>
          </w:tcPr>
          <w:p w14:paraId="3B32D791" w14:textId="77777777" w:rsidR="002C3A9A" w:rsidRDefault="002C3A9A" w:rsidP="006A71D3">
            <w:pPr>
              <w:spacing w:after="0"/>
              <w:rPr>
                <w:rFonts w:cs="Arial"/>
                <w:b/>
                <w:bCs/>
                <w:color w:val="000000"/>
                <w:sz w:val="16"/>
                <w:szCs w:val="16"/>
              </w:rPr>
            </w:pPr>
            <w:r>
              <w:rPr>
                <w:rFonts w:cs="Arial"/>
                <w:b/>
                <w:bCs/>
                <w:color w:val="000000"/>
                <w:sz w:val="16"/>
                <w:szCs w:val="16"/>
              </w:rPr>
              <w:t>Παρεμβάσεις μείωσης των εσόδων της Γενικής Κυβέρνησης</w:t>
            </w:r>
          </w:p>
        </w:tc>
        <w:tc>
          <w:tcPr>
            <w:tcW w:w="922" w:type="dxa"/>
            <w:gridSpan w:val="2"/>
            <w:shd w:val="clear" w:color="auto" w:fill="F2F2F2"/>
            <w:noWrap/>
            <w:vAlign w:val="center"/>
            <w:hideMark/>
          </w:tcPr>
          <w:p w14:paraId="2884B789" w14:textId="77777777" w:rsidR="002C3A9A" w:rsidRDefault="002C3A9A" w:rsidP="006A71D3">
            <w:pPr>
              <w:spacing w:after="0"/>
              <w:jc w:val="right"/>
              <w:rPr>
                <w:rFonts w:cs="Arial"/>
                <w:b/>
                <w:bCs/>
                <w:color w:val="000000"/>
                <w:sz w:val="16"/>
                <w:szCs w:val="16"/>
              </w:rPr>
            </w:pPr>
            <w:r>
              <w:rPr>
                <w:rFonts w:cs="Arial"/>
                <w:b/>
                <w:bCs/>
                <w:color w:val="000000"/>
                <w:sz w:val="16"/>
                <w:szCs w:val="16"/>
              </w:rPr>
              <w:t>-355</w:t>
            </w:r>
          </w:p>
        </w:tc>
        <w:tc>
          <w:tcPr>
            <w:tcW w:w="898" w:type="dxa"/>
            <w:shd w:val="clear" w:color="auto" w:fill="F2F2F2"/>
            <w:noWrap/>
            <w:vAlign w:val="center"/>
            <w:hideMark/>
          </w:tcPr>
          <w:p w14:paraId="0681BECA" w14:textId="77777777" w:rsidR="002C3A9A" w:rsidRDefault="002C3A9A" w:rsidP="006A71D3">
            <w:pPr>
              <w:spacing w:after="0"/>
              <w:jc w:val="right"/>
              <w:rPr>
                <w:rFonts w:cs="Arial"/>
                <w:b/>
                <w:bCs/>
                <w:color w:val="000000"/>
                <w:sz w:val="16"/>
                <w:szCs w:val="16"/>
              </w:rPr>
            </w:pPr>
            <w:r>
              <w:rPr>
                <w:rFonts w:cs="Arial"/>
                <w:b/>
                <w:bCs/>
                <w:color w:val="000000"/>
                <w:sz w:val="16"/>
                <w:szCs w:val="16"/>
              </w:rPr>
              <w:t>-1.112</w:t>
            </w:r>
          </w:p>
        </w:tc>
      </w:tr>
      <w:tr w:rsidR="002C3A9A" w14:paraId="648C75E0" w14:textId="77777777" w:rsidTr="002C3A9A">
        <w:trPr>
          <w:cantSplit/>
          <w:jc w:val="center"/>
        </w:trPr>
        <w:tc>
          <w:tcPr>
            <w:tcW w:w="547" w:type="dxa"/>
            <w:vAlign w:val="center"/>
            <w:hideMark/>
          </w:tcPr>
          <w:p w14:paraId="04954EE1" w14:textId="77777777" w:rsidR="002C3A9A" w:rsidRDefault="002C3A9A" w:rsidP="006A71D3">
            <w:pPr>
              <w:spacing w:after="0"/>
              <w:jc w:val="center"/>
              <w:rPr>
                <w:rFonts w:cs="Arial"/>
                <w:sz w:val="16"/>
                <w:szCs w:val="16"/>
              </w:rPr>
            </w:pPr>
            <w:r>
              <w:rPr>
                <w:rFonts w:cs="Arial"/>
                <w:sz w:val="16"/>
                <w:szCs w:val="16"/>
              </w:rPr>
              <w:t>1</w:t>
            </w:r>
          </w:p>
        </w:tc>
        <w:tc>
          <w:tcPr>
            <w:tcW w:w="7468" w:type="dxa"/>
            <w:noWrap/>
            <w:vAlign w:val="center"/>
            <w:hideMark/>
          </w:tcPr>
          <w:p w14:paraId="6EFFB9F2" w14:textId="77777777" w:rsidR="002C3A9A" w:rsidRDefault="002C3A9A" w:rsidP="006A71D3">
            <w:pPr>
              <w:spacing w:after="0"/>
              <w:rPr>
                <w:rFonts w:cs="Arial"/>
                <w:sz w:val="16"/>
                <w:szCs w:val="16"/>
              </w:rPr>
            </w:pPr>
            <w:r>
              <w:rPr>
                <w:rFonts w:cs="Arial"/>
                <w:sz w:val="16"/>
                <w:szCs w:val="16"/>
              </w:rPr>
              <w:t>Αύξηση από το 2024 του αφορολόγητου κατά 1.000 ευρώ για οικογένειες που έχουν παιδιά</w:t>
            </w:r>
          </w:p>
        </w:tc>
        <w:tc>
          <w:tcPr>
            <w:tcW w:w="922" w:type="dxa"/>
            <w:gridSpan w:val="2"/>
            <w:shd w:val="clear" w:color="auto" w:fill="FFFFFF"/>
            <w:noWrap/>
            <w:vAlign w:val="center"/>
            <w:hideMark/>
          </w:tcPr>
          <w:p w14:paraId="638D5932" w14:textId="77777777" w:rsidR="002C3A9A" w:rsidRDefault="002C3A9A" w:rsidP="006A71D3">
            <w:pPr>
              <w:spacing w:after="0"/>
              <w:jc w:val="right"/>
              <w:rPr>
                <w:rFonts w:cs="Arial"/>
                <w:color w:val="000000"/>
                <w:sz w:val="16"/>
                <w:szCs w:val="16"/>
              </w:rPr>
            </w:pPr>
            <w:r>
              <w:rPr>
                <w:rFonts w:cs="Arial"/>
                <w:color w:val="000000"/>
                <w:sz w:val="16"/>
                <w:szCs w:val="16"/>
              </w:rPr>
              <w:t>-135</w:t>
            </w:r>
          </w:p>
        </w:tc>
        <w:tc>
          <w:tcPr>
            <w:tcW w:w="898" w:type="dxa"/>
            <w:shd w:val="clear" w:color="auto" w:fill="FFFFFF"/>
            <w:noWrap/>
            <w:vAlign w:val="center"/>
            <w:hideMark/>
          </w:tcPr>
          <w:p w14:paraId="40A3BCBD" w14:textId="77777777" w:rsidR="002C3A9A" w:rsidRDefault="002C3A9A" w:rsidP="006A71D3">
            <w:pPr>
              <w:spacing w:after="0"/>
              <w:jc w:val="right"/>
              <w:rPr>
                <w:rFonts w:cs="Arial"/>
                <w:color w:val="000000"/>
                <w:sz w:val="16"/>
                <w:szCs w:val="16"/>
              </w:rPr>
            </w:pPr>
            <w:r>
              <w:rPr>
                <w:rFonts w:cs="Arial"/>
                <w:color w:val="000000"/>
                <w:sz w:val="16"/>
                <w:szCs w:val="16"/>
              </w:rPr>
              <w:t>-135</w:t>
            </w:r>
          </w:p>
        </w:tc>
      </w:tr>
      <w:tr w:rsidR="002C3A9A" w14:paraId="7977318F" w14:textId="77777777" w:rsidTr="002C3A9A">
        <w:trPr>
          <w:cantSplit/>
          <w:jc w:val="center"/>
        </w:trPr>
        <w:tc>
          <w:tcPr>
            <w:tcW w:w="547" w:type="dxa"/>
            <w:vAlign w:val="center"/>
            <w:hideMark/>
          </w:tcPr>
          <w:p w14:paraId="7B92FCB2" w14:textId="77777777" w:rsidR="002C3A9A" w:rsidRDefault="002C3A9A" w:rsidP="006A71D3">
            <w:pPr>
              <w:spacing w:after="0"/>
              <w:jc w:val="center"/>
              <w:rPr>
                <w:rFonts w:cs="Arial"/>
                <w:sz w:val="16"/>
                <w:szCs w:val="16"/>
              </w:rPr>
            </w:pPr>
            <w:r>
              <w:rPr>
                <w:rFonts w:cs="Arial"/>
                <w:sz w:val="16"/>
                <w:szCs w:val="16"/>
              </w:rPr>
              <w:t>2</w:t>
            </w:r>
          </w:p>
        </w:tc>
        <w:tc>
          <w:tcPr>
            <w:tcW w:w="7468" w:type="dxa"/>
            <w:noWrap/>
            <w:vAlign w:val="center"/>
            <w:hideMark/>
          </w:tcPr>
          <w:p w14:paraId="50F52F33" w14:textId="77777777" w:rsidR="002C3A9A" w:rsidRDefault="002C3A9A" w:rsidP="006A71D3">
            <w:pPr>
              <w:spacing w:after="0"/>
              <w:rPr>
                <w:rFonts w:cs="Arial"/>
                <w:sz w:val="16"/>
                <w:szCs w:val="16"/>
              </w:rPr>
            </w:pPr>
            <w:r>
              <w:rPr>
                <w:rFonts w:cs="Arial"/>
                <w:sz w:val="16"/>
                <w:szCs w:val="16"/>
              </w:rPr>
              <w:t>Μείωση ΕΝΦΙΑ έτους 2024 κατά 10% για κατοικίες που ασφαλίζονται για φυσικές καταστροφές και μείωση ΕΝΦΙΑ έτους 2025 κατά 20% για κατοικίες που ασφαλίζονται για φυσικές καταστροφές με φορολογητέα αξία έως 500.000 ευρώ</w:t>
            </w:r>
          </w:p>
        </w:tc>
        <w:tc>
          <w:tcPr>
            <w:tcW w:w="922" w:type="dxa"/>
            <w:gridSpan w:val="2"/>
            <w:shd w:val="clear" w:color="auto" w:fill="FFFFFF"/>
            <w:noWrap/>
            <w:vAlign w:val="center"/>
            <w:hideMark/>
          </w:tcPr>
          <w:p w14:paraId="69209F27" w14:textId="77777777" w:rsidR="002C3A9A" w:rsidRDefault="002C3A9A" w:rsidP="006A71D3">
            <w:pPr>
              <w:spacing w:after="0"/>
              <w:jc w:val="right"/>
              <w:rPr>
                <w:rFonts w:cs="Arial"/>
                <w:color w:val="000000"/>
                <w:sz w:val="16"/>
                <w:szCs w:val="16"/>
              </w:rPr>
            </w:pPr>
            <w:r>
              <w:rPr>
                <w:rFonts w:cs="Arial"/>
                <w:color w:val="000000"/>
                <w:sz w:val="16"/>
                <w:szCs w:val="16"/>
              </w:rPr>
              <w:t>-7</w:t>
            </w:r>
          </w:p>
        </w:tc>
        <w:tc>
          <w:tcPr>
            <w:tcW w:w="898" w:type="dxa"/>
            <w:shd w:val="clear" w:color="auto" w:fill="FFFFFF"/>
            <w:noWrap/>
            <w:vAlign w:val="center"/>
            <w:hideMark/>
          </w:tcPr>
          <w:p w14:paraId="23867D07" w14:textId="77777777" w:rsidR="002C3A9A" w:rsidRDefault="002C3A9A" w:rsidP="006A71D3">
            <w:pPr>
              <w:spacing w:after="0"/>
              <w:jc w:val="right"/>
              <w:rPr>
                <w:rFonts w:cs="Arial"/>
                <w:color w:val="000000"/>
                <w:sz w:val="16"/>
                <w:szCs w:val="16"/>
              </w:rPr>
            </w:pPr>
            <w:r>
              <w:rPr>
                <w:rFonts w:cs="Arial"/>
                <w:color w:val="000000"/>
                <w:sz w:val="16"/>
                <w:szCs w:val="16"/>
              </w:rPr>
              <w:t>-18</w:t>
            </w:r>
          </w:p>
        </w:tc>
      </w:tr>
      <w:tr w:rsidR="002C3A9A" w14:paraId="2505AFBB" w14:textId="77777777" w:rsidTr="002C3A9A">
        <w:trPr>
          <w:cantSplit/>
          <w:jc w:val="center"/>
        </w:trPr>
        <w:tc>
          <w:tcPr>
            <w:tcW w:w="547" w:type="dxa"/>
            <w:vAlign w:val="center"/>
            <w:hideMark/>
          </w:tcPr>
          <w:p w14:paraId="6CB527BE" w14:textId="77777777" w:rsidR="002C3A9A" w:rsidRDefault="002C3A9A" w:rsidP="006A71D3">
            <w:pPr>
              <w:spacing w:after="0"/>
              <w:jc w:val="center"/>
              <w:rPr>
                <w:rFonts w:cs="Arial"/>
                <w:sz w:val="16"/>
                <w:szCs w:val="16"/>
              </w:rPr>
            </w:pPr>
            <w:r>
              <w:rPr>
                <w:rFonts w:cs="Arial"/>
                <w:sz w:val="16"/>
                <w:szCs w:val="16"/>
              </w:rPr>
              <w:t>3</w:t>
            </w:r>
          </w:p>
        </w:tc>
        <w:tc>
          <w:tcPr>
            <w:tcW w:w="7468" w:type="dxa"/>
            <w:noWrap/>
            <w:vAlign w:val="center"/>
            <w:hideMark/>
          </w:tcPr>
          <w:p w14:paraId="7CC29A55" w14:textId="77777777" w:rsidR="002C3A9A" w:rsidRDefault="002C3A9A" w:rsidP="006A71D3">
            <w:pPr>
              <w:spacing w:after="0"/>
              <w:rPr>
                <w:rFonts w:cs="Arial"/>
                <w:color w:val="000000"/>
                <w:sz w:val="16"/>
                <w:szCs w:val="16"/>
              </w:rPr>
            </w:pPr>
            <w:r>
              <w:rPr>
                <w:rFonts w:cs="Arial"/>
                <w:color w:val="000000"/>
                <w:sz w:val="16"/>
                <w:szCs w:val="16"/>
              </w:rPr>
              <w:t>Μείωση κατά μία ποσοστιαία μονάδα των ασφαλιστικών εισφορών από τον Ιανουάριο 2025</w:t>
            </w:r>
          </w:p>
        </w:tc>
        <w:tc>
          <w:tcPr>
            <w:tcW w:w="922" w:type="dxa"/>
            <w:gridSpan w:val="2"/>
            <w:shd w:val="clear" w:color="auto" w:fill="FFFFFF"/>
            <w:noWrap/>
            <w:vAlign w:val="center"/>
            <w:hideMark/>
          </w:tcPr>
          <w:p w14:paraId="50A7A7E3"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shd w:val="clear" w:color="auto" w:fill="FFFFFF"/>
            <w:noWrap/>
            <w:vAlign w:val="center"/>
            <w:hideMark/>
          </w:tcPr>
          <w:p w14:paraId="4AE096CA" w14:textId="77777777" w:rsidR="002C3A9A" w:rsidRDefault="002C3A9A" w:rsidP="006A71D3">
            <w:pPr>
              <w:spacing w:after="0"/>
              <w:jc w:val="right"/>
              <w:rPr>
                <w:rFonts w:cs="Arial"/>
                <w:color w:val="000000"/>
                <w:sz w:val="16"/>
                <w:szCs w:val="16"/>
              </w:rPr>
            </w:pPr>
            <w:r>
              <w:rPr>
                <w:rFonts w:cs="Arial"/>
                <w:color w:val="000000"/>
                <w:sz w:val="16"/>
                <w:szCs w:val="16"/>
              </w:rPr>
              <w:t>-440</w:t>
            </w:r>
          </w:p>
        </w:tc>
      </w:tr>
      <w:tr w:rsidR="002C3A9A" w14:paraId="736CECAA" w14:textId="77777777" w:rsidTr="002C3A9A">
        <w:trPr>
          <w:cantSplit/>
          <w:jc w:val="center"/>
        </w:trPr>
        <w:tc>
          <w:tcPr>
            <w:tcW w:w="547" w:type="dxa"/>
            <w:vAlign w:val="center"/>
            <w:hideMark/>
          </w:tcPr>
          <w:p w14:paraId="6633656F" w14:textId="77777777" w:rsidR="002C3A9A" w:rsidRDefault="002C3A9A" w:rsidP="006A71D3">
            <w:pPr>
              <w:spacing w:after="0"/>
              <w:jc w:val="center"/>
              <w:rPr>
                <w:rFonts w:cs="Arial"/>
                <w:sz w:val="16"/>
                <w:szCs w:val="16"/>
              </w:rPr>
            </w:pPr>
            <w:r>
              <w:rPr>
                <w:rFonts w:cs="Arial"/>
                <w:sz w:val="16"/>
                <w:szCs w:val="16"/>
              </w:rPr>
              <w:t>4</w:t>
            </w:r>
          </w:p>
        </w:tc>
        <w:tc>
          <w:tcPr>
            <w:tcW w:w="7468" w:type="dxa"/>
            <w:noWrap/>
            <w:vAlign w:val="center"/>
            <w:hideMark/>
          </w:tcPr>
          <w:p w14:paraId="5CC73E9F" w14:textId="77777777" w:rsidR="002C3A9A" w:rsidRDefault="002C3A9A" w:rsidP="006A71D3">
            <w:pPr>
              <w:spacing w:after="0"/>
              <w:rPr>
                <w:rFonts w:cs="Arial"/>
                <w:color w:val="000000"/>
                <w:sz w:val="16"/>
                <w:szCs w:val="16"/>
              </w:rPr>
            </w:pPr>
            <w:r>
              <w:rPr>
                <w:rFonts w:cs="Arial"/>
                <w:color w:val="000000"/>
                <w:sz w:val="16"/>
                <w:szCs w:val="16"/>
              </w:rPr>
              <w:t>Κατάργηση του τέλους επιτηδεύματος στους ελεύθερους επαγγελματίες από το 2025, σε συνέχεια της μείωσης κατά 50% το 2024</w:t>
            </w:r>
          </w:p>
        </w:tc>
        <w:tc>
          <w:tcPr>
            <w:tcW w:w="922" w:type="dxa"/>
            <w:gridSpan w:val="2"/>
            <w:shd w:val="clear" w:color="auto" w:fill="FFFFFF"/>
            <w:noWrap/>
            <w:vAlign w:val="center"/>
            <w:hideMark/>
          </w:tcPr>
          <w:p w14:paraId="62BA37CC" w14:textId="77777777" w:rsidR="002C3A9A" w:rsidRDefault="002C3A9A" w:rsidP="006A71D3">
            <w:pPr>
              <w:spacing w:after="0"/>
              <w:jc w:val="right"/>
              <w:rPr>
                <w:rFonts w:cs="Arial"/>
                <w:color w:val="000000"/>
                <w:sz w:val="16"/>
                <w:szCs w:val="16"/>
              </w:rPr>
            </w:pPr>
            <w:r>
              <w:rPr>
                <w:rFonts w:cs="Arial"/>
                <w:color w:val="000000"/>
                <w:sz w:val="16"/>
                <w:szCs w:val="16"/>
              </w:rPr>
              <w:t>-113</w:t>
            </w:r>
          </w:p>
        </w:tc>
        <w:tc>
          <w:tcPr>
            <w:tcW w:w="898" w:type="dxa"/>
            <w:shd w:val="clear" w:color="auto" w:fill="FFFFFF"/>
            <w:noWrap/>
            <w:vAlign w:val="center"/>
            <w:hideMark/>
          </w:tcPr>
          <w:p w14:paraId="1CFB6561" w14:textId="77777777" w:rsidR="002C3A9A" w:rsidRDefault="002C3A9A" w:rsidP="006A71D3">
            <w:pPr>
              <w:spacing w:after="0"/>
              <w:jc w:val="right"/>
              <w:rPr>
                <w:rFonts w:cs="Arial"/>
                <w:color w:val="000000"/>
                <w:sz w:val="16"/>
                <w:szCs w:val="16"/>
              </w:rPr>
            </w:pPr>
            <w:r>
              <w:rPr>
                <w:rFonts w:cs="Arial"/>
                <w:color w:val="000000"/>
                <w:sz w:val="16"/>
                <w:szCs w:val="16"/>
              </w:rPr>
              <w:t>-238</w:t>
            </w:r>
          </w:p>
        </w:tc>
      </w:tr>
      <w:tr w:rsidR="002C3A9A" w14:paraId="4B90C2BB" w14:textId="77777777" w:rsidTr="002C3A9A">
        <w:trPr>
          <w:cantSplit/>
          <w:jc w:val="center"/>
        </w:trPr>
        <w:tc>
          <w:tcPr>
            <w:tcW w:w="547" w:type="dxa"/>
            <w:vAlign w:val="center"/>
            <w:hideMark/>
          </w:tcPr>
          <w:p w14:paraId="34C018F7" w14:textId="77777777" w:rsidR="002C3A9A" w:rsidRDefault="002C3A9A" w:rsidP="006A71D3">
            <w:pPr>
              <w:spacing w:after="0"/>
              <w:jc w:val="center"/>
              <w:rPr>
                <w:rFonts w:cs="Arial"/>
                <w:sz w:val="16"/>
                <w:szCs w:val="16"/>
              </w:rPr>
            </w:pPr>
            <w:r>
              <w:rPr>
                <w:rFonts w:cs="Arial"/>
                <w:sz w:val="16"/>
                <w:szCs w:val="16"/>
              </w:rPr>
              <w:t>5</w:t>
            </w:r>
          </w:p>
        </w:tc>
        <w:tc>
          <w:tcPr>
            <w:tcW w:w="7468" w:type="dxa"/>
            <w:noWrap/>
            <w:vAlign w:val="center"/>
            <w:hideMark/>
          </w:tcPr>
          <w:p w14:paraId="488A8217" w14:textId="77777777" w:rsidR="002C3A9A" w:rsidRDefault="002C3A9A" w:rsidP="006A71D3">
            <w:pPr>
              <w:spacing w:after="0"/>
              <w:rPr>
                <w:rFonts w:cs="Arial"/>
                <w:sz w:val="16"/>
                <w:szCs w:val="16"/>
              </w:rPr>
            </w:pPr>
            <w:r>
              <w:rPr>
                <w:rFonts w:cs="Arial"/>
                <w:sz w:val="16"/>
                <w:szCs w:val="16"/>
              </w:rPr>
              <w:t>Μονιμοποίηση της επιστροφής του ΕΦΚ στο αγροτικό πετρέλαιο με νέο σύστημα από το 2025</w:t>
            </w:r>
          </w:p>
        </w:tc>
        <w:tc>
          <w:tcPr>
            <w:tcW w:w="922" w:type="dxa"/>
            <w:gridSpan w:val="2"/>
            <w:shd w:val="clear" w:color="auto" w:fill="FFFFFF"/>
            <w:noWrap/>
            <w:vAlign w:val="center"/>
            <w:hideMark/>
          </w:tcPr>
          <w:p w14:paraId="04AD7557" w14:textId="77777777" w:rsidR="002C3A9A" w:rsidRDefault="002C3A9A" w:rsidP="006A71D3">
            <w:pPr>
              <w:spacing w:after="0"/>
              <w:jc w:val="right"/>
              <w:rPr>
                <w:rFonts w:cs="Arial"/>
                <w:color w:val="000000"/>
                <w:sz w:val="16"/>
                <w:szCs w:val="16"/>
              </w:rPr>
            </w:pPr>
            <w:r>
              <w:rPr>
                <w:rFonts w:cs="Arial"/>
                <w:color w:val="000000"/>
                <w:sz w:val="16"/>
                <w:szCs w:val="16"/>
              </w:rPr>
              <w:t>-82</w:t>
            </w:r>
          </w:p>
        </w:tc>
        <w:tc>
          <w:tcPr>
            <w:tcW w:w="898" w:type="dxa"/>
            <w:shd w:val="clear" w:color="auto" w:fill="FFFFFF"/>
            <w:noWrap/>
            <w:vAlign w:val="center"/>
            <w:hideMark/>
          </w:tcPr>
          <w:p w14:paraId="0D7B3AF0" w14:textId="77777777" w:rsidR="002C3A9A" w:rsidRDefault="002C3A9A" w:rsidP="006A71D3">
            <w:pPr>
              <w:spacing w:after="0"/>
              <w:jc w:val="right"/>
              <w:rPr>
                <w:rFonts w:cs="Arial"/>
                <w:color w:val="000000"/>
                <w:sz w:val="16"/>
                <w:szCs w:val="16"/>
              </w:rPr>
            </w:pPr>
            <w:r>
              <w:rPr>
                <w:rFonts w:cs="Arial"/>
                <w:color w:val="000000"/>
                <w:sz w:val="16"/>
                <w:szCs w:val="16"/>
              </w:rPr>
              <w:t>-100</w:t>
            </w:r>
          </w:p>
        </w:tc>
      </w:tr>
      <w:tr w:rsidR="002C3A9A" w14:paraId="6AD181AD" w14:textId="77777777" w:rsidTr="002C3A9A">
        <w:trPr>
          <w:cantSplit/>
          <w:jc w:val="center"/>
        </w:trPr>
        <w:tc>
          <w:tcPr>
            <w:tcW w:w="547" w:type="dxa"/>
            <w:vAlign w:val="center"/>
            <w:hideMark/>
          </w:tcPr>
          <w:p w14:paraId="0B8B6CF5" w14:textId="77777777" w:rsidR="002C3A9A" w:rsidRDefault="002C3A9A" w:rsidP="006A71D3">
            <w:pPr>
              <w:spacing w:after="0"/>
              <w:jc w:val="center"/>
              <w:rPr>
                <w:rFonts w:cs="Arial"/>
                <w:sz w:val="16"/>
                <w:szCs w:val="16"/>
              </w:rPr>
            </w:pPr>
            <w:r>
              <w:rPr>
                <w:rFonts w:cs="Arial"/>
                <w:sz w:val="16"/>
                <w:szCs w:val="16"/>
              </w:rPr>
              <w:t>6</w:t>
            </w:r>
          </w:p>
        </w:tc>
        <w:tc>
          <w:tcPr>
            <w:tcW w:w="7468" w:type="dxa"/>
            <w:noWrap/>
            <w:vAlign w:val="center"/>
            <w:hideMark/>
          </w:tcPr>
          <w:p w14:paraId="7EDFB17E" w14:textId="77777777" w:rsidR="002C3A9A" w:rsidRDefault="002C3A9A" w:rsidP="006A71D3">
            <w:pPr>
              <w:spacing w:after="0"/>
              <w:rPr>
                <w:rFonts w:cs="Arial"/>
                <w:color w:val="000000"/>
                <w:sz w:val="16"/>
                <w:szCs w:val="16"/>
              </w:rPr>
            </w:pPr>
            <w:r>
              <w:rPr>
                <w:rFonts w:cs="Arial"/>
                <w:color w:val="000000"/>
                <w:sz w:val="16"/>
                <w:szCs w:val="16"/>
              </w:rPr>
              <w:t>Αυτοτελής φορολόγηση εφημεριών των ιατρών του ΕΣΥ</w:t>
            </w:r>
          </w:p>
        </w:tc>
        <w:tc>
          <w:tcPr>
            <w:tcW w:w="922" w:type="dxa"/>
            <w:gridSpan w:val="2"/>
            <w:shd w:val="clear" w:color="auto" w:fill="FFFFFF"/>
            <w:noWrap/>
            <w:vAlign w:val="center"/>
            <w:hideMark/>
          </w:tcPr>
          <w:p w14:paraId="66A91B58"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shd w:val="clear" w:color="auto" w:fill="FFFFFF"/>
            <w:noWrap/>
            <w:vAlign w:val="center"/>
            <w:hideMark/>
          </w:tcPr>
          <w:p w14:paraId="008AE074" w14:textId="77777777" w:rsidR="002C3A9A" w:rsidRDefault="002C3A9A" w:rsidP="006A71D3">
            <w:pPr>
              <w:spacing w:after="0"/>
              <w:jc w:val="right"/>
              <w:rPr>
                <w:rFonts w:cs="Arial"/>
                <w:color w:val="000000"/>
                <w:sz w:val="16"/>
                <w:szCs w:val="16"/>
              </w:rPr>
            </w:pPr>
            <w:r>
              <w:rPr>
                <w:rFonts w:cs="Arial"/>
                <w:color w:val="000000"/>
                <w:sz w:val="16"/>
                <w:szCs w:val="16"/>
              </w:rPr>
              <w:t>-40</w:t>
            </w:r>
          </w:p>
        </w:tc>
      </w:tr>
      <w:tr w:rsidR="002C3A9A" w14:paraId="2E00A015" w14:textId="77777777" w:rsidTr="002C3A9A">
        <w:trPr>
          <w:cantSplit/>
          <w:jc w:val="center"/>
        </w:trPr>
        <w:tc>
          <w:tcPr>
            <w:tcW w:w="547" w:type="dxa"/>
            <w:vAlign w:val="center"/>
            <w:hideMark/>
          </w:tcPr>
          <w:p w14:paraId="0268CB41" w14:textId="77777777" w:rsidR="002C3A9A" w:rsidRDefault="002C3A9A" w:rsidP="006A71D3">
            <w:pPr>
              <w:spacing w:after="0"/>
              <w:jc w:val="center"/>
              <w:rPr>
                <w:rFonts w:cs="Arial"/>
                <w:sz w:val="16"/>
                <w:szCs w:val="16"/>
              </w:rPr>
            </w:pPr>
            <w:r>
              <w:rPr>
                <w:rFonts w:cs="Arial"/>
                <w:sz w:val="16"/>
                <w:szCs w:val="16"/>
              </w:rPr>
              <w:t>7</w:t>
            </w:r>
          </w:p>
        </w:tc>
        <w:tc>
          <w:tcPr>
            <w:tcW w:w="7468" w:type="dxa"/>
            <w:noWrap/>
            <w:vAlign w:val="center"/>
            <w:hideMark/>
          </w:tcPr>
          <w:p w14:paraId="094A2FF1" w14:textId="77777777" w:rsidR="002C3A9A" w:rsidRDefault="002C3A9A" w:rsidP="006A71D3">
            <w:pPr>
              <w:spacing w:after="0"/>
              <w:rPr>
                <w:rFonts w:cs="Arial"/>
                <w:color w:val="000000"/>
                <w:sz w:val="16"/>
                <w:szCs w:val="16"/>
              </w:rPr>
            </w:pPr>
            <w:r>
              <w:rPr>
                <w:rFonts w:cs="Arial"/>
                <w:color w:val="000000"/>
                <w:sz w:val="16"/>
                <w:szCs w:val="16"/>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922" w:type="dxa"/>
            <w:gridSpan w:val="2"/>
            <w:noWrap/>
            <w:vAlign w:val="center"/>
            <w:hideMark/>
          </w:tcPr>
          <w:p w14:paraId="7E1DF449"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noWrap/>
            <w:vAlign w:val="center"/>
            <w:hideMark/>
          </w:tcPr>
          <w:p w14:paraId="5E318D25" w14:textId="77777777" w:rsidR="002C3A9A" w:rsidRDefault="002C3A9A" w:rsidP="006A71D3">
            <w:pPr>
              <w:spacing w:after="0"/>
              <w:jc w:val="right"/>
              <w:rPr>
                <w:rFonts w:cs="Arial"/>
                <w:color w:val="000000"/>
                <w:sz w:val="16"/>
                <w:szCs w:val="16"/>
              </w:rPr>
            </w:pPr>
            <w:r>
              <w:rPr>
                <w:rFonts w:cs="Arial"/>
                <w:color w:val="000000"/>
                <w:sz w:val="16"/>
                <w:szCs w:val="16"/>
              </w:rPr>
              <w:t>-32</w:t>
            </w:r>
          </w:p>
        </w:tc>
      </w:tr>
      <w:tr w:rsidR="002C3A9A" w14:paraId="0EB1A36B" w14:textId="77777777" w:rsidTr="002C3A9A">
        <w:trPr>
          <w:cantSplit/>
          <w:jc w:val="center"/>
        </w:trPr>
        <w:tc>
          <w:tcPr>
            <w:tcW w:w="547" w:type="dxa"/>
            <w:vAlign w:val="center"/>
            <w:hideMark/>
          </w:tcPr>
          <w:p w14:paraId="6909FEB9" w14:textId="77777777" w:rsidR="002C3A9A" w:rsidRDefault="002C3A9A" w:rsidP="006A71D3">
            <w:pPr>
              <w:spacing w:after="0"/>
              <w:jc w:val="center"/>
              <w:rPr>
                <w:rFonts w:cs="Arial"/>
                <w:sz w:val="16"/>
                <w:szCs w:val="16"/>
              </w:rPr>
            </w:pPr>
            <w:r>
              <w:rPr>
                <w:rFonts w:cs="Arial"/>
                <w:sz w:val="16"/>
                <w:szCs w:val="16"/>
              </w:rPr>
              <w:t>8</w:t>
            </w:r>
          </w:p>
        </w:tc>
        <w:tc>
          <w:tcPr>
            <w:tcW w:w="7468" w:type="dxa"/>
            <w:shd w:val="clear" w:color="auto" w:fill="FFFFFF"/>
            <w:noWrap/>
            <w:vAlign w:val="center"/>
            <w:hideMark/>
          </w:tcPr>
          <w:p w14:paraId="3F7DE8C8" w14:textId="77777777" w:rsidR="002C3A9A" w:rsidRDefault="002C3A9A" w:rsidP="006A71D3">
            <w:pPr>
              <w:spacing w:after="0"/>
              <w:rPr>
                <w:rFonts w:cs="Arial"/>
                <w:color w:val="000000"/>
                <w:sz w:val="16"/>
                <w:szCs w:val="16"/>
              </w:rPr>
            </w:pPr>
            <w:r>
              <w:rPr>
                <w:rFonts w:cs="Arial"/>
                <w:color w:val="000000"/>
                <w:sz w:val="16"/>
                <w:szCs w:val="16"/>
              </w:rPr>
              <w:t>Κίνητρα για την καινοτομία, τις συγχωνεύσεις και τις εξαγορές</w:t>
            </w:r>
          </w:p>
        </w:tc>
        <w:tc>
          <w:tcPr>
            <w:tcW w:w="922" w:type="dxa"/>
            <w:gridSpan w:val="2"/>
            <w:noWrap/>
            <w:vAlign w:val="center"/>
            <w:hideMark/>
          </w:tcPr>
          <w:p w14:paraId="5C5817DF"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noWrap/>
            <w:vAlign w:val="center"/>
            <w:hideMark/>
          </w:tcPr>
          <w:p w14:paraId="3A98B056" w14:textId="77777777" w:rsidR="002C3A9A" w:rsidRDefault="002C3A9A" w:rsidP="006A71D3">
            <w:pPr>
              <w:spacing w:after="0"/>
              <w:jc w:val="right"/>
              <w:rPr>
                <w:rFonts w:cs="Arial"/>
                <w:color w:val="000000"/>
                <w:sz w:val="16"/>
                <w:szCs w:val="16"/>
              </w:rPr>
            </w:pPr>
            <w:r>
              <w:rPr>
                <w:rFonts w:cs="Arial"/>
                <w:color w:val="000000"/>
                <w:sz w:val="16"/>
                <w:szCs w:val="16"/>
              </w:rPr>
              <w:t>-41</w:t>
            </w:r>
          </w:p>
        </w:tc>
      </w:tr>
      <w:tr w:rsidR="002C3A9A" w14:paraId="70B2E683" w14:textId="77777777" w:rsidTr="002C3A9A">
        <w:trPr>
          <w:cantSplit/>
          <w:jc w:val="center"/>
        </w:trPr>
        <w:tc>
          <w:tcPr>
            <w:tcW w:w="547" w:type="dxa"/>
            <w:vAlign w:val="center"/>
            <w:hideMark/>
          </w:tcPr>
          <w:p w14:paraId="4FD700FC" w14:textId="77777777" w:rsidR="002C3A9A" w:rsidRDefault="002C3A9A" w:rsidP="006A71D3">
            <w:pPr>
              <w:spacing w:after="0"/>
              <w:jc w:val="center"/>
              <w:rPr>
                <w:rFonts w:cs="Arial"/>
                <w:sz w:val="16"/>
                <w:szCs w:val="16"/>
              </w:rPr>
            </w:pPr>
            <w:r>
              <w:rPr>
                <w:rFonts w:cs="Arial"/>
                <w:sz w:val="16"/>
                <w:szCs w:val="16"/>
              </w:rPr>
              <w:t>9</w:t>
            </w:r>
          </w:p>
        </w:tc>
        <w:tc>
          <w:tcPr>
            <w:tcW w:w="7468" w:type="dxa"/>
            <w:shd w:val="clear" w:color="auto" w:fill="FFFFFF"/>
            <w:noWrap/>
            <w:vAlign w:val="center"/>
            <w:hideMark/>
          </w:tcPr>
          <w:p w14:paraId="064D9778" w14:textId="77777777" w:rsidR="002C3A9A" w:rsidRDefault="002C3A9A" w:rsidP="006A71D3">
            <w:pPr>
              <w:spacing w:after="0"/>
              <w:rPr>
                <w:rFonts w:cs="Arial"/>
                <w:color w:val="000000"/>
                <w:sz w:val="16"/>
                <w:szCs w:val="16"/>
              </w:rPr>
            </w:pPr>
            <w:r>
              <w:rPr>
                <w:rFonts w:cs="Arial"/>
                <w:color w:val="000000"/>
                <w:sz w:val="16"/>
                <w:szCs w:val="16"/>
              </w:rPr>
              <w:t>Επέκταση και κατά το έτος 2025 της απαλλαγής ΦΠΑ για νέα κτίρια</w:t>
            </w:r>
          </w:p>
        </w:tc>
        <w:tc>
          <w:tcPr>
            <w:tcW w:w="922" w:type="dxa"/>
            <w:gridSpan w:val="2"/>
            <w:shd w:val="clear" w:color="auto" w:fill="FFFFFF"/>
            <w:noWrap/>
            <w:vAlign w:val="center"/>
            <w:hideMark/>
          </w:tcPr>
          <w:p w14:paraId="69B89ADA" w14:textId="77777777" w:rsidR="002C3A9A" w:rsidRDefault="002C3A9A" w:rsidP="006A71D3">
            <w:pPr>
              <w:spacing w:after="0"/>
              <w:jc w:val="right"/>
              <w:rPr>
                <w:rFonts w:cs="Arial"/>
                <w:color w:val="000000"/>
                <w:sz w:val="16"/>
                <w:szCs w:val="16"/>
              </w:rPr>
            </w:pPr>
            <w:r>
              <w:rPr>
                <w:rFonts w:cs="Arial"/>
                <w:color w:val="000000"/>
                <w:sz w:val="16"/>
                <w:szCs w:val="16"/>
              </w:rPr>
              <w:t>-18</w:t>
            </w:r>
          </w:p>
        </w:tc>
        <w:tc>
          <w:tcPr>
            <w:tcW w:w="898" w:type="dxa"/>
            <w:shd w:val="clear" w:color="auto" w:fill="FFFFFF"/>
            <w:noWrap/>
            <w:vAlign w:val="center"/>
            <w:hideMark/>
          </w:tcPr>
          <w:p w14:paraId="6A19893D" w14:textId="77777777" w:rsidR="002C3A9A" w:rsidRDefault="002C3A9A" w:rsidP="006A71D3">
            <w:pPr>
              <w:spacing w:after="0"/>
              <w:jc w:val="right"/>
              <w:rPr>
                <w:rFonts w:cs="Arial"/>
                <w:color w:val="000000"/>
                <w:sz w:val="16"/>
                <w:szCs w:val="16"/>
              </w:rPr>
            </w:pPr>
            <w:r>
              <w:rPr>
                <w:rFonts w:cs="Arial"/>
                <w:color w:val="000000"/>
                <w:sz w:val="16"/>
                <w:szCs w:val="16"/>
              </w:rPr>
              <w:t>-18</w:t>
            </w:r>
          </w:p>
        </w:tc>
      </w:tr>
      <w:tr w:rsidR="002C3A9A" w14:paraId="116C1D67" w14:textId="77777777" w:rsidTr="002C3A9A">
        <w:trPr>
          <w:cantSplit/>
          <w:jc w:val="center"/>
        </w:trPr>
        <w:tc>
          <w:tcPr>
            <w:tcW w:w="547" w:type="dxa"/>
            <w:vAlign w:val="center"/>
            <w:hideMark/>
          </w:tcPr>
          <w:p w14:paraId="1A422B60" w14:textId="77777777" w:rsidR="002C3A9A" w:rsidRDefault="002C3A9A" w:rsidP="006A71D3">
            <w:pPr>
              <w:spacing w:after="0"/>
              <w:jc w:val="center"/>
              <w:rPr>
                <w:rFonts w:cs="Arial"/>
                <w:sz w:val="16"/>
                <w:szCs w:val="16"/>
              </w:rPr>
            </w:pPr>
            <w:r>
              <w:rPr>
                <w:rFonts w:cs="Arial"/>
                <w:sz w:val="16"/>
                <w:szCs w:val="16"/>
              </w:rPr>
              <w:t>10</w:t>
            </w:r>
          </w:p>
        </w:tc>
        <w:tc>
          <w:tcPr>
            <w:tcW w:w="7468" w:type="dxa"/>
            <w:shd w:val="clear" w:color="auto" w:fill="FFFFFF"/>
            <w:noWrap/>
            <w:vAlign w:val="center"/>
            <w:hideMark/>
          </w:tcPr>
          <w:p w14:paraId="7786B80C" w14:textId="77777777" w:rsidR="002C3A9A" w:rsidRDefault="002C3A9A" w:rsidP="006A71D3">
            <w:pPr>
              <w:spacing w:after="0"/>
              <w:rPr>
                <w:rFonts w:cs="Arial"/>
                <w:color w:val="000000"/>
                <w:sz w:val="16"/>
                <w:szCs w:val="16"/>
              </w:rPr>
            </w:pPr>
            <w:r>
              <w:rPr>
                <w:rFonts w:cs="Arial"/>
                <w:color w:val="000000"/>
                <w:sz w:val="16"/>
                <w:szCs w:val="16"/>
              </w:rPr>
              <w:t xml:space="preserve">Κατάργηση τέλους σταθερής τηλεφωνίας (5%) για συνδέσεις με οπτική ίνα (≥100 </w:t>
            </w:r>
            <w:proofErr w:type="spellStart"/>
            <w:r>
              <w:rPr>
                <w:rFonts w:cs="Arial"/>
                <w:color w:val="000000"/>
                <w:sz w:val="16"/>
                <w:szCs w:val="16"/>
              </w:rPr>
              <w:t>mbps</w:t>
            </w:r>
            <w:proofErr w:type="spellEnd"/>
            <w:r>
              <w:rPr>
                <w:rFonts w:cs="Arial"/>
                <w:color w:val="000000"/>
                <w:sz w:val="16"/>
                <w:szCs w:val="16"/>
              </w:rPr>
              <w:t>)</w:t>
            </w:r>
          </w:p>
        </w:tc>
        <w:tc>
          <w:tcPr>
            <w:tcW w:w="922" w:type="dxa"/>
            <w:gridSpan w:val="2"/>
            <w:shd w:val="clear" w:color="auto" w:fill="FFFFFF"/>
            <w:noWrap/>
            <w:vAlign w:val="center"/>
            <w:hideMark/>
          </w:tcPr>
          <w:p w14:paraId="064F8AB7"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shd w:val="clear" w:color="auto" w:fill="FFFFFF"/>
            <w:noWrap/>
            <w:vAlign w:val="center"/>
            <w:hideMark/>
          </w:tcPr>
          <w:p w14:paraId="348946C1" w14:textId="77777777" w:rsidR="002C3A9A" w:rsidRDefault="002C3A9A" w:rsidP="006A71D3">
            <w:pPr>
              <w:spacing w:after="0"/>
              <w:jc w:val="right"/>
              <w:rPr>
                <w:rFonts w:cs="Arial"/>
                <w:color w:val="000000"/>
                <w:sz w:val="16"/>
                <w:szCs w:val="16"/>
              </w:rPr>
            </w:pPr>
            <w:r>
              <w:rPr>
                <w:rFonts w:cs="Arial"/>
                <w:color w:val="000000"/>
                <w:sz w:val="16"/>
                <w:szCs w:val="16"/>
              </w:rPr>
              <w:t>-24</w:t>
            </w:r>
          </w:p>
        </w:tc>
      </w:tr>
      <w:tr w:rsidR="002C3A9A" w14:paraId="184A930F" w14:textId="77777777" w:rsidTr="002C3A9A">
        <w:trPr>
          <w:cantSplit/>
          <w:jc w:val="center"/>
        </w:trPr>
        <w:tc>
          <w:tcPr>
            <w:tcW w:w="547" w:type="dxa"/>
            <w:vAlign w:val="center"/>
            <w:hideMark/>
          </w:tcPr>
          <w:p w14:paraId="7BB0B03C" w14:textId="77777777" w:rsidR="002C3A9A" w:rsidRDefault="002C3A9A" w:rsidP="006A71D3">
            <w:pPr>
              <w:spacing w:after="0"/>
              <w:jc w:val="center"/>
              <w:rPr>
                <w:rFonts w:cs="Arial"/>
                <w:sz w:val="16"/>
                <w:szCs w:val="16"/>
              </w:rPr>
            </w:pPr>
            <w:r>
              <w:rPr>
                <w:rFonts w:cs="Arial"/>
                <w:sz w:val="16"/>
                <w:szCs w:val="16"/>
              </w:rPr>
              <w:lastRenderedPageBreak/>
              <w:t>11</w:t>
            </w:r>
          </w:p>
        </w:tc>
        <w:tc>
          <w:tcPr>
            <w:tcW w:w="7468" w:type="dxa"/>
            <w:shd w:val="clear" w:color="auto" w:fill="FFFFFF"/>
            <w:noWrap/>
            <w:vAlign w:val="center"/>
            <w:hideMark/>
          </w:tcPr>
          <w:p w14:paraId="4465FA5D" w14:textId="77777777" w:rsidR="002C3A9A" w:rsidRDefault="002C3A9A" w:rsidP="006A71D3">
            <w:pPr>
              <w:spacing w:after="0"/>
              <w:rPr>
                <w:rFonts w:cs="Arial"/>
                <w:color w:val="000000"/>
                <w:sz w:val="16"/>
                <w:szCs w:val="16"/>
              </w:rPr>
            </w:pPr>
            <w:r>
              <w:rPr>
                <w:rFonts w:cs="Arial"/>
                <w:color w:val="000000"/>
                <w:sz w:val="16"/>
                <w:szCs w:val="16"/>
              </w:rPr>
              <w:t>Απαλλαγή από τον φόρο ασφαλίστρου (15%) συμβολαίων υγείας για παιδιά έως 18 ετών</w:t>
            </w:r>
          </w:p>
        </w:tc>
        <w:tc>
          <w:tcPr>
            <w:tcW w:w="922" w:type="dxa"/>
            <w:gridSpan w:val="2"/>
            <w:shd w:val="clear" w:color="auto" w:fill="FFFFFF"/>
            <w:noWrap/>
            <w:vAlign w:val="center"/>
            <w:hideMark/>
          </w:tcPr>
          <w:p w14:paraId="17429256"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shd w:val="clear" w:color="auto" w:fill="FFFFFF"/>
            <w:noWrap/>
            <w:vAlign w:val="center"/>
            <w:hideMark/>
          </w:tcPr>
          <w:p w14:paraId="6FF4AAD5" w14:textId="77777777" w:rsidR="002C3A9A" w:rsidRDefault="002C3A9A" w:rsidP="006A71D3">
            <w:pPr>
              <w:spacing w:after="0"/>
              <w:jc w:val="right"/>
              <w:rPr>
                <w:rFonts w:cs="Arial"/>
                <w:color w:val="000000"/>
                <w:sz w:val="16"/>
                <w:szCs w:val="16"/>
              </w:rPr>
            </w:pPr>
            <w:r>
              <w:rPr>
                <w:rFonts w:cs="Arial"/>
                <w:color w:val="000000"/>
                <w:sz w:val="16"/>
                <w:szCs w:val="16"/>
              </w:rPr>
              <w:t>-17</w:t>
            </w:r>
          </w:p>
        </w:tc>
      </w:tr>
      <w:tr w:rsidR="002C3A9A" w14:paraId="6B79464E" w14:textId="77777777" w:rsidTr="002C3A9A">
        <w:trPr>
          <w:cantSplit/>
          <w:jc w:val="center"/>
        </w:trPr>
        <w:tc>
          <w:tcPr>
            <w:tcW w:w="547" w:type="dxa"/>
            <w:vAlign w:val="center"/>
            <w:hideMark/>
          </w:tcPr>
          <w:p w14:paraId="7FF86CA7" w14:textId="77777777" w:rsidR="002C3A9A" w:rsidRDefault="002C3A9A" w:rsidP="006A71D3">
            <w:pPr>
              <w:spacing w:after="0"/>
              <w:jc w:val="center"/>
              <w:rPr>
                <w:rFonts w:cs="Arial"/>
                <w:sz w:val="16"/>
                <w:szCs w:val="16"/>
              </w:rPr>
            </w:pPr>
            <w:r>
              <w:rPr>
                <w:rFonts w:cs="Arial"/>
                <w:sz w:val="16"/>
                <w:szCs w:val="16"/>
              </w:rPr>
              <w:t>12</w:t>
            </w:r>
          </w:p>
        </w:tc>
        <w:tc>
          <w:tcPr>
            <w:tcW w:w="7468" w:type="dxa"/>
            <w:shd w:val="clear" w:color="auto" w:fill="FFFFFF"/>
            <w:noWrap/>
            <w:vAlign w:val="center"/>
            <w:hideMark/>
          </w:tcPr>
          <w:p w14:paraId="786D4A6F" w14:textId="77777777" w:rsidR="002C3A9A" w:rsidRDefault="002C3A9A" w:rsidP="006A71D3">
            <w:pPr>
              <w:spacing w:after="0"/>
              <w:rPr>
                <w:rFonts w:cs="Arial"/>
                <w:color w:val="000000"/>
                <w:sz w:val="16"/>
                <w:szCs w:val="16"/>
              </w:rPr>
            </w:pPr>
            <w:r>
              <w:rPr>
                <w:rFonts w:cs="Arial"/>
                <w:color w:val="000000"/>
                <w:sz w:val="16"/>
                <w:szCs w:val="16"/>
              </w:rPr>
              <w:t>Φοροαπαλλαγή οικειοθελών παροχών επιχειρήσεων υπέρ νέων γονέων</w:t>
            </w:r>
          </w:p>
        </w:tc>
        <w:tc>
          <w:tcPr>
            <w:tcW w:w="922" w:type="dxa"/>
            <w:gridSpan w:val="2"/>
            <w:shd w:val="clear" w:color="auto" w:fill="FFFFFF"/>
            <w:noWrap/>
            <w:vAlign w:val="center"/>
            <w:hideMark/>
          </w:tcPr>
          <w:p w14:paraId="13CD89A0"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shd w:val="clear" w:color="auto" w:fill="FFFFFF"/>
            <w:noWrap/>
            <w:vAlign w:val="center"/>
            <w:hideMark/>
          </w:tcPr>
          <w:p w14:paraId="4F2577FF" w14:textId="77777777" w:rsidR="002C3A9A" w:rsidRDefault="002C3A9A" w:rsidP="006A71D3">
            <w:pPr>
              <w:spacing w:after="0"/>
              <w:jc w:val="right"/>
              <w:rPr>
                <w:rFonts w:cs="Arial"/>
                <w:color w:val="000000"/>
                <w:sz w:val="16"/>
                <w:szCs w:val="16"/>
              </w:rPr>
            </w:pPr>
            <w:r>
              <w:rPr>
                <w:rFonts w:cs="Arial"/>
                <w:color w:val="000000"/>
                <w:sz w:val="16"/>
                <w:szCs w:val="16"/>
              </w:rPr>
              <w:t>-6</w:t>
            </w:r>
          </w:p>
        </w:tc>
      </w:tr>
      <w:tr w:rsidR="002C3A9A" w14:paraId="36BCB49C" w14:textId="77777777" w:rsidTr="002C3A9A">
        <w:trPr>
          <w:cantSplit/>
          <w:jc w:val="center"/>
        </w:trPr>
        <w:tc>
          <w:tcPr>
            <w:tcW w:w="547" w:type="dxa"/>
            <w:vAlign w:val="center"/>
            <w:hideMark/>
          </w:tcPr>
          <w:p w14:paraId="268B01EB" w14:textId="77777777" w:rsidR="002C3A9A" w:rsidRDefault="002C3A9A" w:rsidP="006A71D3">
            <w:pPr>
              <w:spacing w:after="0"/>
              <w:jc w:val="center"/>
              <w:rPr>
                <w:rFonts w:cs="Arial"/>
                <w:sz w:val="16"/>
                <w:szCs w:val="16"/>
              </w:rPr>
            </w:pPr>
            <w:r>
              <w:rPr>
                <w:rFonts w:cs="Arial"/>
                <w:sz w:val="16"/>
                <w:szCs w:val="16"/>
              </w:rPr>
              <w:t>13</w:t>
            </w:r>
          </w:p>
        </w:tc>
        <w:tc>
          <w:tcPr>
            <w:tcW w:w="7468" w:type="dxa"/>
            <w:shd w:val="clear" w:color="auto" w:fill="FFFFFF"/>
            <w:noWrap/>
            <w:vAlign w:val="center"/>
            <w:hideMark/>
          </w:tcPr>
          <w:p w14:paraId="3DD55748" w14:textId="77777777" w:rsidR="002C3A9A" w:rsidRDefault="002C3A9A" w:rsidP="006A71D3">
            <w:pPr>
              <w:spacing w:after="0"/>
              <w:rPr>
                <w:rFonts w:cs="Arial"/>
                <w:color w:val="000000"/>
                <w:sz w:val="16"/>
                <w:szCs w:val="16"/>
              </w:rPr>
            </w:pPr>
            <w:r>
              <w:rPr>
                <w:rFonts w:cs="Arial"/>
                <w:color w:val="000000"/>
                <w:sz w:val="16"/>
                <w:szCs w:val="16"/>
              </w:rPr>
              <w:t>Απαλλαγή φόρου εισοδήματος για κενά ακίνητα ή ακίνητα σε βραχυχρόνια μίσθωση που θα ενοικιαστούν σε μακροχρόνια μίσθωση</w:t>
            </w:r>
          </w:p>
        </w:tc>
        <w:tc>
          <w:tcPr>
            <w:tcW w:w="922" w:type="dxa"/>
            <w:gridSpan w:val="2"/>
            <w:shd w:val="clear" w:color="auto" w:fill="FFFFFF"/>
            <w:noWrap/>
            <w:vAlign w:val="center"/>
            <w:hideMark/>
          </w:tcPr>
          <w:p w14:paraId="3C8246DD"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shd w:val="clear" w:color="auto" w:fill="FFFFFF"/>
            <w:noWrap/>
            <w:vAlign w:val="center"/>
            <w:hideMark/>
          </w:tcPr>
          <w:p w14:paraId="6CE560BA" w14:textId="77777777" w:rsidR="002C3A9A" w:rsidRDefault="002C3A9A" w:rsidP="006A71D3">
            <w:pPr>
              <w:spacing w:after="0"/>
              <w:jc w:val="right"/>
              <w:rPr>
                <w:rFonts w:cs="Arial"/>
                <w:color w:val="000000"/>
                <w:sz w:val="16"/>
                <w:szCs w:val="16"/>
              </w:rPr>
            </w:pPr>
            <w:r>
              <w:rPr>
                <w:rFonts w:cs="Arial"/>
                <w:color w:val="000000"/>
                <w:sz w:val="16"/>
                <w:szCs w:val="16"/>
              </w:rPr>
              <w:t>-3</w:t>
            </w:r>
          </w:p>
        </w:tc>
      </w:tr>
      <w:tr w:rsidR="002C3A9A" w14:paraId="316A6C07" w14:textId="77777777" w:rsidTr="002C3A9A">
        <w:trPr>
          <w:cantSplit/>
          <w:jc w:val="center"/>
        </w:trPr>
        <w:tc>
          <w:tcPr>
            <w:tcW w:w="547" w:type="dxa"/>
            <w:shd w:val="clear" w:color="auto" w:fill="F2F2F2"/>
            <w:vAlign w:val="center"/>
            <w:hideMark/>
          </w:tcPr>
          <w:p w14:paraId="00699406" w14:textId="77777777" w:rsidR="002C3A9A" w:rsidRDefault="002C3A9A" w:rsidP="006A71D3">
            <w:pPr>
              <w:spacing w:after="0"/>
              <w:jc w:val="center"/>
              <w:rPr>
                <w:rFonts w:cs="Arial"/>
                <w:b/>
                <w:bCs/>
                <w:color w:val="000000"/>
                <w:sz w:val="16"/>
                <w:szCs w:val="16"/>
              </w:rPr>
            </w:pPr>
            <w:r>
              <w:rPr>
                <w:rFonts w:cs="Arial"/>
                <w:b/>
                <w:bCs/>
                <w:color w:val="000000"/>
                <w:sz w:val="16"/>
                <w:szCs w:val="16"/>
              </w:rPr>
              <w:t>Α.2.</w:t>
            </w:r>
          </w:p>
        </w:tc>
        <w:tc>
          <w:tcPr>
            <w:tcW w:w="7468" w:type="dxa"/>
            <w:shd w:val="clear" w:color="auto" w:fill="F2F2F2"/>
            <w:noWrap/>
            <w:vAlign w:val="center"/>
            <w:hideMark/>
          </w:tcPr>
          <w:p w14:paraId="6D606B5D" w14:textId="77777777" w:rsidR="002C3A9A" w:rsidRDefault="002C3A9A" w:rsidP="006A71D3">
            <w:pPr>
              <w:spacing w:after="0"/>
              <w:rPr>
                <w:rFonts w:cs="Arial"/>
                <w:b/>
                <w:bCs/>
                <w:color w:val="000000"/>
                <w:sz w:val="16"/>
                <w:szCs w:val="16"/>
              </w:rPr>
            </w:pPr>
            <w:r>
              <w:rPr>
                <w:rFonts w:cs="Arial"/>
                <w:b/>
                <w:bCs/>
                <w:color w:val="000000"/>
                <w:sz w:val="16"/>
                <w:szCs w:val="16"/>
              </w:rPr>
              <w:t>Παρεμβάσεις αύξησης των εσόδων της Γενικής Κυβέρνησης</w:t>
            </w:r>
          </w:p>
        </w:tc>
        <w:tc>
          <w:tcPr>
            <w:tcW w:w="922" w:type="dxa"/>
            <w:gridSpan w:val="2"/>
            <w:shd w:val="clear" w:color="auto" w:fill="F2F2F2"/>
            <w:noWrap/>
            <w:vAlign w:val="center"/>
            <w:hideMark/>
          </w:tcPr>
          <w:p w14:paraId="2703D00A" w14:textId="77777777" w:rsidR="002C3A9A" w:rsidRDefault="002C3A9A" w:rsidP="006A71D3">
            <w:pPr>
              <w:spacing w:after="0"/>
              <w:jc w:val="right"/>
              <w:rPr>
                <w:rFonts w:cs="Arial"/>
                <w:b/>
                <w:bCs/>
                <w:color w:val="000000"/>
                <w:sz w:val="16"/>
                <w:szCs w:val="16"/>
              </w:rPr>
            </w:pPr>
            <w:r>
              <w:rPr>
                <w:rFonts w:cs="Arial"/>
                <w:b/>
                <w:bCs/>
                <w:color w:val="000000"/>
                <w:sz w:val="16"/>
                <w:szCs w:val="16"/>
              </w:rPr>
              <w:t>229</w:t>
            </w:r>
          </w:p>
        </w:tc>
        <w:tc>
          <w:tcPr>
            <w:tcW w:w="898" w:type="dxa"/>
            <w:shd w:val="clear" w:color="auto" w:fill="F2F2F2"/>
            <w:noWrap/>
            <w:vAlign w:val="center"/>
            <w:hideMark/>
          </w:tcPr>
          <w:p w14:paraId="5850DE3B" w14:textId="77777777" w:rsidR="002C3A9A" w:rsidRDefault="002C3A9A" w:rsidP="006A71D3">
            <w:pPr>
              <w:spacing w:after="0"/>
              <w:jc w:val="right"/>
              <w:rPr>
                <w:rFonts w:cs="Arial"/>
                <w:b/>
                <w:bCs/>
                <w:color w:val="000000"/>
                <w:sz w:val="16"/>
                <w:szCs w:val="16"/>
              </w:rPr>
            </w:pPr>
            <w:r>
              <w:rPr>
                <w:rFonts w:cs="Arial"/>
                <w:b/>
                <w:bCs/>
                <w:color w:val="000000"/>
                <w:sz w:val="16"/>
                <w:szCs w:val="16"/>
              </w:rPr>
              <w:t>484</w:t>
            </w:r>
          </w:p>
        </w:tc>
      </w:tr>
      <w:tr w:rsidR="002C3A9A" w14:paraId="23236DC4" w14:textId="77777777" w:rsidTr="002C3A9A">
        <w:trPr>
          <w:cantSplit/>
          <w:jc w:val="center"/>
        </w:trPr>
        <w:tc>
          <w:tcPr>
            <w:tcW w:w="547" w:type="dxa"/>
            <w:vAlign w:val="center"/>
            <w:hideMark/>
          </w:tcPr>
          <w:p w14:paraId="5ABF2647" w14:textId="77777777" w:rsidR="002C3A9A" w:rsidRDefault="002C3A9A" w:rsidP="006A71D3">
            <w:pPr>
              <w:spacing w:after="0"/>
              <w:jc w:val="center"/>
              <w:rPr>
                <w:rFonts w:cs="Arial"/>
                <w:sz w:val="16"/>
                <w:szCs w:val="16"/>
              </w:rPr>
            </w:pPr>
            <w:r>
              <w:rPr>
                <w:rFonts w:cs="Arial"/>
                <w:sz w:val="16"/>
                <w:szCs w:val="16"/>
              </w:rPr>
              <w:t>1</w:t>
            </w:r>
          </w:p>
        </w:tc>
        <w:tc>
          <w:tcPr>
            <w:tcW w:w="7468" w:type="dxa"/>
            <w:shd w:val="clear" w:color="auto" w:fill="FFFFFF"/>
            <w:noWrap/>
            <w:vAlign w:val="center"/>
            <w:hideMark/>
          </w:tcPr>
          <w:p w14:paraId="722C548C" w14:textId="77777777" w:rsidR="002C3A9A" w:rsidRDefault="002C3A9A" w:rsidP="006A71D3">
            <w:pPr>
              <w:spacing w:after="0"/>
              <w:rPr>
                <w:rFonts w:cs="Arial"/>
                <w:color w:val="000000"/>
                <w:sz w:val="16"/>
                <w:szCs w:val="16"/>
              </w:rPr>
            </w:pPr>
            <w:r>
              <w:rPr>
                <w:rFonts w:cs="Arial"/>
                <w:color w:val="000000"/>
                <w:sz w:val="16"/>
                <w:szCs w:val="16"/>
              </w:rPr>
              <w:t>Εισαγωγή ΦΠΑ στις βραχυχρόνιες μισθώσεις νομικών προσώπων και φυσικών προσώπων που διαθέτουν άνω των δύο εκμισθωμένων διαμερισμάτων από το 2024</w:t>
            </w:r>
          </w:p>
        </w:tc>
        <w:tc>
          <w:tcPr>
            <w:tcW w:w="922" w:type="dxa"/>
            <w:gridSpan w:val="2"/>
            <w:shd w:val="clear" w:color="auto" w:fill="FFFFFF"/>
            <w:noWrap/>
            <w:vAlign w:val="center"/>
            <w:hideMark/>
          </w:tcPr>
          <w:p w14:paraId="29B46823" w14:textId="77777777" w:rsidR="002C3A9A" w:rsidRDefault="002C3A9A" w:rsidP="006A71D3">
            <w:pPr>
              <w:spacing w:after="0"/>
              <w:jc w:val="right"/>
              <w:rPr>
                <w:rFonts w:cs="Arial"/>
                <w:color w:val="000000"/>
                <w:sz w:val="16"/>
                <w:szCs w:val="16"/>
              </w:rPr>
            </w:pPr>
            <w:r>
              <w:rPr>
                <w:rFonts w:cs="Arial"/>
                <w:color w:val="000000"/>
                <w:sz w:val="16"/>
                <w:szCs w:val="16"/>
              </w:rPr>
              <w:t>27</w:t>
            </w:r>
          </w:p>
        </w:tc>
        <w:tc>
          <w:tcPr>
            <w:tcW w:w="898" w:type="dxa"/>
            <w:shd w:val="clear" w:color="auto" w:fill="FFFFFF"/>
            <w:noWrap/>
            <w:vAlign w:val="center"/>
            <w:hideMark/>
          </w:tcPr>
          <w:p w14:paraId="090BC223" w14:textId="77777777" w:rsidR="002C3A9A" w:rsidRDefault="002C3A9A" w:rsidP="006A71D3">
            <w:pPr>
              <w:spacing w:after="0"/>
              <w:jc w:val="right"/>
              <w:rPr>
                <w:rFonts w:cs="Arial"/>
                <w:color w:val="000000"/>
                <w:sz w:val="16"/>
                <w:szCs w:val="16"/>
              </w:rPr>
            </w:pPr>
            <w:r>
              <w:rPr>
                <w:rFonts w:cs="Arial"/>
                <w:color w:val="000000"/>
                <w:sz w:val="16"/>
                <w:szCs w:val="16"/>
              </w:rPr>
              <w:t>27</w:t>
            </w:r>
          </w:p>
        </w:tc>
      </w:tr>
      <w:tr w:rsidR="002C3A9A" w14:paraId="534C9767" w14:textId="77777777" w:rsidTr="002C3A9A">
        <w:trPr>
          <w:cantSplit/>
          <w:jc w:val="center"/>
        </w:trPr>
        <w:tc>
          <w:tcPr>
            <w:tcW w:w="547" w:type="dxa"/>
            <w:vAlign w:val="center"/>
            <w:hideMark/>
          </w:tcPr>
          <w:p w14:paraId="2136C2C2" w14:textId="77777777" w:rsidR="002C3A9A" w:rsidRDefault="002C3A9A" w:rsidP="006A71D3">
            <w:pPr>
              <w:spacing w:after="0"/>
              <w:jc w:val="center"/>
              <w:rPr>
                <w:rFonts w:cs="Arial"/>
                <w:sz w:val="16"/>
                <w:szCs w:val="16"/>
              </w:rPr>
            </w:pPr>
            <w:r>
              <w:rPr>
                <w:rFonts w:cs="Arial"/>
                <w:sz w:val="16"/>
                <w:szCs w:val="16"/>
              </w:rPr>
              <w:t>2</w:t>
            </w:r>
          </w:p>
        </w:tc>
        <w:tc>
          <w:tcPr>
            <w:tcW w:w="7468" w:type="dxa"/>
            <w:shd w:val="clear" w:color="auto" w:fill="FFFFFF"/>
            <w:noWrap/>
            <w:vAlign w:val="center"/>
            <w:hideMark/>
          </w:tcPr>
          <w:p w14:paraId="4CDA5C0D" w14:textId="77777777" w:rsidR="002C3A9A" w:rsidRDefault="002C3A9A" w:rsidP="006A71D3">
            <w:pPr>
              <w:spacing w:after="0"/>
              <w:rPr>
                <w:rFonts w:cs="Arial"/>
                <w:color w:val="000000"/>
                <w:sz w:val="16"/>
                <w:szCs w:val="16"/>
              </w:rPr>
            </w:pPr>
            <w:r>
              <w:rPr>
                <w:rFonts w:cs="Arial"/>
                <w:color w:val="000000"/>
                <w:sz w:val="16"/>
                <w:szCs w:val="16"/>
              </w:rPr>
              <w:t>Εισαγωγή (το 2024) και αναμόρφωση (το 2025) του τέλους ανθεκτικότητας στην κλιματική κρίση σε αντικατάσταση του φόρου διαμονής</w:t>
            </w:r>
          </w:p>
        </w:tc>
        <w:tc>
          <w:tcPr>
            <w:tcW w:w="922" w:type="dxa"/>
            <w:gridSpan w:val="2"/>
            <w:shd w:val="clear" w:color="auto" w:fill="FFFFFF"/>
            <w:noWrap/>
            <w:vAlign w:val="center"/>
            <w:hideMark/>
          </w:tcPr>
          <w:p w14:paraId="700A34D0" w14:textId="77777777" w:rsidR="002C3A9A" w:rsidRDefault="002C3A9A" w:rsidP="006A71D3">
            <w:pPr>
              <w:spacing w:after="0"/>
              <w:jc w:val="right"/>
              <w:rPr>
                <w:rFonts w:cs="Arial"/>
                <w:color w:val="000000"/>
                <w:sz w:val="16"/>
                <w:szCs w:val="16"/>
              </w:rPr>
            </w:pPr>
            <w:r>
              <w:rPr>
                <w:rFonts w:cs="Arial"/>
                <w:color w:val="000000"/>
                <w:sz w:val="16"/>
                <w:szCs w:val="16"/>
              </w:rPr>
              <w:t>202</w:t>
            </w:r>
          </w:p>
        </w:tc>
        <w:tc>
          <w:tcPr>
            <w:tcW w:w="898" w:type="dxa"/>
            <w:shd w:val="clear" w:color="auto" w:fill="FFFFFF"/>
            <w:noWrap/>
            <w:vAlign w:val="center"/>
            <w:hideMark/>
          </w:tcPr>
          <w:p w14:paraId="52990473" w14:textId="77777777" w:rsidR="002C3A9A" w:rsidRDefault="002C3A9A" w:rsidP="006A71D3">
            <w:pPr>
              <w:spacing w:after="0"/>
              <w:jc w:val="right"/>
              <w:rPr>
                <w:rFonts w:cs="Arial"/>
                <w:color w:val="000000"/>
                <w:sz w:val="16"/>
                <w:szCs w:val="16"/>
              </w:rPr>
            </w:pPr>
            <w:r>
              <w:rPr>
                <w:rFonts w:cs="Arial"/>
                <w:color w:val="000000"/>
                <w:sz w:val="16"/>
                <w:szCs w:val="16"/>
              </w:rPr>
              <w:t>405</w:t>
            </w:r>
          </w:p>
        </w:tc>
      </w:tr>
      <w:tr w:rsidR="002C3A9A" w14:paraId="612B7B23" w14:textId="77777777" w:rsidTr="002C3A9A">
        <w:trPr>
          <w:cantSplit/>
          <w:jc w:val="center"/>
        </w:trPr>
        <w:tc>
          <w:tcPr>
            <w:tcW w:w="547" w:type="dxa"/>
            <w:vAlign w:val="center"/>
            <w:hideMark/>
          </w:tcPr>
          <w:p w14:paraId="3C592C46" w14:textId="77777777" w:rsidR="002C3A9A" w:rsidRDefault="002C3A9A" w:rsidP="006A71D3">
            <w:pPr>
              <w:spacing w:after="0"/>
              <w:jc w:val="center"/>
              <w:rPr>
                <w:rFonts w:cs="Arial"/>
                <w:sz w:val="16"/>
                <w:szCs w:val="16"/>
              </w:rPr>
            </w:pPr>
            <w:r>
              <w:rPr>
                <w:rFonts w:cs="Arial"/>
                <w:sz w:val="16"/>
                <w:szCs w:val="16"/>
              </w:rPr>
              <w:t>3</w:t>
            </w:r>
          </w:p>
        </w:tc>
        <w:tc>
          <w:tcPr>
            <w:tcW w:w="7468" w:type="dxa"/>
            <w:shd w:val="clear" w:color="auto" w:fill="FFFFFF"/>
            <w:noWrap/>
            <w:vAlign w:val="center"/>
            <w:hideMark/>
          </w:tcPr>
          <w:p w14:paraId="44045BD0" w14:textId="77777777" w:rsidR="002C3A9A" w:rsidRDefault="002C3A9A" w:rsidP="006A71D3">
            <w:pPr>
              <w:spacing w:after="0"/>
              <w:rPr>
                <w:rFonts w:cs="Arial"/>
                <w:color w:val="000000"/>
                <w:sz w:val="16"/>
                <w:szCs w:val="16"/>
              </w:rPr>
            </w:pPr>
            <w:r>
              <w:rPr>
                <w:rFonts w:cs="Arial"/>
                <w:color w:val="000000"/>
                <w:sz w:val="16"/>
                <w:szCs w:val="16"/>
              </w:rPr>
              <w:t>Εισαγωγή τέλους κρουαζιέρας από το 2025</w:t>
            </w:r>
          </w:p>
        </w:tc>
        <w:tc>
          <w:tcPr>
            <w:tcW w:w="922" w:type="dxa"/>
            <w:gridSpan w:val="2"/>
            <w:noWrap/>
            <w:vAlign w:val="center"/>
            <w:hideMark/>
          </w:tcPr>
          <w:p w14:paraId="764300FE"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noWrap/>
            <w:vAlign w:val="center"/>
            <w:hideMark/>
          </w:tcPr>
          <w:p w14:paraId="038A0697" w14:textId="77777777" w:rsidR="002C3A9A" w:rsidRDefault="002C3A9A" w:rsidP="006A71D3">
            <w:pPr>
              <w:spacing w:after="0"/>
              <w:jc w:val="right"/>
              <w:rPr>
                <w:rFonts w:cs="Arial"/>
                <w:color w:val="000000"/>
                <w:sz w:val="16"/>
                <w:szCs w:val="16"/>
              </w:rPr>
            </w:pPr>
            <w:r>
              <w:rPr>
                <w:rFonts w:cs="Arial"/>
                <w:color w:val="000000"/>
                <w:sz w:val="16"/>
                <w:szCs w:val="16"/>
              </w:rPr>
              <w:t>52</w:t>
            </w:r>
          </w:p>
        </w:tc>
      </w:tr>
      <w:tr w:rsidR="002C3A9A" w14:paraId="4AC6F2AD" w14:textId="77777777" w:rsidTr="002C3A9A">
        <w:trPr>
          <w:cantSplit/>
          <w:jc w:val="center"/>
        </w:trPr>
        <w:tc>
          <w:tcPr>
            <w:tcW w:w="547" w:type="dxa"/>
            <w:shd w:val="clear" w:color="auto" w:fill="D9D9D9"/>
            <w:vAlign w:val="center"/>
            <w:hideMark/>
          </w:tcPr>
          <w:p w14:paraId="5C1FD4F7" w14:textId="77777777" w:rsidR="002C3A9A" w:rsidRDefault="002C3A9A" w:rsidP="006A71D3">
            <w:pPr>
              <w:spacing w:after="0"/>
              <w:jc w:val="center"/>
              <w:rPr>
                <w:rFonts w:cs="Arial"/>
                <w:b/>
                <w:bCs/>
                <w:color w:val="000000"/>
                <w:sz w:val="16"/>
                <w:szCs w:val="16"/>
              </w:rPr>
            </w:pPr>
            <w:r>
              <w:rPr>
                <w:rFonts w:cs="Arial"/>
                <w:b/>
                <w:bCs/>
                <w:color w:val="000000"/>
                <w:sz w:val="16"/>
                <w:szCs w:val="16"/>
              </w:rPr>
              <w:t>Β</w:t>
            </w:r>
          </w:p>
        </w:tc>
        <w:tc>
          <w:tcPr>
            <w:tcW w:w="7468" w:type="dxa"/>
            <w:shd w:val="clear" w:color="auto" w:fill="D9D9D9"/>
            <w:vAlign w:val="center"/>
            <w:hideMark/>
          </w:tcPr>
          <w:p w14:paraId="4C39ED1C" w14:textId="77777777" w:rsidR="002C3A9A" w:rsidRDefault="002C3A9A" w:rsidP="006A71D3">
            <w:pPr>
              <w:spacing w:after="0"/>
              <w:rPr>
                <w:rFonts w:cs="Arial"/>
                <w:b/>
                <w:bCs/>
                <w:color w:val="000000"/>
                <w:sz w:val="16"/>
                <w:szCs w:val="16"/>
              </w:rPr>
            </w:pPr>
            <w:r>
              <w:rPr>
                <w:rFonts w:cs="Arial"/>
                <w:b/>
                <w:bCs/>
                <w:color w:val="000000"/>
                <w:sz w:val="16"/>
                <w:szCs w:val="16"/>
              </w:rPr>
              <w:t>Παρεμβάσεις στο σκέλος των δαπανών της Γενικής Κυβέρνησης</w:t>
            </w:r>
          </w:p>
        </w:tc>
        <w:tc>
          <w:tcPr>
            <w:tcW w:w="922" w:type="dxa"/>
            <w:gridSpan w:val="2"/>
            <w:shd w:val="clear" w:color="auto" w:fill="D9D9D9"/>
            <w:noWrap/>
            <w:vAlign w:val="center"/>
            <w:hideMark/>
          </w:tcPr>
          <w:p w14:paraId="654A1BCB" w14:textId="77777777" w:rsidR="002C3A9A" w:rsidRDefault="002C3A9A" w:rsidP="006A71D3">
            <w:pPr>
              <w:spacing w:after="0"/>
              <w:jc w:val="right"/>
              <w:rPr>
                <w:rFonts w:cs="Arial"/>
                <w:b/>
                <w:bCs/>
                <w:color w:val="000000"/>
                <w:sz w:val="16"/>
                <w:szCs w:val="16"/>
              </w:rPr>
            </w:pPr>
            <w:r>
              <w:rPr>
                <w:rFonts w:cs="Arial"/>
                <w:b/>
                <w:bCs/>
                <w:color w:val="000000"/>
                <w:sz w:val="16"/>
                <w:szCs w:val="16"/>
              </w:rPr>
              <w:t>-1.714</w:t>
            </w:r>
          </w:p>
        </w:tc>
        <w:tc>
          <w:tcPr>
            <w:tcW w:w="898" w:type="dxa"/>
            <w:shd w:val="clear" w:color="auto" w:fill="D9D9D9"/>
            <w:noWrap/>
            <w:vAlign w:val="center"/>
            <w:hideMark/>
          </w:tcPr>
          <w:p w14:paraId="671925AB" w14:textId="77777777" w:rsidR="002C3A9A" w:rsidRPr="00AB1BC4" w:rsidRDefault="002C3A9A" w:rsidP="006A71D3">
            <w:pPr>
              <w:spacing w:after="0"/>
              <w:jc w:val="right"/>
              <w:rPr>
                <w:rFonts w:cs="Arial"/>
                <w:b/>
                <w:bCs/>
                <w:color w:val="000000"/>
                <w:sz w:val="16"/>
                <w:szCs w:val="16"/>
                <w:lang w:val="en-US"/>
              </w:rPr>
            </w:pPr>
            <w:r w:rsidRPr="00AB1BC4">
              <w:rPr>
                <w:rFonts w:cs="Arial"/>
                <w:b/>
                <w:bCs/>
                <w:color w:val="000000"/>
                <w:sz w:val="16"/>
                <w:szCs w:val="16"/>
                <w:lang w:val="en-US"/>
              </w:rPr>
              <w:t>-2.327</w:t>
            </w:r>
          </w:p>
        </w:tc>
      </w:tr>
      <w:tr w:rsidR="002C3A9A" w14:paraId="76690E1B" w14:textId="77777777" w:rsidTr="002C3A9A">
        <w:trPr>
          <w:cantSplit/>
          <w:jc w:val="center"/>
        </w:trPr>
        <w:tc>
          <w:tcPr>
            <w:tcW w:w="547" w:type="dxa"/>
            <w:vAlign w:val="center"/>
            <w:hideMark/>
          </w:tcPr>
          <w:p w14:paraId="4D58C3B8" w14:textId="77777777" w:rsidR="002C3A9A" w:rsidRDefault="002C3A9A" w:rsidP="006A71D3">
            <w:pPr>
              <w:spacing w:after="0"/>
              <w:jc w:val="center"/>
              <w:rPr>
                <w:rFonts w:cs="Arial"/>
                <w:color w:val="000000"/>
                <w:sz w:val="16"/>
                <w:szCs w:val="16"/>
              </w:rPr>
            </w:pPr>
            <w:r>
              <w:rPr>
                <w:rFonts w:cs="Arial"/>
                <w:color w:val="000000"/>
                <w:sz w:val="16"/>
                <w:szCs w:val="16"/>
              </w:rPr>
              <w:t>1</w:t>
            </w:r>
          </w:p>
        </w:tc>
        <w:tc>
          <w:tcPr>
            <w:tcW w:w="7468" w:type="dxa"/>
            <w:shd w:val="clear" w:color="auto" w:fill="FFFFFF"/>
            <w:vAlign w:val="center"/>
            <w:hideMark/>
          </w:tcPr>
          <w:p w14:paraId="615940C2" w14:textId="77777777" w:rsidR="002C3A9A" w:rsidRDefault="002C3A9A" w:rsidP="006A71D3">
            <w:pPr>
              <w:spacing w:after="0"/>
              <w:rPr>
                <w:rFonts w:cs="Arial"/>
                <w:color w:val="000000"/>
                <w:sz w:val="16"/>
                <w:szCs w:val="16"/>
              </w:rPr>
            </w:pPr>
            <w:r>
              <w:rPr>
                <w:rFonts w:cs="Arial"/>
                <w:color w:val="000000"/>
                <w:sz w:val="16"/>
                <w:szCs w:val="16"/>
              </w:rPr>
              <w:t>Αναμόρφωση μισθολογίου στον δημόσιο τομέα από το 2024 (μικτό κόστος)</w:t>
            </w:r>
          </w:p>
        </w:tc>
        <w:tc>
          <w:tcPr>
            <w:tcW w:w="922" w:type="dxa"/>
            <w:gridSpan w:val="2"/>
            <w:shd w:val="clear" w:color="auto" w:fill="FFFFFF"/>
            <w:noWrap/>
            <w:vAlign w:val="center"/>
            <w:hideMark/>
          </w:tcPr>
          <w:p w14:paraId="3816474A" w14:textId="77777777" w:rsidR="002C3A9A" w:rsidRDefault="002C3A9A" w:rsidP="006A71D3">
            <w:pPr>
              <w:spacing w:after="0"/>
              <w:jc w:val="right"/>
              <w:rPr>
                <w:rFonts w:cs="Arial"/>
                <w:color w:val="000000"/>
                <w:sz w:val="16"/>
                <w:szCs w:val="16"/>
              </w:rPr>
            </w:pPr>
            <w:r>
              <w:rPr>
                <w:rFonts w:cs="Arial"/>
                <w:color w:val="000000"/>
                <w:sz w:val="16"/>
                <w:szCs w:val="16"/>
              </w:rPr>
              <w:t>-1.067</w:t>
            </w:r>
          </w:p>
        </w:tc>
        <w:tc>
          <w:tcPr>
            <w:tcW w:w="898" w:type="dxa"/>
            <w:shd w:val="clear" w:color="auto" w:fill="FFFFFF"/>
            <w:noWrap/>
            <w:vAlign w:val="center"/>
            <w:hideMark/>
          </w:tcPr>
          <w:p w14:paraId="49B9C28A" w14:textId="77777777" w:rsidR="002C3A9A" w:rsidRPr="00AB1BC4" w:rsidRDefault="002C3A9A" w:rsidP="006A71D3">
            <w:pPr>
              <w:spacing w:after="0"/>
              <w:jc w:val="right"/>
              <w:rPr>
                <w:rFonts w:cs="Arial"/>
                <w:color w:val="000000"/>
                <w:sz w:val="16"/>
                <w:szCs w:val="16"/>
              </w:rPr>
            </w:pPr>
            <w:r w:rsidRPr="00AB1BC4">
              <w:rPr>
                <w:rFonts w:cs="Arial"/>
                <w:color w:val="000000"/>
                <w:sz w:val="16"/>
                <w:szCs w:val="16"/>
              </w:rPr>
              <w:t>-1.067</w:t>
            </w:r>
          </w:p>
        </w:tc>
      </w:tr>
      <w:tr w:rsidR="002C3A9A" w14:paraId="7AFFBB1B" w14:textId="77777777" w:rsidTr="002C3A9A">
        <w:trPr>
          <w:cantSplit/>
          <w:jc w:val="center"/>
        </w:trPr>
        <w:tc>
          <w:tcPr>
            <w:tcW w:w="547" w:type="dxa"/>
            <w:vAlign w:val="center"/>
            <w:hideMark/>
          </w:tcPr>
          <w:p w14:paraId="374F2A2E" w14:textId="77777777" w:rsidR="002C3A9A" w:rsidRDefault="002C3A9A" w:rsidP="006A71D3">
            <w:pPr>
              <w:spacing w:after="0"/>
              <w:jc w:val="center"/>
              <w:rPr>
                <w:rFonts w:cs="Arial"/>
                <w:color w:val="000000"/>
                <w:sz w:val="16"/>
                <w:szCs w:val="16"/>
              </w:rPr>
            </w:pPr>
            <w:r>
              <w:rPr>
                <w:rFonts w:cs="Arial"/>
                <w:color w:val="000000"/>
                <w:sz w:val="16"/>
                <w:szCs w:val="16"/>
              </w:rPr>
              <w:t>2</w:t>
            </w:r>
          </w:p>
        </w:tc>
        <w:tc>
          <w:tcPr>
            <w:tcW w:w="7468" w:type="dxa"/>
            <w:shd w:val="clear" w:color="auto" w:fill="FFFFFF"/>
            <w:vAlign w:val="center"/>
            <w:hideMark/>
          </w:tcPr>
          <w:p w14:paraId="7311F0AA" w14:textId="77777777" w:rsidR="002C3A9A" w:rsidRDefault="002C3A9A" w:rsidP="006A71D3">
            <w:pPr>
              <w:spacing w:after="0"/>
              <w:rPr>
                <w:rFonts w:cs="Arial"/>
                <w:color w:val="000000"/>
                <w:sz w:val="16"/>
                <w:szCs w:val="16"/>
              </w:rPr>
            </w:pPr>
            <w:r>
              <w:rPr>
                <w:rFonts w:cs="Arial"/>
                <w:color w:val="000000"/>
                <w:sz w:val="16"/>
                <w:szCs w:val="16"/>
              </w:rPr>
              <w:t>Αύξηση των συντάξεων με βάση τον ρυθμό μεταβολής του ΑΕΠ και του πληθωρισμού</w:t>
            </w:r>
          </w:p>
        </w:tc>
        <w:tc>
          <w:tcPr>
            <w:tcW w:w="922" w:type="dxa"/>
            <w:gridSpan w:val="2"/>
            <w:shd w:val="clear" w:color="auto" w:fill="FFFFFF"/>
            <w:noWrap/>
            <w:vAlign w:val="center"/>
            <w:hideMark/>
          </w:tcPr>
          <w:p w14:paraId="124A8E51" w14:textId="77777777" w:rsidR="002C3A9A" w:rsidRDefault="002C3A9A" w:rsidP="006A71D3">
            <w:pPr>
              <w:spacing w:after="0"/>
              <w:jc w:val="right"/>
              <w:rPr>
                <w:rFonts w:cs="Arial"/>
                <w:color w:val="000000"/>
                <w:sz w:val="16"/>
                <w:szCs w:val="16"/>
              </w:rPr>
            </w:pPr>
            <w:r>
              <w:rPr>
                <w:rFonts w:cs="Arial"/>
                <w:color w:val="000000"/>
                <w:sz w:val="16"/>
                <w:szCs w:val="16"/>
              </w:rPr>
              <w:t>-424</w:t>
            </w:r>
          </w:p>
        </w:tc>
        <w:tc>
          <w:tcPr>
            <w:tcW w:w="898" w:type="dxa"/>
            <w:shd w:val="clear" w:color="auto" w:fill="FFFFFF"/>
            <w:noWrap/>
            <w:vAlign w:val="center"/>
            <w:hideMark/>
          </w:tcPr>
          <w:p w14:paraId="514263E9" w14:textId="77777777" w:rsidR="002C3A9A" w:rsidRPr="00AB1BC4" w:rsidRDefault="002C3A9A" w:rsidP="006A71D3">
            <w:pPr>
              <w:spacing w:after="0"/>
              <w:jc w:val="right"/>
              <w:rPr>
                <w:rFonts w:cs="Arial"/>
                <w:color w:val="000000"/>
                <w:sz w:val="16"/>
                <w:szCs w:val="16"/>
                <w:lang w:val="en-US"/>
              </w:rPr>
            </w:pPr>
            <w:r w:rsidRPr="00AB1BC4">
              <w:rPr>
                <w:rFonts w:cs="Arial"/>
                <w:color w:val="000000"/>
                <w:sz w:val="16"/>
                <w:szCs w:val="16"/>
                <w:lang w:val="en-US"/>
              </w:rPr>
              <w:t>-822</w:t>
            </w:r>
          </w:p>
        </w:tc>
      </w:tr>
      <w:tr w:rsidR="002C3A9A" w14:paraId="0D60987A" w14:textId="77777777" w:rsidTr="002C3A9A">
        <w:trPr>
          <w:cantSplit/>
          <w:jc w:val="center"/>
        </w:trPr>
        <w:tc>
          <w:tcPr>
            <w:tcW w:w="547" w:type="dxa"/>
            <w:vAlign w:val="center"/>
            <w:hideMark/>
          </w:tcPr>
          <w:p w14:paraId="3FB9F65E" w14:textId="77777777" w:rsidR="002C3A9A" w:rsidRDefault="002C3A9A" w:rsidP="006A71D3">
            <w:pPr>
              <w:spacing w:after="0"/>
              <w:jc w:val="center"/>
              <w:rPr>
                <w:rFonts w:cs="Arial"/>
                <w:color w:val="000000"/>
                <w:sz w:val="16"/>
                <w:szCs w:val="16"/>
              </w:rPr>
            </w:pPr>
            <w:r>
              <w:rPr>
                <w:rFonts w:cs="Arial"/>
                <w:color w:val="000000"/>
                <w:sz w:val="16"/>
                <w:szCs w:val="16"/>
              </w:rPr>
              <w:t>3</w:t>
            </w:r>
          </w:p>
        </w:tc>
        <w:tc>
          <w:tcPr>
            <w:tcW w:w="7468" w:type="dxa"/>
            <w:shd w:val="clear" w:color="auto" w:fill="FFFFFF"/>
            <w:vAlign w:val="center"/>
            <w:hideMark/>
          </w:tcPr>
          <w:p w14:paraId="5C2D3BDA" w14:textId="77777777" w:rsidR="002C3A9A" w:rsidRDefault="002C3A9A" w:rsidP="006A71D3">
            <w:pPr>
              <w:spacing w:after="0"/>
              <w:rPr>
                <w:rFonts w:cs="Arial"/>
                <w:color w:val="000000"/>
                <w:sz w:val="16"/>
                <w:szCs w:val="16"/>
              </w:rPr>
            </w:pPr>
            <w:r>
              <w:rPr>
                <w:rFonts w:cs="Arial"/>
                <w:color w:val="000000"/>
                <w:sz w:val="16"/>
                <w:szCs w:val="16"/>
              </w:rPr>
              <w:t>Οριζόντια αύξηση μισθολογίου δημόσιου τομέα από τον Απρίλιο 2025, ώστε ο εισαγωγικός μισθός να μην υπολείπεται του επιπέδου του κατώτατου μισθού (μικτό κόστος)</w:t>
            </w:r>
          </w:p>
        </w:tc>
        <w:tc>
          <w:tcPr>
            <w:tcW w:w="922" w:type="dxa"/>
            <w:gridSpan w:val="2"/>
            <w:shd w:val="clear" w:color="auto" w:fill="FFFFFF"/>
            <w:noWrap/>
            <w:vAlign w:val="center"/>
            <w:hideMark/>
          </w:tcPr>
          <w:p w14:paraId="4E5E13E1"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shd w:val="clear" w:color="auto" w:fill="FFFFFF"/>
            <w:noWrap/>
            <w:vAlign w:val="center"/>
            <w:hideMark/>
          </w:tcPr>
          <w:p w14:paraId="0A2D77FB" w14:textId="77777777" w:rsidR="002C3A9A" w:rsidRDefault="002C3A9A" w:rsidP="006A71D3">
            <w:pPr>
              <w:spacing w:after="0"/>
              <w:jc w:val="right"/>
              <w:rPr>
                <w:rFonts w:cs="Arial"/>
                <w:color w:val="000000"/>
                <w:sz w:val="16"/>
                <w:szCs w:val="16"/>
              </w:rPr>
            </w:pPr>
            <w:r>
              <w:rPr>
                <w:rFonts w:cs="Arial"/>
                <w:color w:val="000000"/>
                <w:sz w:val="16"/>
                <w:szCs w:val="16"/>
              </w:rPr>
              <w:t>-143</w:t>
            </w:r>
          </w:p>
        </w:tc>
      </w:tr>
      <w:tr w:rsidR="002C3A9A" w14:paraId="587A0D76" w14:textId="77777777" w:rsidTr="002C3A9A">
        <w:trPr>
          <w:cantSplit/>
          <w:jc w:val="center"/>
        </w:trPr>
        <w:tc>
          <w:tcPr>
            <w:tcW w:w="547" w:type="dxa"/>
            <w:vAlign w:val="center"/>
            <w:hideMark/>
          </w:tcPr>
          <w:p w14:paraId="4DC62DF3" w14:textId="77777777" w:rsidR="002C3A9A" w:rsidRDefault="002C3A9A" w:rsidP="006A71D3">
            <w:pPr>
              <w:spacing w:after="0"/>
              <w:jc w:val="center"/>
              <w:rPr>
                <w:rFonts w:cs="Arial"/>
                <w:color w:val="000000"/>
                <w:sz w:val="16"/>
                <w:szCs w:val="16"/>
              </w:rPr>
            </w:pPr>
            <w:r>
              <w:rPr>
                <w:rFonts w:cs="Arial"/>
                <w:color w:val="000000"/>
                <w:sz w:val="16"/>
                <w:szCs w:val="16"/>
              </w:rPr>
              <w:t>4</w:t>
            </w:r>
          </w:p>
        </w:tc>
        <w:tc>
          <w:tcPr>
            <w:tcW w:w="7468" w:type="dxa"/>
            <w:shd w:val="clear" w:color="auto" w:fill="FFFFFF"/>
            <w:vAlign w:val="center"/>
            <w:hideMark/>
          </w:tcPr>
          <w:p w14:paraId="46DDB4DE" w14:textId="77777777" w:rsidR="002C3A9A" w:rsidRDefault="002C3A9A" w:rsidP="006A71D3">
            <w:pPr>
              <w:spacing w:after="0"/>
              <w:rPr>
                <w:rFonts w:cs="Arial"/>
                <w:color w:val="000000"/>
                <w:sz w:val="16"/>
                <w:szCs w:val="16"/>
              </w:rPr>
            </w:pPr>
            <w:r>
              <w:rPr>
                <w:rFonts w:cs="Arial"/>
                <w:color w:val="000000"/>
                <w:sz w:val="16"/>
                <w:szCs w:val="16"/>
              </w:rPr>
              <w:t>Αύξηση αποζημίωσης εφημεριών των ιατρών του ΕΣΥ κατά 20% από τον Ιανουάριο 2024</w:t>
            </w:r>
          </w:p>
        </w:tc>
        <w:tc>
          <w:tcPr>
            <w:tcW w:w="922" w:type="dxa"/>
            <w:gridSpan w:val="2"/>
            <w:shd w:val="clear" w:color="auto" w:fill="FFFFFF"/>
            <w:noWrap/>
            <w:vAlign w:val="center"/>
            <w:hideMark/>
          </w:tcPr>
          <w:p w14:paraId="42709093" w14:textId="77777777" w:rsidR="002C3A9A" w:rsidRDefault="002C3A9A" w:rsidP="006A71D3">
            <w:pPr>
              <w:spacing w:after="0"/>
              <w:jc w:val="right"/>
              <w:rPr>
                <w:rFonts w:cs="Arial"/>
                <w:color w:val="000000"/>
                <w:sz w:val="16"/>
                <w:szCs w:val="16"/>
              </w:rPr>
            </w:pPr>
            <w:r>
              <w:rPr>
                <w:rFonts w:cs="Arial"/>
                <w:color w:val="000000"/>
                <w:sz w:val="16"/>
                <w:szCs w:val="16"/>
              </w:rPr>
              <w:t>-45</w:t>
            </w:r>
          </w:p>
        </w:tc>
        <w:tc>
          <w:tcPr>
            <w:tcW w:w="898" w:type="dxa"/>
            <w:shd w:val="clear" w:color="auto" w:fill="FFFFFF"/>
            <w:noWrap/>
            <w:vAlign w:val="center"/>
            <w:hideMark/>
          </w:tcPr>
          <w:p w14:paraId="73672EC4" w14:textId="77777777" w:rsidR="002C3A9A" w:rsidRDefault="002C3A9A" w:rsidP="006A71D3">
            <w:pPr>
              <w:spacing w:after="0"/>
              <w:jc w:val="right"/>
              <w:rPr>
                <w:rFonts w:cs="Arial"/>
                <w:color w:val="000000"/>
                <w:sz w:val="16"/>
                <w:szCs w:val="16"/>
              </w:rPr>
            </w:pPr>
            <w:r>
              <w:rPr>
                <w:rFonts w:cs="Arial"/>
                <w:color w:val="000000"/>
                <w:sz w:val="16"/>
                <w:szCs w:val="16"/>
              </w:rPr>
              <w:t>-45</w:t>
            </w:r>
          </w:p>
        </w:tc>
      </w:tr>
      <w:tr w:rsidR="002C3A9A" w14:paraId="6F134992" w14:textId="77777777" w:rsidTr="002C3A9A">
        <w:trPr>
          <w:cantSplit/>
          <w:jc w:val="center"/>
        </w:trPr>
        <w:tc>
          <w:tcPr>
            <w:tcW w:w="547" w:type="dxa"/>
            <w:vAlign w:val="center"/>
            <w:hideMark/>
          </w:tcPr>
          <w:p w14:paraId="5D63563C" w14:textId="77777777" w:rsidR="002C3A9A" w:rsidRDefault="002C3A9A" w:rsidP="006A71D3">
            <w:pPr>
              <w:spacing w:after="0"/>
              <w:jc w:val="center"/>
              <w:rPr>
                <w:rFonts w:cs="Arial"/>
                <w:color w:val="000000"/>
                <w:sz w:val="16"/>
                <w:szCs w:val="16"/>
              </w:rPr>
            </w:pPr>
            <w:r>
              <w:rPr>
                <w:rFonts w:cs="Arial"/>
                <w:color w:val="000000"/>
                <w:sz w:val="16"/>
                <w:szCs w:val="16"/>
              </w:rPr>
              <w:t>5</w:t>
            </w:r>
          </w:p>
        </w:tc>
        <w:tc>
          <w:tcPr>
            <w:tcW w:w="7468" w:type="dxa"/>
            <w:shd w:val="clear" w:color="auto" w:fill="FFFFFF"/>
            <w:vAlign w:val="center"/>
            <w:hideMark/>
          </w:tcPr>
          <w:p w14:paraId="46F02AFE" w14:textId="77777777" w:rsidR="002C3A9A" w:rsidRDefault="002C3A9A" w:rsidP="006A71D3">
            <w:pPr>
              <w:spacing w:after="0"/>
              <w:rPr>
                <w:rFonts w:cs="Arial"/>
                <w:color w:val="000000"/>
                <w:sz w:val="16"/>
                <w:szCs w:val="16"/>
              </w:rPr>
            </w:pPr>
            <w:r>
              <w:rPr>
                <w:rFonts w:cs="Arial"/>
                <w:color w:val="000000"/>
                <w:sz w:val="16"/>
                <w:szCs w:val="16"/>
              </w:rPr>
              <w:t>Κίνητρο προσέλκυσης ιατρών σε προβληματικές και άγονες περιοχές</w:t>
            </w:r>
          </w:p>
        </w:tc>
        <w:tc>
          <w:tcPr>
            <w:tcW w:w="922" w:type="dxa"/>
            <w:gridSpan w:val="2"/>
            <w:shd w:val="clear" w:color="auto" w:fill="FFFFFF"/>
            <w:noWrap/>
            <w:vAlign w:val="center"/>
            <w:hideMark/>
          </w:tcPr>
          <w:p w14:paraId="06AE1B08" w14:textId="77777777" w:rsidR="002C3A9A" w:rsidRDefault="002C3A9A" w:rsidP="006A71D3">
            <w:pPr>
              <w:spacing w:after="0"/>
              <w:jc w:val="right"/>
              <w:rPr>
                <w:rFonts w:cs="Arial"/>
                <w:color w:val="000000"/>
                <w:sz w:val="16"/>
                <w:szCs w:val="16"/>
              </w:rPr>
            </w:pPr>
            <w:r>
              <w:rPr>
                <w:rFonts w:cs="Arial"/>
                <w:color w:val="000000"/>
                <w:sz w:val="16"/>
                <w:szCs w:val="16"/>
              </w:rPr>
              <w:t>-5</w:t>
            </w:r>
          </w:p>
        </w:tc>
        <w:tc>
          <w:tcPr>
            <w:tcW w:w="898" w:type="dxa"/>
            <w:shd w:val="clear" w:color="auto" w:fill="FFFFFF"/>
            <w:noWrap/>
            <w:vAlign w:val="center"/>
            <w:hideMark/>
          </w:tcPr>
          <w:p w14:paraId="604FC3B1" w14:textId="77777777" w:rsidR="002C3A9A" w:rsidRDefault="002C3A9A" w:rsidP="006A71D3">
            <w:pPr>
              <w:spacing w:after="0"/>
              <w:jc w:val="right"/>
              <w:rPr>
                <w:rFonts w:cs="Arial"/>
                <w:color w:val="000000"/>
                <w:sz w:val="16"/>
                <w:szCs w:val="16"/>
              </w:rPr>
            </w:pPr>
            <w:r>
              <w:rPr>
                <w:rFonts w:cs="Arial"/>
                <w:color w:val="000000"/>
                <w:sz w:val="16"/>
                <w:szCs w:val="16"/>
              </w:rPr>
              <w:t>-16</w:t>
            </w:r>
          </w:p>
        </w:tc>
      </w:tr>
      <w:tr w:rsidR="002C3A9A" w14:paraId="7F60BC50" w14:textId="77777777" w:rsidTr="002C3A9A">
        <w:trPr>
          <w:cantSplit/>
          <w:jc w:val="center"/>
        </w:trPr>
        <w:tc>
          <w:tcPr>
            <w:tcW w:w="547" w:type="dxa"/>
            <w:vAlign w:val="center"/>
            <w:hideMark/>
          </w:tcPr>
          <w:p w14:paraId="51FA51EF" w14:textId="77777777" w:rsidR="002C3A9A" w:rsidRDefault="002C3A9A" w:rsidP="006A71D3">
            <w:pPr>
              <w:spacing w:after="0"/>
              <w:jc w:val="center"/>
              <w:rPr>
                <w:rFonts w:cs="Arial"/>
                <w:color w:val="000000"/>
                <w:sz w:val="16"/>
                <w:szCs w:val="16"/>
              </w:rPr>
            </w:pPr>
            <w:r>
              <w:rPr>
                <w:rFonts w:cs="Arial"/>
                <w:color w:val="000000"/>
                <w:sz w:val="16"/>
                <w:szCs w:val="16"/>
              </w:rPr>
              <w:t>6</w:t>
            </w:r>
          </w:p>
        </w:tc>
        <w:tc>
          <w:tcPr>
            <w:tcW w:w="7468" w:type="dxa"/>
            <w:shd w:val="clear" w:color="auto" w:fill="FFFFFF"/>
            <w:vAlign w:val="center"/>
            <w:hideMark/>
          </w:tcPr>
          <w:p w14:paraId="0B262D3F" w14:textId="77777777" w:rsidR="002C3A9A" w:rsidRDefault="002C3A9A" w:rsidP="006A71D3">
            <w:pPr>
              <w:spacing w:after="0"/>
              <w:rPr>
                <w:rFonts w:cs="Arial"/>
                <w:color w:val="000000"/>
                <w:sz w:val="16"/>
                <w:szCs w:val="16"/>
              </w:rPr>
            </w:pPr>
            <w:r>
              <w:rPr>
                <w:rFonts w:cs="Arial"/>
                <w:color w:val="000000"/>
                <w:sz w:val="16"/>
                <w:szCs w:val="16"/>
              </w:rPr>
              <w:t xml:space="preserve">Αύξηση κατά 20% της αποζημίωσης νυχτερινής απασχόλησης των </w:t>
            </w:r>
            <w:proofErr w:type="spellStart"/>
            <w:r>
              <w:rPr>
                <w:rFonts w:cs="Arial"/>
                <w:color w:val="000000"/>
                <w:sz w:val="16"/>
                <w:szCs w:val="16"/>
              </w:rPr>
              <w:t>ενστόλων</w:t>
            </w:r>
            <w:proofErr w:type="spellEnd"/>
            <w:r>
              <w:rPr>
                <w:rFonts w:cs="Arial"/>
                <w:color w:val="000000"/>
                <w:sz w:val="16"/>
                <w:szCs w:val="16"/>
              </w:rPr>
              <w:t xml:space="preserve"> από τον Ιανουάριο 2025</w:t>
            </w:r>
          </w:p>
        </w:tc>
        <w:tc>
          <w:tcPr>
            <w:tcW w:w="922" w:type="dxa"/>
            <w:gridSpan w:val="2"/>
            <w:shd w:val="clear" w:color="auto" w:fill="FFFFFF"/>
            <w:noWrap/>
            <w:vAlign w:val="center"/>
            <w:hideMark/>
          </w:tcPr>
          <w:p w14:paraId="52A2812F"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shd w:val="clear" w:color="auto" w:fill="FFFFFF"/>
            <w:noWrap/>
            <w:vAlign w:val="center"/>
            <w:hideMark/>
          </w:tcPr>
          <w:p w14:paraId="3F42C3DD" w14:textId="77777777" w:rsidR="002C3A9A" w:rsidRDefault="002C3A9A" w:rsidP="006A71D3">
            <w:pPr>
              <w:spacing w:after="0"/>
              <w:jc w:val="right"/>
              <w:rPr>
                <w:rFonts w:cs="Arial"/>
                <w:color w:val="000000"/>
                <w:sz w:val="16"/>
                <w:szCs w:val="16"/>
              </w:rPr>
            </w:pPr>
            <w:r>
              <w:rPr>
                <w:rFonts w:cs="Arial"/>
                <w:color w:val="000000"/>
                <w:sz w:val="16"/>
                <w:szCs w:val="16"/>
              </w:rPr>
              <w:t>-25</w:t>
            </w:r>
          </w:p>
        </w:tc>
      </w:tr>
      <w:tr w:rsidR="002C3A9A" w14:paraId="50DFEC64" w14:textId="77777777" w:rsidTr="002C3A9A">
        <w:trPr>
          <w:cantSplit/>
          <w:jc w:val="center"/>
        </w:trPr>
        <w:tc>
          <w:tcPr>
            <w:tcW w:w="547" w:type="dxa"/>
            <w:vAlign w:val="center"/>
            <w:hideMark/>
          </w:tcPr>
          <w:p w14:paraId="3D2550C2" w14:textId="77777777" w:rsidR="002C3A9A" w:rsidRDefault="002C3A9A" w:rsidP="006A71D3">
            <w:pPr>
              <w:spacing w:after="0"/>
              <w:jc w:val="center"/>
              <w:rPr>
                <w:rFonts w:cs="Arial"/>
                <w:color w:val="000000"/>
                <w:sz w:val="16"/>
                <w:szCs w:val="16"/>
              </w:rPr>
            </w:pPr>
            <w:r>
              <w:rPr>
                <w:rFonts w:cs="Arial"/>
                <w:color w:val="000000"/>
                <w:sz w:val="16"/>
                <w:szCs w:val="16"/>
              </w:rPr>
              <w:t>7</w:t>
            </w:r>
          </w:p>
        </w:tc>
        <w:tc>
          <w:tcPr>
            <w:tcW w:w="7468" w:type="dxa"/>
            <w:shd w:val="clear" w:color="auto" w:fill="FFFFFF"/>
            <w:vAlign w:val="center"/>
            <w:hideMark/>
          </w:tcPr>
          <w:p w14:paraId="5B97FA84" w14:textId="77777777" w:rsidR="002C3A9A" w:rsidRDefault="002C3A9A" w:rsidP="006A71D3">
            <w:pPr>
              <w:spacing w:after="0"/>
              <w:rPr>
                <w:rFonts w:cs="Arial"/>
                <w:color w:val="000000"/>
                <w:sz w:val="16"/>
                <w:szCs w:val="16"/>
              </w:rPr>
            </w:pPr>
            <w:r>
              <w:rPr>
                <w:rFonts w:cs="Arial"/>
                <w:color w:val="000000"/>
                <w:sz w:val="16"/>
                <w:szCs w:val="16"/>
              </w:rPr>
              <w:t>Αύξηση της ειδικής αποζημίωσης για τα πληρώματα πλοίων του Πολεμικού Ναυτικού που βρίσκονται σε αποστολή και το προσωπικό των Ενόπλων Δυνάμεων που εκτελεί ειδικές αποστολές</w:t>
            </w:r>
          </w:p>
        </w:tc>
        <w:tc>
          <w:tcPr>
            <w:tcW w:w="922" w:type="dxa"/>
            <w:gridSpan w:val="2"/>
            <w:shd w:val="clear" w:color="auto" w:fill="FFFFFF"/>
            <w:noWrap/>
            <w:vAlign w:val="center"/>
            <w:hideMark/>
          </w:tcPr>
          <w:p w14:paraId="70728433" w14:textId="77777777" w:rsidR="002C3A9A" w:rsidRDefault="002C3A9A" w:rsidP="006A71D3">
            <w:pPr>
              <w:spacing w:after="0"/>
              <w:jc w:val="right"/>
              <w:rPr>
                <w:rFonts w:cs="Arial"/>
                <w:color w:val="000000"/>
                <w:sz w:val="16"/>
                <w:szCs w:val="16"/>
              </w:rPr>
            </w:pPr>
            <w:r>
              <w:rPr>
                <w:rFonts w:cs="Arial"/>
                <w:color w:val="000000"/>
                <w:sz w:val="16"/>
                <w:szCs w:val="16"/>
              </w:rPr>
              <w:t>-15</w:t>
            </w:r>
          </w:p>
        </w:tc>
        <w:tc>
          <w:tcPr>
            <w:tcW w:w="898" w:type="dxa"/>
            <w:shd w:val="clear" w:color="auto" w:fill="FFFFFF"/>
            <w:noWrap/>
            <w:vAlign w:val="center"/>
            <w:hideMark/>
          </w:tcPr>
          <w:p w14:paraId="74468818" w14:textId="77777777" w:rsidR="002C3A9A" w:rsidRDefault="002C3A9A" w:rsidP="006A71D3">
            <w:pPr>
              <w:spacing w:after="0"/>
              <w:jc w:val="right"/>
              <w:rPr>
                <w:rFonts w:cs="Arial"/>
                <w:color w:val="000000"/>
                <w:sz w:val="16"/>
                <w:szCs w:val="16"/>
              </w:rPr>
            </w:pPr>
            <w:r>
              <w:rPr>
                <w:rFonts w:cs="Arial"/>
                <w:color w:val="000000"/>
                <w:sz w:val="16"/>
                <w:szCs w:val="16"/>
              </w:rPr>
              <w:t>-15</w:t>
            </w:r>
          </w:p>
        </w:tc>
      </w:tr>
      <w:tr w:rsidR="002C3A9A" w14:paraId="53023A5D" w14:textId="77777777" w:rsidTr="002C3A9A">
        <w:trPr>
          <w:cantSplit/>
          <w:jc w:val="center"/>
        </w:trPr>
        <w:tc>
          <w:tcPr>
            <w:tcW w:w="547" w:type="dxa"/>
            <w:vAlign w:val="center"/>
            <w:hideMark/>
          </w:tcPr>
          <w:p w14:paraId="397C92EB" w14:textId="77777777" w:rsidR="002C3A9A" w:rsidRDefault="002C3A9A" w:rsidP="006A71D3">
            <w:pPr>
              <w:spacing w:after="0"/>
              <w:jc w:val="center"/>
              <w:rPr>
                <w:rFonts w:cs="Arial"/>
                <w:color w:val="000000"/>
                <w:sz w:val="16"/>
                <w:szCs w:val="16"/>
              </w:rPr>
            </w:pPr>
            <w:r>
              <w:rPr>
                <w:rFonts w:cs="Arial"/>
                <w:color w:val="000000"/>
                <w:sz w:val="16"/>
                <w:szCs w:val="16"/>
              </w:rPr>
              <w:t>8</w:t>
            </w:r>
          </w:p>
        </w:tc>
        <w:tc>
          <w:tcPr>
            <w:tcW w:w="7468" w:type="dxa"/>
            <w:shd w:val="clear" w:color="auto" w:fill="FFFFFF"/>
            <w:vAlign w:val="center"/>
            <w:hideMark/>
          </w:tcPr>
          <w:p w14:paraId="7B1D0BFF" w14:textId="77777777" w:rsidR="002C3A9A" w:rsidRDefault="002C3A9A" w:rsidP="006A71D3">
            <w:pPr>
              <w:spacing w:after="0"/>
              <w:rPr>
                <w:rFonts w:cs="Arial"/>
                <w:color w:val="000000"/>
                <w:sz w:val="16"/>
                <w:szCs w:val="16"/>
              </w:rPr>
            </w:pPr>
            <w:r>
              <w:rPr>
                <w:rFonts w:cs="Arial"/>
                <w:color w:val="000000"/>
                <w:sz w:val="16"/>
                <w:szCs w:val="16"/>
              </w:rPr>
              <w:t>Αύξηση του επιδόματος γέννησης από 2.000 ευρώ σε 2.400 έως 3.500 ευρώ αναλόγως του αριθμού των τέκνων (εφαρμόστηκε το 2024 με αναδρομική ισχύ για τις γεννήσεις του 2023)</w:t>
            </w:r>
          </w:p>
        </w:tc>
        <w:tc>
          <w:tcPr>
            <w:tcW w:w="922" w:type="dxa"/>
            <w:gridSpan w:val="2"/>
            <w:shd w:val="clear" w:color="auto" w:fill="FFFFFF"/>
            <w:noWrap/>
            <w:vAlign w:val="center"/>
            <w:hideMark/>
          </w:tcPr>
          <w:p w14:paraId="2462328B" w14:textId="77777777" w:rsidR="002C3A9A" w:rsidRDefault="002C3A9A" w:rsidP="006A71D3">
            <w:pPr>
              <w:spacing w:after="0"/>
              <w:jc w:val="right"/>
              <w:rPr>
                <w:rFonts w:cs="Arial"/>
                <w:color w:val="000000"/>
                <w:sz w:val="16"/>
                <w:szCs w:val="16"/>
              </w:rPr>
            </w:pPr>
            <w:r>
              <w:rPr>
                <w:rFonts w:cs="Arial"/>
                <w:color w:val="000000"/>
                <w:sz w:val="16"/>
                <w:szCs w:val="16"/>
              </w:rPr>
              <w:t>-90</w:t>
            </w:r>
          </w:p>
        </w:tc>
        <w:tc>
          <w:tcPr>
            <w:tcW w:w="898" w:type="dxa"/>
            <w:shd w:val="clear" w:color="auto" w:fill="FFFFFF"/>
            <w:noWrap/>
            <w:vAlign w:val="center"/>
            <w:hideMark/>
          </w:tcPr>
          <w:p w14:paraId="6639D08A" w14:textId="77777777" w:rsidR="002C3A9A" w:rsidRDefault="002C3A9A" w:rsidP="006A71D3">
            <w:pPr>
              <w:spacing w:after="0"/>
              <w:jc w:val="right"/>
              <w:rPr>
                <w:rFonts w:cs="Arial"/>
                <w:color w:val="000000"/>
                <w:sz w:val="16"/>
                <w:szCs w:val="16"/>
              </w:rPr>
            </w:pPr>
            <w:r>
              <w:rPr>
                <w:rFonts w:cs="Arial"/>
                <w:color w:val="000000"/>
                <w:sz w:val="16"/>
                <w:szCs w:val="16"/>
              </w:rPr>
              <w:t>-45</w:t>
            </w:r>
          </w:p>
        </w:tc>
      </w:tr>
      <w:tr w:rsidR="002C3A9A" w14:paraId="137EF8BC" w14:textId="77777777" w:rsidTr="002C3A9A">
        <w:trPr>
          <w:cantSplit/>
          <w:jc w:val="center"/>
        </w:trPr>
        <w:tc>
          <w:tcPr>
            <w:tcW w:w="547" w:type="dxa"/>
            <w:vAlign w:val="center"/>
            <w:hideMark/>
          </w:tcPr>
          <w:p w14:paraId="1785E1C5" w14:textId="77777777" w:rsidR="002C3A9A" w:rsidRDefault="002C3A9A" w:rsidP="006A71D3">
            <w:pPr>
              <w:spacing w:after="0"/>
              <w:jc w:val="center"/>
              <w:rPr>
                <w:rFonts w:cs="Arial"/>
                <w:color w:val="000000"/>
                <w:sz w:val="16"/>
                <w:szCs w:val="16"/>
              </w:rPr>
            </w:pPr>
            <w:r>
              <w:rPr>
                <w:rFonts w:cs="Arial"/>
                <w:color w:val="000000"/>
                <w:sz w:val="16"/>
                <w:szCs w:val="16"/>
              </w:rPr>
              <w:t>9</w:t>
            </w:r>
          </w:p>
        </w:tc>
        <w:tc>
          <w:tcPr>
            <w:tcW w:w="7468" w:type="dxa"/>
            <w:shd w:val="clear" w:color="auto" w:fill="FFFFFF"/>
            <w:vAlign w:val="center"/>
            <w:hideMark/>
          </w:tcPr>
          <w:p w14:paraId="06331032" w14:textId="77777777" w:rsidR="002C3A9A" w:rsidRDefault="002C3A9A" w:rsidP="006A71D3">
            <w:pPr>
              <w:spacing w:after="0"/>
              <w:rPr>
                <w:rFonts w:cs="Arial"/>
                <w:color w:val="000000"/>
                <w:sz w:val="16"/>
                <w:szCs w:val="16"/>
              </w:rPr>
            </w:pPr>
            <w:r>
              <w:rPr>
                <w:rFonts w:cs="Arial"/>
                <w:color w:val="000000"/>
                <w:sz w:val="16"/>
                <w:szCs w:val="16"/>
              </w:rPr>
              <w:t>Επέκταση του επιδόματος μητρότητας στους εννέα μήνες για τους ελεύθερους επαγγελματίες και αγρότες από το 2024</w:t>
            </w:r>
          </w:p>
        </w:tc>
        <w:tc>
          <w:tcPr>
            <w:tcW w:w="922" w:type="dxa"/>
            <w:gridSpan w:val="2"/>
            <w:shd w:val="clear" w:color="auto" w:fill="FFFFFF"/>
            <w:noWrap/>
            <w:vAlign w:val="center"/>
            <w:hideMark/>
          </w:tcPr>
          <w:p w14:paraId="70010888" w14:textId="77777777" w:rsidR="002C3A9A" w:rsidRDefault="002C3A9A" w:rsidP="006A71D3">
            <w:pPr>
              <w:spacing w:after="0"/>
              <w:jc w:val="right"/>
              <w:rPr>
                <w:rFonts w:cs="Arial"/>
                <w:color w:val="000000"/>
                <w:sz w:val="16"/>
                <w:szCs w:val="16"/>
              </w:rPr>
            </w:pPr>
            <w:r>
              <w:rPr>
                <w:rFonts w:cs="Arial"/>
                <w:color w:val="000000"/>
                <w:sz w:val="16"/>
                <w:szCs w:val="16"/>
              </w:rPr>
              <w:t>-43</w:t>
            </w:r>
          </w:p>
        </w:tc>
        <w:tc>
          <w:tcPr>
            <w:tcW w:w="898" w:type="dxa"/>
            <w:shd w:val="clear" w:color="auto" w:fill="FFFFFF"/>
            <w:noWrap/>
            <w:vAlign w:val="center"/>
            <w:hideMark/>
          </w:tcPr>
          <w:p w14:paraId="72B13659" w14:textId="77777777" w:rsidR="002C3A9A" w:rsidRDefault="002C3A9A" w:rsidP="006A71D3">
            <w:pPr>
              <w:spacing w:after="0"/>
              <w:jc w:val="right"/>
              <w:rPr>
                <w:rFonts w:cs="Arial"/>
                <w:color w:val="000000"/>
                <w:sz w:val="16"/>
                <w:szCs w:val="16"/>
              </w:rPr>
            </w:pPr>
            <w:r>
              <w:rPr>
                <w:rFonts w:cs="Arial"/>
                <w:color w:val="000000"/>
                <w:sz w:val="16"/>
                <w:szCs w:val="16"/>
              </w:rPr>
              <w:t>-43</w:t>
            </w:r>
          </w:p>
        </w:tc>
      </w:tr>
      <w:tr w:rsidR="002C3A9A" w14:paraId="00966DF8" w14:textId="77777777" w:rsidTr="002C3A9A">
        <w:trPr>
          <w:cantSplit/>
          <w:jc w:val="center"/>
        </w:trPr>
        <w:tc>
          <w:tcPr>
            <w:tcW w:w="547" w:type="dxa"/>
            <w:vAlign w:val="center"/>
            <w:hideMark/>
          </w:tcPr>
          <w:p w14:paraId="0918F647" w14:textId="77777777" w:rsidR="002C3A9A" w:rsidRDefault="002C3A9A" w:rsidP="006A71D3">
            <w:pPr>
              <w:spacing w:after="0"/>
              <w:jc w:val="center"/>
              <w:rPr>
                <w:rFonts w:cs="Arial"/>
                <w:color w:val="000000"/>
                <w:sz w:val="16"/>
                <w:szCs w:val="16"/>
              </w:rPr>
            </w:pPr>
            <w:r>
              <w:rPr>
                <w:rFonts w:cs="Arial"/>
                <w:color w:val="000000"/>
                <w:sz w:val="16"/>
                <w:szCs w:val="16"/>
              </w:rPr>
              <w:t>10</w:t>
            </w:r>
          </w:p>
        </w:tc>
        <w:tc>
          <w:tcPr>
            <w:tcW w:w="7468" w:type="dxa"/>
            <w:shd w:val="clear" w:color="auto" w:fill="FFFFFF"/>
            <w:vAlign w:val="center"/>
            <w:hideMark/>
          </w:tcPr>
          <w:p w14:paraId="1DACBB31" w14:textId="77777777" w:rsidR="002C3A9A" w:rsidRDefault="002C3A9A" w:rsidP="006A71D3">
            <w:pPr>
              <w:spacing w:after="0"/>
              <w:rPr>
                <w:rFonts w:cs="Arial"/>
                <w:color w:val="000000"/>
                <w:sz w:val="16"/>
                <w:szCs w:val="16"/>
              </w:rPr>
            </w:pPr>
            <w:r>
              <w:rPr>
                <w:rFonts w:cs="Arial"/>
                <w:color w:val="000000"/>
                <w:sz w:val="16"/>
                <w:szCs w:val="16"/>
              </w:rPr>
              <w:t>Αύξηση του φοιτητικού στεγαστικού επιδόματος για τα περιφερειακά Πανεπιστήμια (από 1.500 ευρώ σε 2.000 ευρώ ετησίως και σε 2.500 ευρώ σε περίπτωση συγκατοίκησης)</w:t>
            </w:r>
          </w:p>
        </w:tc>
        <w:tc>
          <w:tcPr>
            <w:tcW w:w="922" w:type="dxa"/>
            <w:gridSpan w:val="2"/>
            <w:shd w:val="clear" w:color="auto" w:fill="FFFFFF"/>
            <w:noWrap/>
            <w:vAlign w:val="center"/>
            <w:hideMark/>
          </w:tcPr>
          <w:p w14:paraId="0695FF86"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shd w:val="clear" w:color="auto" w:fill="FFFFFF"/>
            <w:noWrap/>
            <w:vAlign w:val="center"/>
            <w:hideMark/>
          </w:tcPr>
          <w:p w14:paraId="43787E6A" w14:textId="77777777" w:rsidR="002C3A9A" w:rsidRDefault="002C3A9A" w:rsidP="006A71D3">
            <w:pPr>
              <w:spacing w:after="0"/>
              <w:jc w:val="right"/>
              <w:rPr>
                <w:rFonts w:cs="Arial"/>
                <w:color w:val="000000"/>
                <w:sz w:val="16"/>
                <w:szCs w:val="16"/>
              </w:rPr>
            </w:pPr>
            <w:r>
              <w:rPr>
                <w:rFonts w:cs="Arial"/>
                <w:color w:val="000000"/>
                <w:sz w:val="16"/>
                <w:szCs w:val="16"/>
              </w:rPr>
              <w:t>-15</w:t>
            </w:r>
          </w:p>
        </w:tc>
      </w:tr>
      <w:tr w:rsidR="002C3A9A" w14:paraId="5479F521" w14:textId="77777777" w:rsidTr="002C3A9A">
        <w:trPr>
          <w:cantSplit/>
          <w:jc w:val="center"/>
        </w:trPr>
        <w:tc>
          <w:tcPr>
            <w:tcW w:w="547" w:type="dxa"/>
            <w:vAlign w:val="center"/>
            <w:hideMark/>
          </w:tcPr>
          <w:p w14:paraId="2605852F" w14:textId="77777777" w:rsidR="002C3A9A" w:rsidRDefault="002C3A9A" w:rsidP="006A71D3">
            <w:pPr>
              <w:spacing w:after="0"/>
              <w:jc w:val="center"/>
              <w:rPr>
                <w:rFonts w:cs="Arial"/>
                <w:color w:val="000000"/>
                <w:sz w:val="16"/>
                <w:szCs w:val="16"/>
              </w:rPr>
            </w:pPr>
            <w:r>
              <w:rPr>
                <w:rFonts w:cs="Arial"/>
                <w:color w:val="000000"/>
                <w:sz w:val="16"/>
                <w:szCs w:val="16"/>
              </w:rPr>
              <w:t>11</w:t>
            </w:r>
          </w:p>
        </w:tc>
        <w:tc>
          <w:tcPr>
            <w:tcW w:w="7468" w:type="dxa"/>
            <w:shd w:val="clear" w:color="auto" w:fill="FFFFFF"/>
            <w:vAlign w:val="center"/>
            <w:hideMark/>
          </w:tcPr>
          <w:p w14:paraId="3CD3177E" w14:textId="77777777" w:rsidR="002C3A9A" w:rsidRDefault="002C3A9A" w:rsidP="006A71D3">
            <w:pPr>
              <w:spacing w:after="0"/>
              <w:rPr>
                <w:rFonts w:cs="Arial"/>
                <w:color w:val="000000"/>
                <w:sz w:val="16"/>
                <w:szCs w:val="16"/>
              </w:rPr>
            </w:pPr>
            <w:r>
              <w:rPr>
                <w:rFonts w:cs="Arial"/>
                <w:color w:val="000000"/>
                <w:sz w:val="16"/>
                <w:szCs w:val="16"/>
              </w:rPr>
              <w:t>Πρόγραμμα «Ανακαινίζω - Νοικιάζω» (με αυξημένη αποζημίωση στο 60% των δαπανών)</w:t>
            </w:r>
          </w:p>
        </w:tc>
        <w:tc>
          <w:tcPr>
            <w:tcW w:w="922" w:type="dxa"/>
            <w:gridSpan w:val="2"/>
            <w:shd w:val="clear" w:color="auto" w:fill="FFFFFF"/>
            <w:noWrap/>
            <w:vAlign w:val="center"/>
            <w:hideMark/>
          </w:tcPr>
          <w:p w14:paraId="093923B1" w14:textId="77777777" w:rsidR="002C3A9A" w:rsidRDefault="002C3A9A" w:rsidP="006A71D3">
            <w:pPr>
              <w:spacing w:after="0"/>
              <w:jc w:val="right"/>
              <w:rPr>
                <w:rFonts w:cs="Arial"/>
                <w:color w:val="000000"/>
                <w:sz w:val="16"/>
                <w:szCs w:val="16"/>
              </w:rPr>
            </w:pPr>
            <w:r>
              <w:rPr>
                <w:rFonts w:cs="Arial"/>
                <w:color w:val="000000"/>
                <w:sz w:val="16"/>
                <w:szCs w:val="16"/>
              </w:rPr>
              <w:t>-25</w:t>
            </w:r>
          </w:p>
        </w:tc>
        <w:tc>
          <w:tcPr>
            <w:tcW w:w="898" w:type="dxa"/>
            <w:shd w:val="clear" w:color="auto" w:fill="FFFFFF"/>
            <w:noWrap/>
            <w:vAlign w:val="center"/>
            <w:hideMark/>
          </w:tcPr>
          <w:p w14:paraId="701AF019" w14:textId="77777777" w:rsidR="002C3A9A" w:rsidRDefault="002C3A9A" w:rsidP="006A71D3">
            <w:pPr>
              <w:spacing w:after="0"/>
              <w:jc w:val="right"/>
              <w:rPr>
                <w:rFonts w:cs="Arial"/>
                <w:color w:val="000000"/>
                <w:sz w:val="16"/>
                <w:szCs w:val="16"/>
              </w:rPr>
            </w:pPr>
            <w:r>
              <w:rPr>
                <w:rFonts w:cs="Arial"/>
                <w:color w:val="000000"/>
                <w:sz w:val="16"/>
                <w:szCs w:val="16"/>
              </w:rPr>
              <w:t>-25</w:t>
            </w:r>
          </w:p>
        </w:tc>
      </w:tr>
      <w:tr w:rsidR="002C3A9A" w14:paraId="605F51A8" w14:textId="77777777" w:rsidTr="002C3A9A">
        <w:trPr>
          <w:cantSplit/>
          <w:jc w:val="center"/>
        </w:trPr>
        <w:tc>
          <w:tcPr>
            <w:tcW w:w="547" w:type="dxa"/>
            <w:vAlign w:val="center"/>
            <w:hideMark/>
          </w:tcPr>
          <w:p w14:paraId="65BDCB2D" w14:textId="77777777" w:rsidR="002C3A9A" w:rsidRDefault="002C3A9A" w:rsidP="006A71D3">
            <w:pPr>
              <w:spacing w:after="0"/>
              <w:jc w:val="center"/>
              <w:rPr>
                <w:rFonts w:cs="Arial"/>
                <w:color w:val="000000"/>
                <w:sz w:val="16"/>
                <w:szCs w:val="16"/>
              </w:rPr>
            </w:pPr>
            <w:r>
              <w:rPr>
                <w:rFonts w:cs="Arial"/>
                <w:color w:val="000000"/>
                <w:sz w:val="16"/>
                <w:szCs w:val="16"/>
              </w:rPr>
              <w:t>12</w:t>
            </w:r>
          </w:p>
        </w:tc>
        <w:tc>
          <w:tcPr>
            <w:tcW w:w="7468" w:type="dxa"/>
            <w:shd w:val="clear" w:color="auto" w:fill="FFFFFF"/>
            <w:vAlign w:val="center"/>
            <w:hideMark/>
          </w:tcPr>
          <w:p w14:paraId="3D287588" w14:textId="77777777" w:rsidR="002C3A9A" w:rsidRDefault="002C3A9A" w:rsidP="006A71D3">
            <w:pPr>
              <w:spacing w:after="0"/>
              <w:rPr>
                <w:rFonts w:cs="Arial"/>
                <w:color w:val="000000"/>
                <w:sz w:val="16"/>
                <w:szCs w:val="16"/>
              </w:rPr>
            </w:pPr>
            <w:r>
              <w:rPr>
                <w:rFonts w:cs="Arial"/>
                <w:color w:val="000000"/>
                <w:sz w:val="16"/>
                <w:szCs w:val="16"/>
              </w:rPr>
              <w:t>Διάθεση των εσόδων από το τέλος κρουαζιέρας για έργα υποδομών των ΟΤΑ, του Υπουργείου Ναυτιλίας και Νησιωτικής Πολιτικής και του Υπουργείου Τουρισμού</w:t>
            </w:r>
          </w:p>
        </w:tc>
        <w:tc>
          <w:tcPr>
            <w:tcW w:w="922" w:type="dxa"/>
            <w:gridSpan w:val="2"/>
            <w:noWrap/>
            <w:vAlign w:val="center"/>
            <w:hideMark/>
          </w:tcPr>
          <w:p w14:paraId="5431C9BB" w14:textId="77777777" w:rsidR="002C3A9A" w:rsidRDefault="002C3A9A" w:rsidP="006A71D3">
            <w:pPr>
              <w:spacing w:after="0"/>
              <w:jc w:val="right"/>
              <w:rPr>
                <w:rFonts w:cs="Arial"/>
                <w:color w:val="000000"/>
                <w:sz w:val="16"/>
                <w:szCs w:val="16"/>
              </w:rPr>
            </w:pPr>
            <w:r>
              <w:rPr>
                <w:rFonts w:cs="Arial"/>
                <w:color w:val="000000"/>
                <w:sz w:val="16"/>
                <w:szCs w:val="16"/>
              </w:rPr>
              <w:t>0</w:t>
            </w:r>
          </w:p>
        </w:tc>
        <w:tc>
          <w:tcPr>
            <w:tcW w:w="898" w:type="dxa"/>
            <w:noWrap/>
            <w:vAlign w:val="center"/>
            <w:hideMark/>
          </w:tcPr>
          <w:p w14:paraId="1514F748" w14:textId="77777777" w:rsidR="002C3A9A" w:rsidRDefault="002C3A9A" w:rsidP="006A71D3">
            <w:pPr>
              <w:spacing w:after="0"/>
              <w:jc w:val="right"/>
              <w:rPr>
                <w:rFonts w:cs="Arial"/>
                <w:color w:val="000000"/>
                <w:sz w:val="16"/>
                <w:szCs w:val="16"/>
              </w:rPr>
            </w:pPr>
            <w:r>
              <w:rPr>
                <w:rFonts w:cs="Arial"/>
                <w:color w:val="000000"/>
                <w:sz w:val="16"/>
                <w:szCs w:val="16"/>
              </w:rPr>
              <w:t>-52</w:t>
            </w:r>
          </w:p>
        </w:tc>
      </w:tr>
      <w:tr w:rsidR="002C3A9A" w14:paraId="18A1A5BC" w14:textId="77777777" w:rsidTr="002C3A9A">
        <w:trPr>
          <w:cantSplit/>
          <w:jc w:val="center"/>
        </w:trPr>
        <w:tc>
          <w:tcPr>
            <w:tcW w:w="547" w:type="dxa"/>
            <w:vAlign w:val="center"/>
          </w:tcPr>
          <w:p w14:paraId="43CC8554" w14:textId="77777777" w:rsidR="002C3A9A" w:rsidRPr="00AB1BC4" w:rsidRDefault="002C3A9A" w:rsidP="006A71D3">
            <w:pPr>
              <w:spacing w:after="0"/>
              <w:jc w:val="center"/>
              <w:rPr>
                <w:rFonts w:cs="Arial"/>
                <w:color w:val="000000"/>
                <w:sz w:val="16"/>
                <w:szCs w:val="16"/>
              </w:rPr>
            </w:pPr>
            <w:r w:rsidRPr="00AB1BC4">
              <w:rPr>
                <w:rFonts w:cs="Arial"/>
                <w:color w:val="000000"/>
                <w:sz w:val="16"/>
                <w:szCs w:val="16"/>
              </w:rPr>
              <w:t>13</w:t>
            </w:r>
          </w:p>
        </w:tc>
        <w:tc>
          <w:tcPr>
            <w:tcW w:w="7468" w:type="dxa"/>
            <w:shd w:val="clear" w:color="auto" w:fill="FFFFFF"/>
            <w:vAlign w:val="center"/>
          </w:tcPr>
          <w:p w14:paraId="1823C58E" w14:textId="77777777" w:rsidR="002C3A9A" w:rsidRPr="00AB1BC4" w:rsidRDefault="002C3A9A" w:rsidP="006A71D3">
            <w:pPr>
              <w:spacing w:after="0"/>
              <w:rPr>
                <w:rFonts w:cs="Arial"/>
                <w:color w:val="000000"/>
                <w:sz w:val="16"/>
                <w:szCs w:val="16"/>
              </w:rPr>
            </w:pPr>
            <w:r w:rsidRPr="00AB1BC4">
              <w:rPr>
                <w:rFonts w:cs="Arial"/>
                <w:color w:val="000000"/>
                <w:sz w:val="16"/>
                <w:szCs w:val="16"/>
              </w:rPr>
              <w:t xml:space="preserve">Αύξηση αποδοχών σπουδαστών στρατιωτικών σχολών </w:t>
            </w:r>
          </w:p>
        </w:tc>
        <w:tc>
          <w:tcPr>
            <w:tcW w:w="922" w:type="dxa"/>
            <w:gridSpan w:val="2"/>
            <w:noWrap/>
            <w:vAlign w:val="center"/>
          </w:tcPr>
          <w:p w14:paraId="2F5E8A7D" w14:textId="77777777" w:rsidR="002C3A9A" w:rsidRPr="00AB1BC4" w:rsidRDefault="002C3A9A" w:rsidP="006A71D3">
            <w:pPr>
              <w:spacing w:after="0"/>
              <w:jc w:val="right"/>
              <w:rPr>
                <w:rFonts w:cs="Arial"/>
                <w:color w:val="000000"/>
                <w:sz w:val="16"/>
                <w:szCs w:val="16"/>
              </w:rPr>
            </w:pPr>
            <w:r w:rsidRPr="00AB1BC4">
              <w:rPr>
                <w:rFonts w:cs="Arial"/>
                <w:color w:val="000000"/>
                <w:sz w:val="16"/>
                <w:szCs w:val="16"/>
              </w:rPr>
              <w:t>0</w:t>
            </w:r>
          </w:p>
        </w:tc>
        <w:tc>
          <w:tcPr>
            <w:tcW w:w="898" w:type="dxa"/>
            <w:noWrap/>
            <w:vAlign w:val="center"/>
          </w:tcPr>
          <w:p w14:paraId="58F3B633" w14:textId="77777777" w:rsidR="002C3A9A" w:rsidRPr="00AB1BC4" w:rsidRDefault="002C3A9A" w:rsidP="006A71D3">
            <w:pPr>
              <w:spacing w:after="0"/>
              <w:jc w:val="right"/>
              <w:rPr>
                <w:rFonts w:cs="Arial"/>
                <w:color w:val="000000"/>
                <w:sz w:val="16"/>
                <w:szCs w:val="16"/>
              </w:rPr>
            </w:pPr>
            <w:r w:rsidRPr="00AB1BC4">
              <w:rPr>
                <w:rFonts w:cs="Arial"/>
                <w:color w:val="000000"/>
                <w:sz w:val="16"/>
                <w:szCs w:val="16"/>
                <w:lang w:val="en-US"/>
              </w:rPr>
              <w:t>-</w:t>
            </w:r>
            <w:r w:rsidRPr="00AB1BC4">
              <w:rPr>
                <w:rFonts w:cs="Arial"/>
                <w:color w:val="000000"/>
                <w:sz w:val="16"/>
                <w:szCs w:val="16"/>
              </w:rPr>
              <w:t>14</w:t>
            </w:r>
          </w:p>
        </w:tc>
      </w:tr>
      <w:tr w:rsidR="002C3A9A" w14:paraId="59A16B55" w14:textId="77777777" w:rsidTr="002C3A9A">
        <w:trPr>
          <w:cantSplit/>
          <w:jc w:val="center"/>
        </w:trPr>
        <w:tc>
          <w:tcPr>
            <w:tcW w:w="8039" w:type="dxa"/>
            <w:gridSpan w:val="3"/>
            <w:tcBorders>
              <w:bottom w:val="single" w:sz="4" w:space="0" w:color="808080" w:themeColor="background1" w:themeShade="80"/>
            </w:tcBorders>
            <w:shd w:val="clear" w:color="auto" w:fill="D9D9D9"/>
            <w:noWrap/>
            <w:vAlign w:val="center"/>
            <w:hideMark/>
          </w:tcPr>
          <w:p w14:paraId="0C5FE3A8" w14:textId="77777777" w:rsidR="002C3A9A" w:rsidRDefault="002C3A9A" w:rsidP="006A71D3">
            <w:pPr>
              <w:spacing w:after="0"/>
              <w:rPr>
                <w:rFonts w:cs="Arial"/>
                <w:b/>
                <w:bCs/>
                <w:color w:val="000000"/>
                <w:sz w:val="16"/>
                <w:szCs w:val="16"/>
              </w:rPr>
            </w:pPr>
            <w:r>
              <w:rPr>
                <w:rFonts w:cs="Arial"/>
                <w:b/>
                <w:bCs/>
                <w:color w:val="000000"/>
                <w:sz w:val="16"/>
                <w:szCs w:val="16"/>
              </w:rPr>
              <w:t>Συνολικό Δημοσιονομικό Κόστος των Παρεμβάσεων (Α + Β)</w:t>
            </w:r>
          </w:p>
        </w:tc>
        <w:tc>
          <w:tcPr>
            <w:tcW w:w="898" w:type="dxa"/>
            <w:tcBorders>
              <w:bottom w:val="single" w:sz="4" w:space="0" w:color="808080" w:themeColor="background1" w:themeShade="80"/>
            </w:tcBorders>
            <w:shd w:val="clear" w:color="auto" w:fill="D9D9D9"/>
            <w:noWrap/>
            <w:vAlign w:val="center"/>
            <w:hideMark/>
          </w:tcPr>
          <w:p w14:paraId="55AD6D03" w14:textId="77777777" w:rsidR="002C3A9A" w:rsidRDefault="002C3A9A" w:rsidP="006A71D3">
            <w:pPr>
              <w:spacing w:after="0"/>
              <w:jc w:val="right"/>
              <w:rPr>
                <w:rFonts w:cs="Arial"/>
                <w:b/>
                <w:bCs/>
                <w:color w:val="000000"/>
                <w:sz w:val="16"/>
                <w:szCs w:val="16"/>
              </w:rPr>
            </w:pPr>
            <w:r>
              <w:rPr>
                <w:rFonts w:cs="Arial"/>
                <w:b/>
                <w:bCs/>
                <w:color w:val="000000"/>
                <w:sz w:val="16"/>
                <w:szCs w:val="16"/>
              </w:rPr>
              <w:t>-1.840</w:t>
            </w:r>
          </w:p>
        </w:tc>
        <w:tc>
          <w:tcPr>
            <w:tcW w:w="898" w:type="dxa"/>
            <w:tcBorders>
              <w:bottom w:val="single" w:sz="4" w:space="0" w:color="808080" w:themeColor="background1" w:themeShade="80"/>
            </w:tcBorders>
            <w:shd w:val="clear" w:color="auto" w:fill="D9D9D9"/>
            <w:noWrap/>
            <w:vAlign w:val="center"/>
            <w:hideMark/>
          </w:tcPr>
          <w:p w14:paraId="793BE2C7" w14:textId="77777777" w:rsidR="002C3A9A" w:rsidRDefault="002C3A9A" w:rsidP="006A71D3">
            <w:pPr>
              <w:spacing w:after="0"/>
              <w:jc w:val="right"/>
              <w:rPr>
                <w:rFonts w:cs="Arial"/>
                <w:b/>
                <w:bCs/>
                <w:color w:val="000000"/>
                <w:sz w:val="16"/>
                <w:szCs w:val="16"/>
                <w:lang w:val="en-US"/>
              </w:rPr>
            </w:pPr>
            <w:r w:rsidRPr="00AB1BC4">
              <w:rPr>
                <w:rFonts w:cs="Arial"/>
                <w:b/>
                <w:bCs/>
                <w:color w:val="000000"/>
                <w:sz w:val="16"/>
                <w:szCs w:val="16"/>
                <w:lang w:val="en-US"/>
              </w:rPr>
              <w:t>-2</w:t>
            </w:r>
            <w:r w:rsidRPr="00AB1BC4">
              <w:rPr>
                <w:rFonts w:cs="Arial"/>
                <w:b/>
                <w:bCs/>
                <w:color w:val="000000"/>
                <w:sz w:val="16"/>
                <w:szCs w:val="16"/>
              </w:rPr>
              <w:t>.</w:t>
            </w:r>
            <w:r w:rsidRPr="00AB1BC4">
              <w:rPr>
                <w:rFonts w:cs="Arial"/>
                <w:b/>
                <w:bCs/>
                <w:color w:val="000000"/>
                <w:sz w:val="16"/>
                <w:szCs w:val="16"/>
                <w:lang w:val="en-US"/>
              </w:rPr>
              <w:t>95</w:t>
            </w:r>
            <w:r w:rsidRPr="00AB1BC4">
              <w:rPr>
                <w:rFonts w:cs="Arial"/>
                <w:b/>
                <w:bCs/>
                <w:color w:val="000000"/>
                <w:sz w:val="16"/>
                <w:szCs w:val="16"/>
              </w:rPr>
              <w:t>5</w:t>
            </w:r>
          </w:p>
          <w:p w14:paraId="0977F291" w14:textId="77777777" w:rsidR="002C3A9A" w:rsidRDefault="002C3A9A" w:rsidP="006A71D3">
            <w:pPr>
              <w:spacing w:after="0"/>
              <w:jc w:val="right"/>
              <w:rPr>
                <w:rFonts w:cs="Arial"/>
                <w:b/>
                <w:bCs/>
                <w:color w:val="000000"/>
                <w:sz w:val="16"/>
                <w:szCs w:val="16"/>
              </w:rPr>
            </w:pPr>
          </w:p>
        </w:tc>
      </w:tr>
      <w:tr w:rsidR="002C3A9A" w14:paraId="221A7282" w14:textId="77777777" w:rsidTr="002C3A9A">
        <w:trPr>
          <w:cantSplit/>
          <w:trHeight w:val="397"/>
          <w:jc w:val="center"/>
        </w:trPr>
        <w:tc>
          <w:tcPr>
            <w:tcW w:w="9835" w:type="dxa"/>
            <w:gridSpan w:val="5"/>
            <w:tcBorders>
              <w:left w:val="nil"/>
              <w:bottom w:val="nil"/>
              <w:right w:val="nil"/>
            </w:tcBorders>
            <w:vAlign w:val="bottom"/>
            <w:hideMark/>
          </w:tcPr>
          <w:p w14:paraId="209F80BC" w14:textId="77777777" w:rsidR="002C3A9A" w:rsidRDefault="002C3A9A" w:rsidP="006A71D3">
            <w:pPr>
              <w:tabs>
                <w:tab w:val="left" w:pos="842"/>
              </w:tabs>
              <w:spacing w:before="60" w:after="0" w:line="240" w:lineRule="auto"/>
              <w:rPr>
                <w:rFonts w:cs="Arial"/>
                <w:i/>
                <w:iCs/>
                <w:color w:val="000000"/>
                <w:sz w:val="16"/>
                <w:szCs w:val="16"/>
              </w:rPr>
            </w:pPr>
            <w:r>
              <w:rPr>
                <w:rFonts w:cs="Arial"/>
                <w:i/>
                <w:iCs/>
                <w:color w:val="000000"/>
                <w:sz w:val="16"/>
                <w:szCs w:val="16"/>
              </w:rPr>
              <w:t xml:space="preserve">Σημείωση: Το θετικό πρόσημο (+) δηλώνει αύξηση εσόδου ή μείωση δαπάνης και το αρνητικό πρόσημο (-) δηλώνει μείωση εσόδου ή αύξηση δαπάνης. Τα ανωτέρω δεν περιλαμβάνουν έργα και επενδύσεις που καλύπτονται από τον προϋπολογισμό δημοσίων επενδύσεων καθώς και την έκτακτη ενίσχυση κατά τον μήνα Δεκέμβριο 2024, ύψους 243 εκατ. ευρώ, σε </w:t>
            </w:r>
            <w:r>
              <w:rPr>
                <w:rFonts w:cs="Arial"/>
                <w:i/>
                <w:iCs/>
                <w:color w:val="000000"/>
                <w:sz w:val="16"/>
                <w:szCs w:val="16"/>
              </w:rPr>
              <w:tab/>
              <w:t>συνταξιούχους με προσωπική διαφορά, δικαιούχους του επιδόματος παιδιού, των αναπηρικών επιδομάτων, του ελάχιστου εγγυημένου εισοδήματος και των ανασφάλιστων υπερηλίκων.</w:t>
            </w:r>
          </w:p>
        </w:tc>
      </w:tr>
    </w:tbl>
    <w:p w14:paraId="0501BD83" w14:textId="5EBC4967" w:rsidR="002C3A9A" w:rsidRDefault="002C3A9A" w:rsidP="002C3A9A">
      <w:pPr>
        <w:spacing w:before="240"/>
        <w:jc w:val="both"/>
      </w:pPr>
      <w:bookmarkStart w:id="14" w:name="_Toc119607491"/>
      <w:r w:rsidRPr="00140164">
        <w:t>Ανωτ</w:t>
      </w:r>
      <w:r>
        <w:t xml:space="preserve">έρω </w:t>
      </w:r>
      <w:r w:rsidRPr="00140164">
        <w:t>αποτυπώνονται</w:t>
      </w:r>
      <w:r>
        <w:t xml:space="preserve"> οι μόνιμες δημοσιονομικές παρεμβάσεις για τα έτη 2024 και 2025. Το κόστος των παρεμβάσεων για το έτος 2024 ανέρχεται σε 1.840 εκατ. ευρώ για το σύνολο της Γενικής Κυβέρνησης. Το σημαντικότερο μέρος, ύψους 1.714 εκατ. ευρώ, προέρχεται από το σκέλος των δαπανών, ενώ το υπόλοιπο ποσό, ύψους 126 εκατ. ευρώ, προέρχεται από παρεμβάσεις στο σκέλος των εσόδων. Αντίστοιχα, για το έτος 2025 το </w:t>
      </w:r>
      <w:r w:rsidRPr="00AB1BC4">
        <w:t>συνολικό δημοσιονομικό κόστος των παρεμβάσεων προβλέπεται να αυξηθεί σε σχέση με το 2024 κατά 1.115 εκατ. ευρώ και να ανέλθει σε 2.955 εκατ. ευρώ. Ποσό ύψους 628 εκατ. ευρώ αφορά σε παρεμβάσεις στο σκέλος των εσόδων, εκ των οποίων ποσό ύψους 1.112 εκατ. ευρώ αφορά σε παρεμβάσεις μείωσης των εσόδων και ποσό ύψους 484 εκατ. ευρώ σε παρεμβάσεις αύξησης των εσόδων, ενώ σημαντικό ποσό ύψους 2.327 εκατ. ευρώ πρ</w:t>
      </w:r>
      <w:r>
        <w:t>οέρχεται από παρεμβάσεις στο σκέλος των δαπανών.</w:t>
      </w:r>
    </w:p>
    <w:p w14:paraId="2ECFF7FF" w14:textId="77777777" w:rsidR="002C3A9A" w:rsidRDefault="002C3A9A" w:rsidP="002C3A9A">
      <w:pPr>
        <w:jc w:val="both"/>
        <w:rPr>
          <w:rFonts w:cs="Calibri"/>
        </w:rPr>
      </w:pPr>
      <w:r>
        <w:t xml:space="preserve">Επισημαίνεται ότι το σύνολο των παρεμβάσεων </w:t>
      </w:r>
      <w:r>
        <w:rPr>
          <w:rFonts w:cs="Calibri"/>
        </w:rPr>
        <w:t xml:space="preserve">εναρμονίζεται με τις ανακοινώσεις στο πλαίσιο της ΔΕΘ και με τις προβλέψεις του </w:t>
      </w:r>
      <w:r w:rsidRPr="006E7209">
        <w:rPr>
          <w:rFonts w:cs="Calibri"/>
        </w:rPr>
        <w:t>Μεσοπρόθεσμο</w:t>
      </w:r>
      <w:r>
        <w:rPr>
          <w:rFonts w:cs="Calibri"/>
        </w:rPr>
        <w:t>υ</w:t>
      </w:r>
      <w:r w:rsidRPr="006E7209">
        <w:rPr>
          <w:rFonts w:cs="Calibri"/>
        </w:rPr>
        <w:t xml:space="preserve"> Δημοσιονομικ</w:t>
      </w:r>
      <w:r>
        <w:rPr>
          <w:rFonts w:cs="Calibri"/>
        </w:rPr>
        <w:t>ού</w:t>
      </w:r>
      <w:r w:rsidRPr="006E7209">
        <w:rPr>
          <w:rFonts w:cs="Calibri"/>
        </w:rPr>
        <w:t xml:space="preserve"> </w:t>
      </w:r>
      <w:r>
        <w:rPr>
          <w:rFonts w:cs="Calibri"/>
        </w:rPr>
        <w:t>-</w:t>
      </w:r>
      <w:r w:rsidRPr="006E7209">
        <w:rPr>
          <w:rFonts w:cs="Calibri"/>
        </w:rPr>
        <w:t xml:space="preserve"> Διαρθρωτικ</w:t>
      </w:r>
      <w:r>
        <w:rPr>
          <w:rFonts w:cs="Calibri"/>
        </w:rPr>
        <w:t>ού</w:t>
      </w:r>
      <w:r w:rsidRPr="006E7209">
        <w:rPr>
          <w:rFonts w:cs="Calibri"/>
        </w:rPr>
        <w:t xml:space="preserve"> Σχ</w:t>
      </w:r>
      <w:r>
        <w:rPr>
          <w:rFonts w:cs="Calibri"/>
        </w:rPr>
        <w:t>εδίου</w:t>
      </w:r>
      <w:r w:rsidRPr="006E7209">
        <w:rPr>
          <w:rFonts w:cs="Calibri"/>
        </w:rPr>
        <w:t xml:space="preserve"> </w:t>
      </w:r>
      <w:r>
        <w:rPr>
          <w:rFonts w:cs="Calibri"/>
        </w:rPr>
        <w:t>2025 - 2028.</w:t>
      </w:r>
    </w:p>
    <w:p w14:paraId="698B878D" w14:textId="6882E723" w:rsidR="008438E9" w:rsidRDefault="008438E9" w:rsidP="008438E9">
      <w:pPr>
        <w:pStyle w:val="4"/>
        <w:tabs>
          <w:tab w:val="left" w:pos="851"/>
        </w:tabs>
        <w:rPr>
          <w:rFonts w:asciiTheme="minorHAnsi" w:hAnsiTheme="minorHAnsi" w:cstheme="minorHAnsi"/>
          <w:color w:val="2F5496" w:themeColor="accent1" w:themeShade="BF"/>
        </w:rPr>
      </w:pPr>
      <w:r w:rsidRPr="007A1052">
        <w:rPr>
          <w:rFonts w:asciiTheme="minorHAnsi" w:hAnsiTheme="minorHAnsi" w:cstheme="minorHAnsi"/>
          <w:color w:val="2F5496" w:themeColor="accent1" w:themeShade="BF"/>
        </w:rPr>
        <w:lastRenderedPageBreak/>
        <w:t xml:space="preserve">Δημοσιονομικές παρεμβάσεις </w:t>
      </w:r>
      <w:r w:rsidR="002C3A9A">
        <w:rPr>
          <w:rFonts w:asciiTheme="minorHAnsi" w:hAnsiTheme="minorHAnsi" w:cstheme="minorHAnsi"/>
          <w:color w:val="2F5496" w:themeColor="accent1" w:themeShade="BF"/>
        </w:rPr>
        <w:t xml:space="preserve">για την ενίσχυση του διαθέσιμου εισοδήματος </w:t>
      </w:r>
      <w:bookmarkEnd w:id="14"/>
    </w:p>
    <w:p w14:paraId="2CC1E375" w14:textId="77777777" w:rsidR="002C3A9A" w:rsidRDefault="002C3A9A" w:rsidP="002C3A9A">
      <w:pPr>
        <w:jc w:val="both"/>
      </w:pPr>
      <w:r>
        <w:t>Η ενίσχυση του διαθέσιμου εισοδήματος των εργαζόμενων και των συνταξιούχων, η οποία αποτέλεσε έναν από τους βασικούς στόχους της κυβερνητικής πολιτικής του 2024, εξακολουθεί να αποτελεί βασικό στόχο και για το 2025, με αποτέλεσμα τόσο την ενίσχυση των παρεμβάσεων του 2024 όσο και τη θέσπιση νέων παρεμβάσεων.</w:t>
      </w:r>
    </w:p>
    <w:p w14:paraId="253FBDEC" w14:textId="77777777" w:rsidR="002C3A9A" w:rsidRDefault="002C3A9A" w:rsidP="002C3A9A">
      <w:pPr>
        <w:jc w:val="both"/>
        <w:rPr>
          <w:highlight w:val="yellow"/>
        </w:rPr>
      </w:pPr>
      <w:r>
        <w:t>Ειδικότερα, οι κυριότερες μόνιμες δημοσιονομικές παρεμβάσεις που εφαρμόστηκαν το 2024 καθώς και οι νέες, οι οποίες θα εφαρμοστούν από το 2025, είναι οι ακόλουθες:</w:t>
      </w:r>
    </w:p>
    <w:p w14:paraId="1965C5FA" w14:textId="77777777" w:rsidR="002C3A9A" w:rsidRDefault="002C3A9A" w:rsidP="002C3A9A">
      <w:pPr>
        <w:numPr>
          <w:ilvl w:val="0"/>
          <w:numId w:val="1"/>
        </w:numPr>
        <w:spacing w:before="120" w:after="60" w:line="300" w:lineRule="auto"/>
        <w:ind w:left="568" w:hanging="284"/>
        <w:jc w:val="both"/>
      </w:pPr>
      <w:r>
        <w:t>μείωση από 01.01.2025, κατά μία ποσοστιαία μονάδα, των ασφαλιστικών εισφορών. Ειδικότερα, η μείωση αυτή αναλύεται σε μείωση 0,5% στις εισφορές των εργαζόμενων και 0,5% στις εργοδοτικές εισφορές κλάδου υγείας, με το ετήσιο καθαρό κόστος για το 2025 να ανέρχεται σε 440 εκατ. ευρώ. Σημειώνεται ότι με την εν λόγω μείωση των ασφαλιστικών εισφορών η σωρευτική μείωσή τους από το 2019 ανέρχεται σε 5,4 ποσοστιαίες μονάδες (από 40,56% σε 35,16%),</w:t>
      </w:r>
    </w:p>
    <w:p w14:paraId="7068C6FB" w14:textId="77777777" w:rsidR="002C3A9A" w:rsidRDefault="002C3A9A" w:rsidP="002C3A9A">
      <w:pPr>
        <w:numPr>
          <w:ilvl w:val="0"/>
          <w:numId w:val="1"/>
        </w:numPr>
        <w:spacing w:before="60" w:after="60" w:line="300" w:lineRule="auto"/>
        <w:ind w:left="568" w:hanging="284"/>
        <w:jc w:val="both"/>
      </w:pPr>
      <w:r>
        <w:t>κατάργηση από 01.01.2025 του τέλους επιτηδεύματος στους ελεύθερους επαγγελματίες, σε συνέχεια της μείωσης κατά 50% το 2024, με κόστος 113 εκατ. ευρώ για το 2024 και 238 εκατ. ευρώ για το 2025,</w:t>
      </w:r>
    </w:p>
    <w:p w14:paraId="7EA6901A" w14:textId="77777777" w:rsidR="002C3A9A" w:rsidRDefault="002C3A9A" w:rsidP="002C3A9A">
      <w:pPr>
        <w:numPr>
          <w:ilvl w:val="0"/>
          <w:numId w:val="1"/>
        </w:numPr>
        <w:spacing w:before="60" w:after="60" w:line="300" w:lineRule="auto"/>
        <w:ind w:left="568" w:hanging="284"/>
        <w:jc w:val="both"/>
      </w:pPr>
      <w:r>
        <w:t>επέκταση της επιστροφής του ΕΦΚ στο αγροτικό πετρέλαιο για το 2024 και μονιμοποίησή της από το 2025, με νέο σύστημα το οποίο βασίζεται στην πραγματική κατανάλωση, με κόστος 82 εκατ. ευρώ για το 2024 και 100 εκατ. ευρώ για το 2025,</w:t>
      </w:r>
    </w:p>
    <w:p w14:paraId="56F33EA3" w14:textId="77777777" w:rsidR="002C3A9A" w:rsidRDefault="002C3A9A" w:rsidP="002C3A9A">
      <w:pPr>
        <w:numPr>
          <w:ilvl w:val="0"/>
          <w:numId w:val="1"/>
        </w:numPr>
        <w:spacing w:after="60" w:line="300" w:lineRule="auto"/>
        <w:ind w:left="568" w:hanging="284"/>
        <w:jc w:val="both"/>
      </w:pPr>
      <w:r>
        <w:t xml:space="preserve">αύξηση των συντάξεων με βάση τον ρυθμό μεταβολής του πληθωρισμού και του ΑΕΠ, με κόστος 424 εκατ. ευρώ για το 2024 και </w:t>
      </w:r>
      <w:r w:rsidRPr="00AB1BC4">
        <w:t>επιπλέον 398 εκατ. ευ</w:t>
      </w:r>
      <w:r>
        <w:t>ρώ για το 2025,</w:t>
      </w:r>
    </w:p>
    <w:p w14:paraId="4CB6E388" w14:textId="77777777" w:rsidR="002C3A9A" w:rsidRDefault="002C3A9A" w:rsidP="002C3A9A">
      <w:pPr>
        <w:numPr>
          <w:ilvl w:val="0"/>
          <w:numId w:val="1"/>
        </w:numPr>
        <w:spacing w:after="60" w:line="300" w:lineRule="auto"/>
        <w:ind w:left="568" w:hanging="284"/>
        <w:jc w:val="both"/>
      </w:pPr>
      <w:r>
        <w:t xml:space="preserve">αναμόρφωση του μισθολογίου στον δημόσιο τομέα από 01.01.2024, με την οποία αυξήθηκαν οι μισθοί όλων των δημοσίων υπαλλήλων, με ιδιαίτερη έμφαση στους χαμηλόμισθους υπαλλήλους, στους υπαλλήλους με παιδιά καθώς και στους υπαλλήλους που κατέχουν θέσεις ευθύνης. Το συνολικό ετήσιο μικτό κόστος (συμπεριλαμβανομένων των εργοδοτικών εισφορών) ανέρχεται σε 1.067 εκατ. ευρώ. Επιπλέον, από τον Απρίλιο 2025 θα πραγματοποιηθεί νέα αύξηση στους βασικούς μισθούς όλων των δημοσίων υπαλλήλων, έτσι ώστε ο εισαγωγικός μισθός στο Δημόσιο να μην υπολείπεται του επιπέδου του κατώτατου μισθού του ιδιωτικού τομέα. Το μικτό κόστος της νέας παρέμβασης για το 2025 εκτιμάται κατ’ αρχήν σε 143 εκατ. ευρώ περίπου. </w:t>
      </w:r>
      <w:r>
        <w:rPr>
          <w:rFonts w:cs="Calibri"/>
        </w:rPr>
        <w:t>Ωστόσο, σημειώνεται ότι το τελικό κόστος εξαρτάται από την τελική αύξηση του κατώτατου μισθού</w:t>
      </w:r>
      <w:r>
        <w:t>,</w:t>
      </w:r>
    </w:p>
    <w:p w14:paraId="1F43BCF6" w14:textId="77777777" w:rsidR="002C3A9A" w:rsidRDefault="002C3A9A" w:rsidP="002C3A9A">
      <w:pPr>
        <w:numPr>
          <w:ilvl w:val="0"/>
          <w:numId w:val="1"/>
        </w:numPr>
        <w:spacing w:after="60" w:line="300" w:lineRule="auto"/>
        <w:ind w:left="568" w:hanging="284"/>
        <w:jc w:val="both"/>
      </w:pPr>
      <w:r>
        <w:t>ενίσχυση του εισοδήματος των ιατρών του ΕΣΥ μέσω της αύξησης της αποζημίωσής τους για εφημερίες κατά 20% από 01.01.2024 με κόστος 45 εκατ. ευρώ καθώς και μέσω της θέσπισης από τον Σεπτέμβριο 2024 αυξημένου κινήτρου προσέλκυσης και παραμονής σε προβληματικές και άγονες περιοχές, με κόστος 5 εκατ. ευρώ για το 2024 και 16 εκατ. ευρώ για το 2025. Επιπλέον, από 01.01.2025 θεσπίζεται η αυτοτελής φορολόγηση της αποζημίωσης των εφημεριών των ιατρών του ΕΣΥ με συντελεστή 22%, με κόστος 40 εκατ. ευρώ,</w:t>
      </w:r>
    </w:p>
    <w:p w14:paraId="04B4FA12" w14:textId="77777777" w:rsidR="002C3A9A" w:rsidRDefault="002C3A9A" w:rsidP="002C3A9A">
      <w:pPr>
        <w:numPr>
          <w:ilvl w:val="0"/>
          <w:numId w:val="1"/>
        </w:numPr>
        <w:spacing w:after="60" w:line="300" w:lineRule="auto"/>
        <w:ind w:left="568" w:hanging="284"/>
        <w:jc w:val="both"/>
      </w:pPr>
      <w:r>
        <w:lastRenderedPageBreak/>
        <w:t>αύξηση από το 2024 της ειδικής αποζημίωσης για τα πληρώματα πλοίων του Πολεμικού Ναυτικού που βρίσκονται σε αποστολή και για το προσωπικό των Ενόπλων Δυνάμεων που εκτελεί ειδικές αποστολές, με κόστος 15 εκατ. ευρώ,</w:t>
      </w:r>
    </w:p>
    <w:p w14:paraId="2DEA29B4" w14:textId="77777777" w:rsidR="002C3A9A" w:rsidRDefault="002C3A9A" w:rsidP="002C3A9A">
      <w:pPr>
        <w:numPr>
          <w:ilvl w:val="0"/>
          <w:numId w:val="1"/>
        </w:numPr>
        <w:spacing w:before="60" w:after="60" w:line="300" w:lineRule="auto"/>
        <w:ind w:left="568" w:hanging="284"/>
        <w:jc w:val="both"/>
      </w:pPr>
      <w:r>
        <w:t>αύξηση από 01.01.2025 της αποζημίωσης για τη νυχτερινή απασχόληση του ένστολου προσωπικού (Ελληνική Αστυνομία - ΕΛΑΣ, Πυροσβεστικό Σώμα - ΠΣ, Λιμενικό Σώμα - Ελληνική Ακτοφυλακή - ΛΣ-ΕΛΑΚΤ, Ένοπλες Δυνάμεις), με κόστος 25 εκατ. ευρώ και</w:t>
      </w:r>
    </w:p>
    <w:p w14:paraId="0B4EBBD4" w14:textId="77777777" w:rsidR="002C3A9A" w:rsidRDefault="002C3A9A" w:rsidP="002C3A9A">
      <w:pPr>
        <w:numPr>
          <w:ilvl w:val="0"/>
          <w:numId w:val="1"/>
        </w:numPr>
        <w:spacing w:before="60" w:after="120" w:line="300" w:lineRule="auto"/>
        <w:ind w:left="568" w:hanging="284"/>
        <w:jc w:val="both"/>
      </w:pPr>
      <w:r>
        <w:t xml:space="preserve">αύξηση </w:t>
      </w:r>
      <w:r w:rsidRPr="008A2856">
        <w:t>των</w:t>
      </w:r>
      <w:r>
        <w:t xml:space="preserve"> αποδοχών των</w:t>
      </w:r>
      <w:r w:rsidRPr="008A2856">
        <w:t xml:space="preserve"> σπουδαστών στρατιωτικών σχολών</w:t>
      </w:r>
      <w:r>
        <w:t xml:space="preserve"> συνολικού κόστους</w:t>
      </w:r>
      <w:r w:rsidRPr="008A2856">
        <w:t xml:space="preserve"> 14 εκατ. ευρώ</w:t>
      </w:r>
      <w:r>
        <w:t xml:space="preserve"> και σ</w:t>
      </w:r>
      <w:r w:rsidRPr="008A2856">
        <w:t>υγκεκριμένα,</w:t>
      </w:r>
      <w:r>
        <w:t xml:space="preserve"> αύξηση: (α) </w:t>
      </w:r>
      <w:r w:rsidRPr="008A2856">
        <w:t>από 165 ευρώ σε 609 ευρώ μηνιαίως</w:t>
      </w:r>
      <w:r>
        <w:t xml:space="preserve"> των</w:t>
      </w:r>
      <w:r w:rsidRPr="008A2856">
        <w:t xml:space="preserve"> αποδοχ</w:t>
      </w:r>
      <w:r>
        <w:t>ών</w:t>
      </w:r>
      <w:r w:rsidRPr="008A2856">
        <w:t xml:space="preserve"> των σπουδαστών των Ανώτατων Στρατιωτικών Εκπαιδευτικών Ιδρυμάτων</w:t>
      </w:r>
      <w:r>
        <w:t xml:space="preserve"> και (β) </w:t>
      </w:r>
      <w:r w:rsidRPr="008A2856">
        <w:t>από 125 ευρώ σε 249 ευρώ μηνιαίως</w:t>
      </w:r>
      <w:r>
        <w:t xml:space="preserve"> των αποδοχών των </w:t>
      </w:r>
      <w:r w:rsidRPr="008A2856">
        <w:t>σπουδαστών των Ανώτατων Στρατιωτικών Σχολών Υπαξιωματικών.</w:t>
      </w:r>
    </w:p>
    <w:p w14:paraId="66887AE5" w14:textId="77777777" w:rsidR="002C3A9A" w:rsidRDefault="002C3A9A" w:rsidP="002C3A9A">
      <w:pPr>
        <w:jc w:val="both"/>
      </w:pPr>
      <w:r>
        <w:t xml:space="preserve">Επιπλέον, κατά τον μήνα Δεκέμβριο 2024 θα δοθούν ενισχύσεις ύψους 243 εκατ. ευρώ σε 1,9 εκατ. δικαιούχους περίπου, στους οποίους περιλαμβάνονται: (α) συνταξιούχοι με προσωπική διαφορά, οι οποίοι θα λάβουν ενίσχυση που κυμαίνεται από 100 έως 200 ευρώ, αναλόγως του ύψους της σύνταξής τους και για συντάξεις έως και 1.600 ευρώ, (β) δικαιούχοι επιδόματος παιδιού ΟΠΕΚΑ, οι οποίοι θα λάβουν μία επιπλέον μηναία δόση, (γ) δικαιούχοι επιδόματος </w:t>
      </w:r>
      <w:proofErr w:type="spellStart"/>
      <w:r>
        <w:t>ΑμεΑ</w:t>
      </w:r>
      <w:proofErr w:type="spellEnd"/>
      <w:r>
        <w:t xml:space="preserve"> ΟΠΕΚΑ και αναπηρικών επιδομάτων e-ΕΦΚΑ, οι οποίοι θα ενισχυθούν με 200 ευρώ, (δ) ανασφάλιστοι υπερήλικες, οι οποίοι θα λάβουν ενίσχυση 200 ευρώ και (ε) δικαιούχοι ελάχιστου εγγυημένου εισοδήματος, για τους οποίους προβλέπεται καταβολή προσαυξημένης μηνιαίας δόσης κατά 50%.</w:t>
      </w:r>
    </w:p>
    <w:p w14:paraId="1CDF9CF4" w14:textId="77777777" w:rsidR="002C3A9A" w:rsidRDefault="002C3A9A" w:rsidP="002C3A9A">
      <w:pPr>
        <w:jc w:val="both"/>
        <w:rPr>
          <w:rFonts w:cs="Calibri"/>
        </w:rPr>
      </w:pPr>
      <w:r>
        <w:t xml:space="preserve">Πέραν των προαναφερθεισών δημοσιονομικών παρεμβάσεων, σημαντική θέση επέχουν και θεσμικές παρεμβάσεις, όπως η περαιτέρω αύξηση του κατώτατου μισθού από τον Απρίλιο 2025, πλέον της αύξησής του κατά 6,4% (από 780 ευρώ σε 830 ευρώ) τον Απρίλιο 2024. Επισημαίνεται ότι η συνολική αύξηση του κατώτατου μισθού από το 2021 έως το 2024 ανήλθε σε 27,7% (από 650 ευρώ σε 830 ευρώ). </w:t>
      </w:r>
      <w:r>
        <w:rPr>
          <w:rFonts w:cs="Calibri"/>
        </w:rPr>
        <w:t xml:space="preserve">Επιπλέον, από τον Ιανουάριο 2024 «ξεπάγωσαν» οι τριετίες, απελευθερώνοντας τη μισθολογική εξέλιξη των μισθωτών του ιδιωτικού τομέα, ενώ η κατάργηση της μείωσης του 30% επί των συντάξεων των απασχολούμενων συνταξιούχων συμβάλλει στη σημαντική ενίσχυσή τους. Παράλληλα, είναι σε εξέλιξη η αναμόρφωση των κοινωνικών επιδομάτων, τόσο μέσω αυξήσεων του ύψους τους όσο και μέσω στόχευσης των σχετικών κριτηρίων </w:t>
      </w:r>
      <w:proofErr w:type="spellStart"/>
      <w:r>
        <w:rPr>
          <w:rFonts w:cs="Calibri"/>
        </w:rPr>
        <w:t>επιλεξιμότητας</w:t>
      </w:r>
      <w:proofErr w:type="spellEnd"/>
      <w:r>
        <w:rPr>
          <w:rFonts w:cs="Calibri"/>
        </w:rPr>
        <w:t>, λαμβανομένης με αυτόν τον τρόπο μέριμνας για αυτούς που πραγματικά το έχουν ανάγκη.</w:t>
      </w:r>
    </w:p>
    <w:p w14:paraId="4994F67C" w14:textId="77777777" w:rsidR="002C3A9A" w:rsidRDefault="002C3A9A" w:rsidP="002C3A9A">
      <w:pPr>
        <w:jc w:val="both"/>
        <w:rPr>
          <w:rFonts w:cs="Calibri"/>
        </w:rPr>
      </w:pPr>
      <w:r>
        <w:rPr>
          <w:rFonts w:cs="Calibri"/>
        </w:rPr>
        <w:t xml:space="preserve">Επιπλέον, αναπροσαρμόζεται η </w:t>
      </w:r>
      <w:r w:rsidRPr="0036462C">
        <w:rPr>
          <w:rFonts w:cs="Calibri"/>
        </w:rPr>
        <w:t xml:space="preserve">Εισφορά </w:t>
      </w:r>
      <w:r w:rsidRPr="001365AC">
        <w:rPr>
          <w:rFonts w:cs="Calibri"/>
        </w:rPr>
        <w:t>Αλληλεγγύης Συνταξιούχων, έτσι ώστε να</w:t>
      </w:r>
      <w:r>
        <w:rPr>
          <w:rFonts w:cs="Calibri"/>
        </w:rPr>
        <w:t xml:space="preserve"> αυξάνεται ετησίως το κατώφλι κάθε κλιμακίου αναλογικά με το ετήσιο ποσοστό αύξησης των συντάξεων, με γνώμονα τη διασφάλιση της ενίσχυσης των συνταξιούχων.</w:t>
      </w:r>
    </w:p>
    <w:p w14:paraId="72C0D593" w14:textId="77777777" w:rsidR="002C3A9A" w:rsidRDefault="002C3A9A" w:rsidP="002C3A9A">
      <w:pPr>
        <w:jc w:val="both"/>
      </w:pPr>
      <w:r>
        <w:t xml:space="preserve">Επίσης, η κυβέρνηση προχωρά σε σειρά σημαντικών παρεμβάσεων για την ενίσχυση των επενδύσεων, της ανάπτυξης και της καινοτομίας με γνώμονα τη δημιουργία καλά αμειβόμενων θέσεων εργασίας. Πέρα από τους σημαντικούς πόρους που διατίθενται μέσω του </w:t>
      </w:r>
      <w:r w:rsidRPr="002F7168">
        <w:t>αυξημένου ΑΠΔΕ, εισάγονται</w:t>
      </w:r>
      <w:r>
        <w:t xml:space="preserve"> σημαντικά κίνητρα για καινοτομία, συγχωνεύσεις και εξαγορές, μέσω παρεμβάσεων, εκτιμώμενου συνολικού δημοσιονομικού κόστους 41 εκατ. ευρώ ετησίως, ως ακολούθως:</w:t>
      </w:r>
    </w:p>
    <w:p w14:paraId="6ACE6322" w14:textId="77777777" w:rsidR="002C3A9A" w:rsidRDefault="002C3A9A" w:rsidP="002C3A9A">
      <w:pPr>
        <w:numPr>
          <w:ilvl w:val="0"/>
          <w:numId w:val="1"/>
        </w:numPr>
        <w:spacing w:before="120" w:after="60" w:line="300" w:lineRule="auto"/>
        <w:ind w:left="568" w:hanging="284"/>
        <w:jc w:val="both"/>
      </w:pPr>
      <w:r>
        <w:lastRenderedPageBreak/>
        <w:t>εισάγονται νέες περιπτώσεις χορήγησης προσαυξημένων ποσοστών έκπτωσης από τα ακαθάριστα έσοδα των επιχειρήσεων, που σήμερα ανέρχεται σε 200%, για δαπάνες επιστημονικής και τεχνολογικής έρευνας, που διαμορφώνεται έως και 315% για επενδύσεις σε μικρομεσαίες επιχειρήσεις έντασης γνώσης,</w:t>
      </w:r>
    </w:p>
    <w:p w14:paraId="0ABDFD93" w14:textId="77777777" w:rsidR="002C3A9A" w:rsidRDefault="002C3A9A" w:rsidP="002C3A9A">
      <w:pPr>
        <w:numPr>
          <w:ilvl w:val="0"/>
          <w:numId w:val="1"/>
        </w:numPr>
        <w:spacing w:before="60" w:after="60" w:line="300" w:lineRule="auto"/>
        <w:ind w:left="568" w:hanging="284"/>
        <w:jc w:val="both"/>
      </w:pPr>
      <w:r>
        <w:t>επεκτείνονται τα φορολογικά κίνητρα για εμπορική εκμετάλλευση ευρεσιτεχνίας (πατέντας), με περισσότερα έτη απαλλαγής των σχετικών κερδών από τον φόρο,</w:t>
      </w:r>
    </w:p>
    <w:p w14:paraId="35B5AB5F" w14:textId="77777777" w:rsidR="002C3A9A" w:rsidRDefault="002C3A9A" w:rsidP="002C3A9A">
      <w:pPr>
        <w:numPr>
          <w:ilvl w:val="0"/>
          <w:numId w:val="1"/>
        </w:numPr>
        <w:spacing w:before="60" w:after="60" w:line="300" w:lineRule="auto"/>
        <w:ind w:left="568" w:hanging="284"/>
        <w:jc w:val="both"/>
      </w:pPr>
      <w:r>
        <w:t>διευρύνονται τα φορολογικά κίνητρα για τους επενδυτές (</w:t>
      </w:r>
      <w:proofErr w:type="spellStart"/>
      <w:r>
        <w:t>angel</w:t>
      </w:r>
      <w:proofErr w:type="spellEnd"/>
      <w:r>
        <w:t xml:space="preserve"> </w:t>
      </w:r>
      <w:proofErr w:type="spellStart"/>
      <w:r>
        <w:t>investors</w:t>
      </w:r>
      <w:proofErr w:type="spellEnd"/>
      <w:r>
        <w:t>) με αύξηση του ορίου στις 900.000 ευρώ επί του κεφαλαίου που εισφέρουν σε νεοφυείς επιχειρήσεις,</w:t>
      </w:r>
    </w:p>
    <w:p w14:paraId="157C337B" w14:textId="77777777" w:rsidR="002C3A9A" w:rsidRDefault="002C3A9A" w:rsidP="002C3A9A">
      <w:pPr>
        <w:numPr>
          <w:ilvl w:val="0"/>
          <w:numId w:val="1"/>
        </w:numPr>
        <w:spacing w:before="60" w:after="60" w:line="300" w:lineRule="auto"/>
        <w:ind w:left="568" w:hanging="284"/>
        <w:jc w:val="both"/>
      </w:pPr>
      <w:r>
        <w:t>μειώνεται σε 100.000 ευρώ το ελάχιστο όριο εταιρικού κεφαλαίου της νέας εταιρείας που προκύπτει από συνεργασία/μετασχηματισμό, για την εξασφάλιση φοροαπαλλαγής 30% επί των κερδών και</w:t>
      </w:r>
    </w:p>
    <w:p w14:paraId="58CFB299" w14:textId="77777777" w:rsidR="002C3A9A" w:rsidRDefault="002C3A9A" w:rsidP="002C3A9A">
      <w:pPr>
        <w:numPr>
          <w:ilvl w:val="0"/>
          <w:numId w:val="1"/>
        </w:numPr>
        <w:spacing w:before="60" w:after="120" w:line="300" w:lineRule="auto"/>
        <w:ind w:left="568" w:hanging="284"/>
        <w:jc w:val="both"/>
      </w:pPr>
      <w:r>
        <w:t>θεσπίζεται η δυνατότητα μεταφοράς φορολογικής ζημίας μετασχηματιζόμενων επιχειρήσεων.</w:t>
      </w:r>
    </w:p>
    <w:p w14:paraId="33038B46" w14:textId="77777777" w:rsidR="002C3A9A" w:rsidRDefault="002C3A9A" w:rsidP="002C3A9A">
      <w:pPr>
        <w:jc w:val="both"/>
      </w:pPr>
      <w:r>
        <w:t>Επιπλέον, καταργείται η απαρχαιωμένη μορφή του χαρτοσήμου (από το 1931) και θεσπίζεται ψηφιακό τέλος συναλλαγών για συγκεκριμένο αριθμό συναλλαγών με σκοπό την απλοποίησή τους, τη μείωση της γραφειοκρατίας αλλά και τον αναπτυξιακό προσανατολισμό του μέτρου για εκατοντάδες συναλλαγές. Οι κυριότερες συναλλαγές για τις οποίες καταργείται το τέλος, αφορούν σε συμβατικούς τόκους επιχειρηματικών δανείων, ασφαλιστικές συναλλαγές, χρησιδάνεια, ενέγγυες πιστώσεις τραπεζών υπέρ εισαγωγέων, σύσταση και αύξηση κεφαλαίου μη κερδοσκοπικών νομικών προσώπων, διάφορες άδειες για άσκηση επαγγέλματος ή έναρξη δραστηριότητας, χρήση εγκαταστάσεων για βιομηχανικό σκοπό, άδειες λειτουργίας τουριστικού γραφείου και πλήθος άλλων συναλλαγών. Το δημοσιονομικό κόστος εκτιμάται σε 32 εκατ. ευρώ ετησίως.</w:t>
      </w:r>
    </w:p>
    <w:p w14:paraId="2A02C14A" w14:textId="77777777" w:rsidR="002C3A9A" w:rsidRDefault="002C3A9A" w:rsidP="002C3A9A">
      <w:pPr>
        <w:jc w:val="both"/>
      </w:pPr>
      <w:r>
        <w:t xml:space="preserve">Περαιτέρω, και προκειμένου να στραφεί το επενδυτικό ενδιαφέρον από επενδύσεις σε ακίνητα σε παραγωγικές επενδύσεις, θα χορηγείται από 01.01.2025 άδεια παραμονής υπό τη μορφή </w:t>
      </w:r>
      <w:proofErr w:type="spellStart"/>
      <w:r>
        <w:t>Golden</w:t>
      </w:r>
      <w:proofErr w:type="spellEnd"/>
      <w:r>
        <w:t xml:space="preserve"> </w:t>
      </w:r>
      <w:proofErr w:type="spellStart"/>
      <w:r>
        <w:t>Visa</w:t>
      </w:r>
      <w:proofErr w:type="spellEnd"/>
      <w:r>
        <w:t xml:space="preserve"> για επένδυση ποσού 250.000 ευρώ σε </w:t>
      </w:r>
      <w:proofErr w:type="spellStart"/>
      <w:r>
        <w:t>startup</w:t>
      </w:r>
      <w:proofErr w:type="spellEnd"/>
      <w:r>
        <w:t xml:space="preserve"> επιχείρηση, μέλος του Εθνικού Μητρώου Νεοφυών Επιχειρήσεων.</w:t>
      </w:r>
    </w:p>
    <w:p w14:paraId="46BE0AF3" w14:textId="77777777" w:rsidR="002C3A9A" w:rsidRDefault="002C3A9A" w:rsidP="002C3A9A">
      <w:pPr>
        <w:jc w:val="both"/>
      </w:pPr>
      <w:r>
        <w:t xml:space="preserve">Με σκοπό την ανάπτυξη της </w:t>
      </w:r>
      <w:proofErr w:type="spellStart"/>
      <w:r>
        <w:t>ψηφιοποίησης</w:t>
      </w:r>
      <w:proofErr w:type="spellEnd"/>
      <w:r>
        <w:t xml:space="preserve"> της ελληνικής οικονομίας και της </w:t>
      </w:r>
      <w:proofErr w:type="spellStart"/>
      <w:r>
        <w:t>ευρυζωνικότητας</w:t>
      </w:r>
      <w:proofErr w:type="spellEnd"/>
      <w:r>
        <w:t xml:space="preserve"> υψηλών ταχυτήτων μέσω οπτικών ινών, καταργείται το τέλος σταθερής τηλεφωνίας που ανέρχεται σε 5% για συνδέσεις με οπτική ίνα ταχυτήτων 100 </w:t>
      </w:r>
      <w:proofErr w:type="spellStart"/>
      <w:r>
        <w:t>mbps</w:t>
      </w:r>
      <w:proofErr w:type="spellEnd"/>
      <w:r>
        <w:t xml:space="preserve"> και άνω. Το δημοσιονομικό κόστος εκτιμάται σε 24 εκατ. ευρώ ετησίως.</w:t>
      </w:r>
    </w:p>
    <w:p w14:paraId="03B6E8AB" w14:textId="77777777" w:rsidR="002C3A9A" w:rsidRDefault="002C3A9A" w:rsidP="002C3A9A">
      <w:pPr>
        <w:jc w:val="both"/>
      </w:pPr>
      <w:r>
        <w:t xml:space="preserve">Επιπλέον, με σκοπό την ενίσχυση των λιμένων, των υποδομών των αντίστοιχων Δήμων που δέχονται υψηλό αριθμό τουριστών και του τουριστικού προϊόντος της χώρας εν γένει, επιβάλλεται τέλος κρουαζιέρας ανά επιβάτη κρουαζιερόπλοιου. Το ετήσιο όφελος εκτιμάται σε 52 εκατ. ευρώ. Τα έσοδα θα κατανέμονται κατά 1/3 στους Δήμους όπου αποβιβάζονται οι επιβάτες, κατά 1/3 θα εγγράφονται εις ύψος στον προϋπολογισμό του Υπουργείου Ναυτιλίας και Νησιωτικής Πολιτικής με σκοπό την εκτέλεση των απαραίτητων λιμενικών έργων και κατά 1/3 θα εγγράφονται εις ύψος στον προϋπολογισμό του Υπουργείου Τουρισμού για τη στήριξη του τουριστικού προϊόντος της χώρας. Επιπροσθέτως, σύμφωνα με τον ν.5131/2024 περί αναδιάρθρωσης της ΕΕΣΥΠ το 50% των εσόδων που εισπράττεται από </w:t>
      </w:r>
      <w:r>
        <w:lastRenderedPageBreak/>
        <w:t>συμβάσεις αξιοποίησης λιμένων και λιμενικών υποδομών, θα μπορεί να διατεθεί για την υλοποίηση έργων αναβάθμισης των λιμένων της χώρας, με επακόλουθο την περαιτέρω αναβάθμιση του τουριστικού προϊόντος αλλά και της καθημερινότητας των πολιτών.</w:t>
      </w:r>
    </w:p>
    <w:p w14:paraId="21FD6EC2" w14:textId="289E9A8E" w:rsidR="002C3A9A" w:rsidRPr="002C3A9A" w:rsidRDefault="002C3A9A" w:rsidP="002C3A9A">
      <w:pPr>
        <w:jc w:val="both"/>
      </w:pPr>
      <w:r w:rsidRPr="00AB1BC4">
        <w:t>Τέλος, η δημιουργία του νέου Εθνικού</w:t>
      </w:r>
      <w:r>
        <w:t xml:space="preserve"> Επενδυτικού Ταμείου (</w:t>
      </w:r>
      <w:proofErr w:type="spellStart"/>
      <w:r>
        <w:t>Growthfund</w:t>
      </w:r>
      <w:proofErr w:type="spellEnd"/>
      <w:r>
        <w:t>) ως νέου επενδυτικού εργαλείου, με αρχικά κεφάλαια ύψους 300 εκατ. ευρώ περίπου, αποσκοπεί στην ενίσχυση των επενδύσεων υψηλής προστιθέμενης αξίας για την ελληνική οικονομία.</w:t>
      </w:r>
    </w:p>
    <w:p w14:paraId="69B6A2E8" w14:textId="6BF77A8F" w:rsidR="008438E9" w:rsidRPr="007A1052" w:rsidRDefault="002C3A9A" w:rsidP="008438E9">
      <w:pPr>
        <w:pStyle w:val="4"/>
        <w:tabs>
          <w:tab w:val="left" w:pos="851"/>
        </w:tabs>
        <w:rPr>
          <w:rFonts w:asciiTheme="minorHAnsi" w:hAnsiTheme="minorHAnsi" w:cstheme="minorHAnsi"/>
          <w:color w:val="2F5496" w:themeColor="accent1" w:themeShade="BF"/>
        </w:rPr>
      </w:pPr>
      <w:r>
        <w:rPr>
          <w:rFonts w:asciiTheme="minorHAnsi" w:hAnsiTheme="minorHAnsi" w:cstheme="minorHAnsi"/>
          <w:color w:val="2F5496" w:themeColor="accent1" w:themeShade="BF"/>
        </w:rPr>
        <w:t>Π</w:t>
      </w:r>
      <w:r w:rsidR="008E68F6" w:rsidRPr="007A1052">
        <w:rPr>
          <w:rFonts w:asciiTheme="minorHAnsi" w:hAnsiTheme="minorHAnsi" w:cstheme="minorHAnsi"/>
          <w:color w:val="2F5496" w:themeColor="accent1" w:themeShade="BF"/>
        </w:rPr>
        <w:t xml:space="preserve">αρεμβάσεις αντιμετώπισης </w:t>
      </w:r>
      <w:r>
        <w:rPr>
          <w:rFonts w:asciiTheme="minorHAnsi" w:hAnsiTheme="minorHAnsi" w:cstheme="minorHAnsi"/>
          <w:color w:val="2F5496" w:themeColor="accent1" w:themeShade="BF"/>
        </w:rPr>
        <w:t>του δημογραφικού προβλήματος</w:t>
      </w:r>
    </w:p>
    <w:p w14:paraId="132DF2AD" w14:textId="77777777" w:rsidR="002C3A9A" w:rsidRDefault="002C3A9A" w:rsidP="002C3A9A">
      <w:pPr>
        <w:jc w:val="both"/>
        <w:rPr>
          <w:strike/>
        </w:rPr>
      </w:pPr>
      <w:r>
        <w:t>Το δημογραφικό αποτελεί ένα από τα σημαντικότερα προβλήματα που αντιμετωπίζει όχι μόνο η χώρα μας, αλλά ολόκληρη η Ευρώπη και οι υπόλοιπες αναπτυγμένες χώρες, γ</w:t>
      </w:r>
      <w:r>
        <w:rPr>
          <w:rFonts w:cs="Calibri"/>
        </w:rPr>
        <w:t xml:space="preserve">ια την αντιμετώπιση του οποίου απαιτούνται και υιοθετούνται τόσο δημοσιονομικά όσο και θεσμικά μέτρα. </w:t>
      </w:r>
      <w:r>
        <w:t>Συγκεκριμένα, πέρα από τις μόνιμες παρεμβάσεις των οποίων η υλοποίηση ξεκίνησε εντός της προηγούμενης τετραετίας (ενδεικτικά, καταβολή επιδόματος ύψους 2.000 ευρώ για κάθε παιδί που γεννιέται, αύξηση του αφορολόγητου για οικογένειες με παιδιά, επέκταση του επιδόματος μητρότητας ιδιωτικού τομέα από τους έξι στους εννέα μήνες, μείωση ΦΠΑ στα είδη βρεφικής ηλικίας κ.λπ.), υλοποιούνται από το 2024 και προβλέπονται για το 2025 σημαντικές δημοσιονομικές και θεσμικές παρεμβάσεις στο πλαίσιο του ευρύτερου Εθνικού Σχεδίου Δράσης για το Δημογραφικό.</w:t>
      </w:r>
    </w:p>
    <w:p w14:paraId="64C399AF" w14:textId="77777777" w:rsidR="002C3A9A" w:rsidRDefault="002C3A9A" w:rsidP="002C3A9A">
      <w:pPr>
        <w:jc w:val="both"/>
      </w:pPr>
      <w:r>
        <w:t>Ενδεικτικά, αναφέρονται τα παρακάτω μέτρα:</w:t>
      </w:r>
    </w:p>
    <w:p w14:paraId="3EEBA950" w14:textId="77777777" w:rsidR="002C3A9A" w:rsidRDefault="002C3A9A" w:rsidP="002C3A9A">
      <w:pPr>
        <w:numPr>
          <w:ilvl w:val="0"/>
          <w:numId w:val="1"/>
        </w:numPr>
        <w:spacing w:before="120" w:after="60" w:line="300" w:lineRule="auto"/>
        <w:ind w:left="568" w:hanging="284"/>
        <w:jc w:val="both"/>
      </w:pPr>
      <w:r>
        <w:t>αύξηση του επιδόματος γέννησης από 2.000 ευρώ σε 2.400 έως 3.500 ευρώ (αναλόγως του αριθμού των τέκνων) με αναδρομική ισχύ από 01.01.2023, με κόστος 90 εκατ. ευρώ για το 2024 και 45 εκατ. ευρώ για το 2025,</w:t>
      </w:r>
    </w:p>
    <w:p w14:paraId="71CB3AA0" w14:textId="77777777" w:rsidR="002C3A9A" w:rsidRDefault="002C3A9A" w:rsidP="002C3A9A">
      <w:pPr>
        <w:numPr>
          <w:ilvl w:val="0"/>
          <w:numId w:val="1"/>
        </w:numPr>
        <w:spacing w:before="60" w:after="60" w:line="300" w:lineRule="auto"/>
        <w:ind w:left="568" w:hanging="284"/>
        <w:jc w:val="both"/>
      </w:pPr>
      <w:r>
        <w:t>αύξηση του επιδόματος μητρότητας στους ελεύθερους επαγγελματίες και τους αγρότες από τους τέσσερις στους εννέα μήνες στο ύψος του κατώτατου μισθού από το 2024, με ετήσιο κόστος 43 εκατ. ευρώ,</w:t>
      </w:r>
    </w:p>
    <w:p w14:paraId="1C9500CA" w14:textId="77777777" w:rsidR="002C3A9A" w:rsidRDefault="002C3A9A" w:rsidP="002C3A9A">
      <w:pPr>
        <w:numPr>
          <w:ilvl w:val="0"/>
          <w:numId w:val="1"/>
        </w:numPr>
        <w:spacing w:before="60" w:after="60" w:line="300" w:lineRule="auto"/>
        <w:ind w:left="568" w:hanging="284"/>
        <w:jc w:val="both"/>
        <w:rPr>
          <w:rFonts w:cs="Calibri"/>
        </w:rPr>
      </w:pPr>
      <w:r>
        <w:rPr>
          <w:rFonts w:cs="Calibri"/>
        </w:rPr>
        <w:t xml:space="preserve">αύξηση του </w:t>
      </w:r>
      <w:r>
        <w:t>αφορολόγητου,</w:t>
      </w:r>
      <w:r>
        <w:rPr>
          <w:rFonts w:cs="Calibri"/>
        </w:rPr>
        <w:t xml:space="preserve"> από 01.01.2024, κατά 1.000 ευρώ για φορολογούμενους με εξαρτώμενα τέκνα, με ετήσιο κόστος 135 εκατ. ευρώ,</w:t>
      </w:r>
    </w:p>
    <w:p w14:paraId="1B4C182E" w14:textId="77777777" w:rsidR="002C3A9A" w:rsidRDefault="002C3A9A" w:rsidP="002C3A9A">
      <w:pPr>
        <w:numPr>
          <w:ilvl w:val="0"/>
          <w:numId w:val="1"/>
        </w:numPr>
        <w:spacing w:before="60" w:after="60" w:line="300" w:lineRule="auto"/>
        <w:ind w:left="568" w:hanging="284"/>
        <w:jc w:val="both"/>
        <w:rPr>
          <w:rFonts w:cs="Calibri"/>
        </w:rPr>
      </w:pPr>
      <w:r>
        <w:rPr>
          <w:rFonts w:cs="Calibri"/>
        </w:rPr>
        <w:t xml:space="preserve">αύξηση του οικογενειακού επιδόματος, από 01.01.2024, κατά 20 </w:t>
      </w:r>
      <w:r>
        <w:t>ευρώ</w:t>
      </w:r>
      <w:r>
        <w:rPr>
          <w:rFonts w:cs="Calibri"/>
        </w:rPr>
        <w:t xml:space="preserve"> για το πρώτο παιδί και κατά 50 ευρώ από το δεύτερο και για κάθε επιπλέον παιδί, στο πλαίσιο της αναμόρφωσης του μισθολογίου του δημόσιου τομέα, με ετήσιο κόστος 155 εκατ. ευρώ,</w:t>
      </w:r>
    </w:p>
    <w:p w14:paraId="51486B89" w14:textId="77777777" w:rsidR="002C3A9A" w:rsidRDefault="002C3A9A" w:rsidP="002C3A9A">
      <w:pPr>
        <w:numPr>
          <w:ilvl w:val="0"/>
          <w:numId w:val="1"/>
        </w:numPr>
        <w:spacing w:before="60" w:after="60" w:line="300" w:lineRule="auto"/>
        <w:ind w:left="568" w:hanging="284"/>
        <w:jc w:val="both"/>
      </w:pPr>
      <w:r>
        <w:t>κατάργηση από το 2025 του φόρου ασφαλίστρων συμβολαίων υγείας (15%) για παιδιά έως 18 ετών, με ετήσιο κόστος 17 εκατ. ευρώ,</w:t>
      </w:r>
    </w:p>
    <w:p w14:paraId="625243E7" w14:textId="77777777" w:rsidR="002C3A9A" w:rsidRDefault="002C3A9A" w:rsidP="002C3A9A">
      <w:pPr>
        <w:numPr>
          <w:ilvl w:val="0"/>
          <w:numId w:val="1"/>
        </w:numPr>
        <w:spacing w:before="60" w:after="60" w:line="300" w:lineRule="auto"/>
        <w:ind w:left="568" w:hanging="284"/>
        <w:jc w:val="both"/>
      </w:pPr>
      <w:r>
        <w:t>θέσπιση από το 2025 φοροαπαλλαγής για τις οικειοθελείς παροχές επιχειρήσεων υπέρ νέων γονέων καθώς και για παροχές που σχετίζονται με βρεφονηπιακούς σταθμούς, με ετήσιο κόστος 6 εκατ. ευρώ,</w:t>
      </w:r>
    </w:p>
    <w:p w14:paraId="0903ECA8" w14:textId="77777777" w:rsidR="002C3A9A" w:rsidRDefault="002C3A9A" w:rsidP="002C3A9A">
      <w:pPr>
        <w:numPr>
          <w:ilvl w:val="0"/>
          <w:numId w:val="1"/>
        </w:numPr>
        <w:spacing w:before="60" w:after="60" w:line="300" w:lineRule="auto"/>
        <w:ind w:left="568" w:hanging="284"/>
        <w:jc w:val="both"/>
        <w:rPr>
          <w:rFonts w:cs="Calibri"/>
        </w:rPr>
      </w:pPr>
      <w:r>
        <w:lastRenderedPageBreak/>
        <w:t>αύξηση</w:t>
      </w:r>
      <w:r>
        <w:rPr>
          <w:rFonts w:cs="Calibri"/>
        </w:rPr>
        <w:t xml:space="preserve"> από το νέο ακαδημαϊκό έτος του φοιτητικού στεγαστικού επιδόματος για τα περιφερειακά Πανεπιστήμια κατά 500 ευρώ, με κόστος 15 εκατ. ευρώ για το 2025 και</w:t>
      </w:r>
    </w:p>
    <w:p w14:paraId="769AA68B" w14:textId="77777777" w:rsidR="002C3A9A" w:rsidRDefault="002C3A9A" w:rsidP="002C3A9A">
      <w:pPr>
        <w:numPr>
          <w:ilvl w:val="0"/>
          <w:numId w:val="1"/>
        </w:numPr>
        <w:spacing w:before="60" w:after="120" w:line="300" w:lineRule="auto"/>
        <w:ind w:left="568" w:hanging="284"/>
        <w:jc w:val="both"/>
        <w:rPr>
          <w:rFonts w:cs="Calibri"/>
        </w:rPr>
      </w:pPr>
      <w:r>
        <w:rPr>
          <w:rFonts w:cs="Calibri"/>
        </w:rPr>
        <w:t xml:space="preserve">δημιουργία του νέου προγράμματος «Μαριέττα Γιαννάκου» στο εθνικό σκέλος </w:t>
      </w:r>
      <w:r w:rsidRPr="002F7168">
        <w:rPr>
          <w:rFonts w:cs="Calibri"/>
        </w:rPr>
        <w:t>του ΑΠΔΕ, ύψους</w:t>
      </w:r>
      <w:r>
        <w:rPr>
          <w:rFonts w:cs="Calibri"/>
        </w:rPr>
        <w:t xml:space="preserve"> 250 εκατ. ευρώ,</w:t>
      </w:r>
      <w:r w:rsidRPr="002F7168">
        <w:rPr>
          <w:rFonts w:cs="Calibri"/>
        </w:rPr>
        <w:t xml:space="preserve"> </w:t>
      </w:r>
      <w:r>
        <w:rPr>
          <w:rFonts w:cs="Calibri"/>
        </w:rPr>
        <w:t xml:space="preserve">με δυνατότητα προσέλκυσης επιπλέον ιδιωτικών πόρων, </w:t>
      </w:r>
      <w:r>
        <w:t>για</w:t>
      </w:r>
      <w:r>
        <w:rPr>
          <w:rFonts w:cs="Calibri"/>
        </w:rPr>
        <w:t xml:space="preserve"> την αναβάθμιση των σχολικών υποδομών της χώρας.</w:t>
      </w:r>
    </w:p>
    <w:p w14:paraId="25F42792" w14:textId="77777777" w:rsidR="002C3A9A" w:rsidRDefault="002C3A9A" w:rsidP="002C3A9A">
      <w:pPr>
        <w:spacing w:before="120"/>
        <w:jc w:val="both"/>
      </w:pPr>
      <w:r>
        <w:t>Συγχρόνως, υλοποιείται πλήθος άλλων προγραμμάτων, όπως τα προγράμματα για επιπλέον θέσεις σε βρεφονηπιακούς σταθμούς και η παροχή “</w:t>
      </w:r>
      <w:proofErr w:type="spellStart"/>
      <w:r>
        <w:t>voucher</w:t>
      </w:r>
      <w:proofErr w:type="spellEnd"/>
      <w:r>
        <w:t xml:space="preserve">” σε παιδικούς σταθμούς, ΚΔΑΠ και ΚΔΑΠ </w:t>
      </w:r>
      <w:proofErr w:type="spellStart"/>
      <w:r>
        <w:t>ΑμεΑ</w:t>
      </w:r>
      <w:proofErr w:type="spellEnd"/>
      <w:r>
        <w:t>, η ενίσχυση του πιλοτικού θεσμού «Νταντάδες της Γειτονιάς» και η εφαρμογή του προγράμματος «Πρώιμη Παρέμβαση» με σκοπό τη συμβουλευτική καθοδήγηση και ενδυνάμωση της οικογένειας για την ομαλή ένταξη των παιδιών (0 - 6 ετών) με αναπτυξιακή καθυστέρηση, διαταραχές, αναπηρίες ή κίνδυνο εμφάνισης αυτών. Τα εν λόγω προγράμματα χρηματοδοτούνται κυρίως από πόρους του ΕΣΠΑ 2021 - 2027 και του ΤΑΑ.</w:t>
      </w:r>
    </w:p>
    <w:p w14:paraId="229ED64C" w14:textId="77777777" w:rsidR="002C3A9A" w:rsidRDefault="002C3A9A" w:rsidP="002C3A9A">
      <w:pPr>
        <w:spacing w:before="120"/>
        <w:jc w:val="both"/>
        <w:rPr>
          <w:rFonts w:cs="Calibri"/>
        </w:rPr>
      </w:pPr>
      <w:r>
        <w:t xml:space="preserve">Παράλληλα, υλοποιούνται ιδιαίτερης σημασίας θεσμικά μέτρα που θα διευκολύνουν σημαντικά τις </w:t>
      </w:r>
      <w:proofErr w:type="spellStart"/>
      <w:r>
        <w:t>τρίτεκνες</w:t>
      </w:r>
      <w:proofErr w:type="spellEnd"/>
      <w:r>
        <w:t xml:space="preserve"> οικογένειες, όπως είναι η δια βίου ισχύς της ιδιότητας του </w:t>
      </w:r>
      <w:proofErr w:type="spellStart"/>
      <w:r>
        <w:t>τρίτεκνου</w:t>
      </w:r>
      <w:proofErr w:type="spellEnd"/>
      <w:r>
        <w:t>, η αύξηση της ποσόστωσης στις προσλήψεις στο Δημόσιο και η διεύρυνση των εισοδηματικών κριτηρίων για τη</w:t>
      </w:r>
      <w:r>
        <w:rPr>
          <w:rFonts w:cs="Calibri"/>
        </w:rPr>
        <w:t xml:space="preserve"> δυνατότητα μετεγγραφών </w:t>
      </w:r>
      <w:proofErr w:type="spellStart"/>
      <w:r>
        <w:rPr>
          <w:rFonts w:cs="Calibri"/>
        </w:rPr>
        <w:t>τρίτεκνων</w:t>
      </w:r>
      <w:proofErr w:type="spellEnd"/>
      <w:r>
        <w:rPr>
          <w:rFonts w:cs="Calibri"/>
        </w:rPr>
        <w:t xml:space="preserve"> και πολύτεκνων στην τριτοβάθμια εκπαίδευση. Επιπροσθέτως, σημαντικές παρεμβάσεις στο πλαίσιο του Εθνικού Σχεδίου Δράσης για το Δημογραφικό, οι οποίες συμβάλλουν στην ευαισθητοποίηση της κοινής γνώμης, αποτελούν οι δωρεάν έλεγχοι γονιμότητας, η δημιουργία του παρατηρητηρίου για το δημογραφικό και η πρόσβαση με ηλεκτρονική πληροφόρηση σε όλες τις παροχές που προσφέρει το Δημόσιο για οικογένειες με παιδιά.</w:t>
      </w:r>
    </w:p>
    <w:p w14:paraId="428FD54F" w14:textId="77777777" w:rsidR="002C3A9A" w:rsidRPr="0024402D" w:rsidRDefault="002C3A9A" w:rsidP="002C3A9A">
      <w:pPr>
        <w:jc w:val="both"/>
      </w:pPr>
      <w:r>
        <w:t>Τέλος, σημειώνεται ότι με το δημογραφικό πρόβλημα συνδέονται, πέρα από τα ανωτέρω μέτρα, και οι παρεμβάσεις ενίσχυσης του διαθέσιμου εισοδήματος καθώς και τα μέτρα αντιμετώπισης του στεγαστικού προβλήματος που περιγράφονται στη συνέχεια.</w:t>
      </w:r>
    </w:p>
    <w:p w14:paraId="44F753B9" w14:textId="788624EA" w:rsidR="00283714" w:rsidRDefault="00283714" w:rsidP="00283714">
      <w:pPr>
        <w:keepNext/>
        <w:tabs>
          <w:tab w:val="left" w:pos="851"/>
        </w:tabs>
        <w:spacing w:before="360" w:after="240" w:line="300" w:lineRule="auto"/>
        <w:jc w:val="both"/>
        <w:outlineLvl w:val="3"/>
        <w:rPr>
          <w:rFonts w:eastAsia="Times New Roman" w:cstheme="minorHAnsi"/>
          <w:b/>
          <w:color w:val="2F5496"/>
          <w:lang w:eastAsia="el-GR"/>
        </w:rPr>
      </w:pPr>
      <w:r w:rsidRPr="007A1052">
        <w:rPr>
          <w:rFonts w:eastAsia="Times New Roman" w:cstheme="minorHAnsi"/>
          <w:b/>
          <w:color w:val="2F5496"/>
          <w:lang w:eastAsia="el-GR"/>
        </w:rPr>
        <w:t xml:space="preserve">Παρεμβάσεις </w:t>
      </w:r>
      <w:r w:rsidR="002C3A9A">
        <w:rPr>
          <w:rFonts w:eastAsia="Times New Roman" w:cstheme="minorHAnsi"/>
          <w:b/>
          <w:color w:val="2F5496"/>
          <w:lang w:eastAsia="el-GR"/>
        </w:rPr>
        <w:t>αντιμετώπισης του στεγαστικού προβλήματος</w:t>
      </w:r>
    </w:p>
    <w:p w14:paraId="479834D7" w14:textId="77777777" w:rsidR="002C3A9A" w:rsidRDefault="002C3A9A" w:rsidP="002C3A9A">
      <w:pPr>
        <w:jc w:val="both"/>
        <w:rPr>
          <w:rFonts w:cs="Calibri"/>
          <w:shd w:val="clear" w:color="auto" w:fill="FFFFFF"/>
        </w:rPr>
      </w:pPr>
      <w:r>
        <w:t xml:space="preserve">Για την εύρεση προσιτής στέγασης και την αύξηση του αποθέματος διαθέσιμων κατοικιών </w:t>
      </w:r>
      <w:r>
        <w:rPr>
          <w:rFonts w:cs="Calibri"/>
          <w:shd w:val="clear" w:color="auto" w:fill="FFFFFF"/>
        </w:rPr>
        <w:t xml:space="preserve">υλοποιούνται </w:t>
      </w:r>
      <w:r>
        <w:t>κ</w:t>
      </w:r>
      <w:r>
        <w:rPr>
          <w:rFonts w:cs="Calibri"/>
          <w:shd w:val="clear" w:color="auto" w:fill="FFFFFF"/>
        </w:rPr>
        <w:t>ατά τη διάρκεια του 2024 σημαντικές παρεμβάσεις, όπως:</w:t>
      </w:r>
    </w:p>
    <w:p w14:paraId="353005C1" w14:textId="77777777" w:rsidR="002C3A9A" w:rsidRDefault="002C3A9A" w:rsidP="002C3A9A">
      <w:pPr>
        <w:numPr>
          <w:ilvl w:val="0"/>
          <w:numId w:val="1"/>
        </w:numPr>
        <w:spacing w:before="120" w:after="60" w:line="300" w:lineRule="auto"/>
        <w:ind w:left="568" w:hanging="284"/>
        <w:jc w:val="both"/>
        <w:rPr>
          <w:rFonts w:cs="Calibri"/>
          <w:shd w:val="clear" w:color="auto" w:fill="FFFFFF"/>
        </w:rPr>
      </w:pPr>
      <w:r>
        <w:rPr>
          <w:rFonts w:cs="Calibri"/>
          <w:shd w:val="clear" w:color="auto" w:fill="FFFFFF"/>
        </w:rPr>
        <w:t>το πρόγραμμα «ΣΠΙΤΙ μου» με παροχή χαμηλότοκου στεγαστικού δανείου για νέους ή ζευγάρια 25 - 39 ετών για την αγορά πρώτης κατοικίας, με συνολικό προϋπολογισμό 1 δισ. ευρώ,</w:t>
      </w:r>
    </w:p>
    <w:p w14:paraId="0E599B4D" w14:textId="77777777" w:rsidR="002C3A9A" w:rsidRDefault="002C3A9A" w:rsidP="002C3A9A">
      <w:pPr>
        <w:numPr>
          <w:ilvl w:val="0"/>
          <w:numId w:val="1"/>
        </w:numPr>
        <w:spacing w:before="60" w:after="60" w:line="300" w:lineRule="auto"/>
        <w:ind w:left="568" w:hanging="284"/>
        <w:jc w:val="both"/>
        <w:rPr>
          <w:rFonts w:cs="Calibri"/>
          <w:shd w:val="clear" w:color="auto" w:fill="FFFFFF"/>
        </w:rPr>
      </w:pPr>
      <w:r>
        <w:rPr>
          <w:rFonts w:cs="Calibri"/>
          <w:shd w:val="clear" w:color="auto" w:fill="FFFFFF"/>
        </w:rPr>
        <w:t xml:space="preserve">το </w:t>
      </w:r>
      <w:r>
        <w:t>πρόγραμμα</w:t>
      </w:r>
      <w:r>
        <w:rPr>
          <w:rFonts w:cs="Calibri"/>
          <w:shd w:val="clear" w:color="auto" w:fill="FFFFFF"/>
        </w:rPr>
        <w:t xml:space="preserve"> «Εξοικονομώ - Ανακαινίζω για νέους», με προϋπολογισμό 300 εκατ. ευρώ. Το σκέλος «Εξοικονομώ» συνίσταται στην παροχή κινήτρων για παρεμβάσεις εξοικονόμησης ενέργειας στον οικιακό κτηριακό τομέα και το σκέλος «Ανακαινίζω» συνίσταται στην παροχή κινήτρων για παρεμβάσεις αισθητικής, λειτουργικής ανακαίνισης και αναβάθμισης των κατοικιών, ως συμπληρωματικές των παρεμβάσεων εξοικονόμησης ενέργειας,</w:t>
      </w:r>
    </w:p>
    <w:p w14:paraId="1EA798D0" w14:textId="77777777" w:rsidR="002C3A9A" w:rsidRDefault="002C3A9A" w:rsidP="002C3A9A">
      <w:pPr>
        <w:numPr>
          <w:ilvl w:val="0"/>
          <w:numId w:val="1"/>
        </w:numPr>
        <w:spacing w:before="60" w:after="60" w:line="300" w:lineRule="auto"/>
        <w:ind w:left="568" w:hanging="284"/>
        <w:jc w:val="both"/>
        <w:rPr>
          <w:rFonts w:cs="Calibri"/>
          <w:shd w:val="clear" w:color="auto" w:fill="FFFFFF"/>
        </w:rPr>
      </w:pPr>
      <w:r>
        <w:rPr>
          <w:rFonts w:cs="Calibri"/>
          <w:shd w:val="clear" w:color="auto" w:fill="FFFFFF"/>
        </w:rPr>
        <w:lastRenderedPageBreak/>
        <w:t>το πρόγραμμα στεγαστικής συνδρομής «Κάλυψη», που υλοποιείται από τον ΟΠΕΚΑ με πόρους της ΔΥΠΑ, με το οποίο αξιοποιούνται ιδιωτικές κατοικίες για τη στέγαση ευάλωτων κοινωνικών ομάδων,</w:t>
      </w:r>
    </w:p>
    <w:p w14:paraId="1E9E341D" w14:textId="77777777" w:rsidR="002C3A9A" w:rsidRDefault="002C3A9A" w:rsidP="002C3A9A">
      <w:pPr>
        <w:numPr>
          <w:ilvl w:val="0"/>
          <w:numId w:val="1"/>
        </w:numPr>
        <w:spacing w:before="60" w:after="60" w:line="300" w:lineRule="auto"/>
        <w:ind w:left="568" w:hanging="284"/>
        <w:jc w:val="both"/>
        <w:rPr>
          <w:rFonts w:cs="Calibri"/>
          <w:shd w:val="clear" w:color="auto" w:fill="FFFFFF"/>
        </w:rPr>
      </w:pPr>
      <w:r>
        <w:rPr>
          <w:rFonts w:cs="Calibri"/>
          <w:shd w:val="clear" w:color="auto" w:fill="FFFFFF"/>
        </w:rPr>
        <w:t>το πρόγραμμα «Ανακαινίζω - Νοικιάζω» για κενά σπίτια που θα μισθωθούν σε μακροχρόνια μίσθωση, με αντικείμενο την επιδότηση της ανακαίνισης και της επισκευής τους, προκειμένου να αυξηθεί ο αριθμός των αξιοποιήσιμων κατοικιών,</w:t>
      </w:r>
    </w:p>
    <w:p w14:paraId="3641FA21" w14:textId="77777777" w:rsidR="002C3A9A" w:rsidRDefault="002C3A9A" w:rsidP="002C3A9A">
      <w:pPr>
        <w:numPr>
          <w:ilvl w:val="0"/>
          <w:numId w:val="1"/>
        </w:numPr>
        <w:spacing w:before="60" w:after="60" w:line="300" w:lineRule="auto"/>
        <w:ind w:left="568" w:hanging="284"/>
        <w:jc w:val="both"/>
        <w:rPr>
          <w:rFonts w:cs="Calibri"/>
          <w:shd w:val="clear" w:color="auto" w:fill="FFFFFF"/>
        </w:rPr>
      </w:pPr>
      <w:r>
        <w:t>μεγαλύτερη</w:t>
      </w:r>
      <w:r>
        <w:rPr>
          <w:rFonts w:cs="Calibri"/>
          <w:shd w:val="clear" w:color="auto" w:fill="FFFFFF"/>
        </w:rPr>
        <w:t xml:space="preserve"> μείωση του φόρου, από 40% σε 100%, για δαπάνες αναβάθμισης κτηρίων, στις οποίες λαμβάνονται υπόψη και οι δαπάνες αγοράς αγαθών,</w:t>
      </w:r>
    </w:p>
    <w:p w14:paraId="1C25834E" w14:textId="77777777" w:rsidR="002C3A9A" w:rsidRDefault="002C3A9A" w:rsidP="002C3A9A">
      <w:pPr>
        <w:numPr>
          <w:ilvl w:val="0"/>
          <w:numId w:val="1"/>
        </w:numPr>
        <w:spacing w:before="60" w:after="60" w:line="300" w:lineRule="auto"/>
        <w:ind w:left="568" w:hanging="284"/>
        <w:jc w:val="both"/>
        <w:rPr>
          <w:rFonts w:cs="Calibri"/>
          <w:shd w:val="clear" w:color="auto" w:fill="FFFFFF"/>
        </w:rPr>
      </w:pPr>
      <w:r>
        <w:rPr>
          <w:rFonts w:cs="Calibri"/>
          <w:shd w:val="clear" w:color="auto" w:fill="FFFFFF"/>
        </w:rPr>
        <w:t xml:space="preserve">επιβολή ΦΠΑ 13% και τέλους </w:t>
      </w:r>
      <w:proofErr w:type="spellStart"/>
      <w:r>
        <w:rPr>
          <w:rFonts w:cs="Calibri"/>
          <w:shd w:val="clear" w:color="auto" w:fill="FFFFFF"/>
        </w:rPr>
        <w:t>παρεπιδημούντων</w:t>
      </w:r>
      <w:proofErr w:type="spellEnd"/>
      <w:r>
        <w:rPr>
          <w:rFonts w:cs="Calibri"/>
          <w:shd w:val="clear" w:color="auto" w:fill="FFFFFF"/>
        </w:rPr>
        <w:t xml:space="preserve"> στις βραχυχρόνιες μισθώσεις ακινήτων (τύπου </w:t>
      </w:r>
      <w:proofErr w:type="spellStart"/>
      <w:r>
        <w:rPr>
          <w:rFonts w:cs="Calibri"/>
          <w:shd w:val="clear" w:color="auto" w:fill="FFFFFF"/>
        </w:rPr>
        <w:t>airbnb</w:t>
      </w:r>
      <w:proofErr w:type="spellEnd"/>
      <w:r>
        <w:rPr>
          <w:rFonts w:cs="Calibri"/>
          <w:shd w:val="clear" w:color="auto" w:fill="FFFFFF"/>
        </w:rPr>
        <w:t xml:space="preserve">) στα νομικά πρόσωπα και στα φυσικά πρόσωπα με τρία ή περισσότερα εκμισθωμένα διαμερίσματα και παράλληλη </w:t>
      </w:r>
      <w:proofErr w:type="spellStart"/>
      <w:r>
        <w:rPr>
          <w:rFonts w:cs="Calibri"/>
          <w:shd w:val="clear" w:color="auto" w:fill="FFFFFF"/>
        </w:rPr>
        <w:t>αυστηροποίηση</w:t>
      </w:r>
      <w:proofErr w:type="spellEnd"/>
      <w:r>
        <w:rPr>
          <w:rFonts w:cs="Calibri"/>
          <w:shd w:val="clear" w:color="auto" w:fill="FFFFFF"/>
        </w:rPr>
        <w:t xml:space="preserve"> του ορισμού της βραχυχρόνιας μίσθωσης, με στόχο τη ρύθμιση της αγοράς των βραχυχρόνιων μισθώσεων και την αντιμετώπιση των </w:t>
      </w:r>
      <w:r>
        <w:t>δευτερογενών</w:t>
      </w:r>
      <w:r>
        <w:rPr>
          <w:rFonts w:cs="Calibri"/>
          <w:shd w:val="clear" w:color="auto" w:fill="FFFFFF"/>
        </w:rPr>
        <w:t xml:space="preserve"> αρνητικών συνεπειών στις τιμές των ενοικίων και</w:t>
      </w:r>
    </w:p>
    <w:p w14:paraId="662B0D78" w14:textId="77777777" w:rsidR="002C3A9A" w:rsidRDefault="002C3A9A" w:rsidP="002C3A9A">
      <w:pPr>
        <w:numPr>
          <w:ilvl w:val="0"/>
          <w:numId w:val="1"/>
        </w:numPr>
        <w:spacing w:before="60" w:after="120" w:line="300" w:lineRule="auto"/>
        <w:ind w:left="568" w:hanging="284"/>
        <w:jc w:val="both"/>
        <w:rPr>
          <w:rFonts w:cs="Calibri"/>
          <w:shd w:val="clear" w:color="auto" w:fill="FFFFFF"/>
        </w:rPr>
      </w:pPr>
      <w:r>
        <w:rPr>
          <w:rFonts w:cs="Calibri"/>
          <w:shd w:val="clear" w:color="auto" w:fill="FFFFFF"/>
        </w:rPr>
        <w:t xml:space="preserve">περαιτέρω </w:t>
      </w:r>
      <w:proofErr w:type="spellStart"/>
      <w:r>
        <w:rPr>
          <w:rFonts w:cs="Calibri"/>
          <w:shd w:val="clear" w:color="auto" w:fill="FFFFFF"/>
        </w:rPr>
        <w:t>αυστηροποίηση</w:t>
      </w:r>
      <w:proofErr w:type="spellEnd"/>
      <w:r>
        <w:rPr>
          <w:rFonts w:cs="Calibri"/>
          <w:shd w:val="clear" w:color="auto" w:fill="FFFFFF"/>
        </w:rPr>
        <w:t xml:space="preserve"> των κριτηρίων για τη χορήγηση </w:t>
      </w:r>
      <w:proofErr w:type="spellStart"/>
      <w:r>
        <w:rPr>
          <w:rFonts w:cs="Calibri"/>
          <w:shd w:val="clear" w:color="auto" w:fill="FFFFFF"/>
        </w:rPr>
        <w:t>Golden</w:t>
      </w:r>
      <w:proofErr w:type="spellEnd"/>
      <w:r>
        <w:rPr>
          <w:rFonts w:cs="Calibri"/>
          <w:shd w:val="clear" w:color="auto" w:fill="FFFFFF"/>
        </w:rPr>
        <w:t xml:space="preserve"> </w:t>
      </w:r>
      <w:proofErr w:type="spellStart"/>
      <w:r>
        <w:rPr>
          <w:rFonts w:cs="Calibri"/>
          <w:shd w:val="clear" w:color="auto" w:fill="FFFFFF"/>
        </w:rPr>
        <w:t>Visa</w:t>
      </w:r>
      <w:proofErr w:type="spellEnd"/>
      <w:r>
        <w:rPr>
          <w:rFonts w:cs="Calibri"/>
          <w:shd w:val="clear" w:color="auto" w:fill="FFFFFF"/>
        </w:rPr>
        <w:t>. Το όριο αυξήθηκε σε 800.000 ευρώ από 500.000 ευρώ στην Αττική, τη Θεσσαλονίκη, τη Μύκονο, τη Σαντορίνη και τα νησιά με πληθυσμό άνω των 3.100 κατοίκων, ενώ στις υπόλοιπες περιοχές το όριο αυξήθηκε από 250.000 ευρώ σε 400.000 ευρώ.</w:t>
      </w:r>
    </w:p>
    <w:p w14:paraId="1CB08F09" w14:textId="77777777" w:rsidR="002C3A9A" w:rsidRDefault="002C3A9A" w:rsidP="002C3A9A">
      <w:pPr>
        <w:jc w:val="both"/>
        <w:rPr>
          <w:shd w:val="clear" w:color="auto" w:fill="FFFFFF"/>
        </w:rPr>
      </w:pPr>
      <w:r>
        <w:rPr>
          <w:shd w:val="clear" w:color="auto" w:fill="FFFFFF"/>
        </w:rPr>
        <w:t>Από το 2025 οι παρεμβάσεις επεκτείνονται και περιλαμβάνουν, πλην οικονομικών ενισχύσεων, κίνητρα για την αξιοποίηση των κενών σπιτιών. Συγκεκριμένα, οι κυριότερες παρεμβάσεις συνίστανται σε:</w:t>
      </w:r>
    </w:p>
    <w:p w14:paraId="3C6C08F6" w14:textId="77777777" w:rsidR="002C3A9A" w:rsidRDefault="002C3A9A" w:rsidP="002C3A9A">
      <w:pPr>
        <w:numPr>
          <w:ilvl w:val="0"/>
          <w:numId w:val="1"/>
        </w:numPr>
        <w:spacing w:before="120" w:after="60" w:line="300" w:lineRule="auto"/>
        <w:ind w:left="568" w:hanging="284"/>
        <w:jc w:val="both"/>
      </w:pPr>
      <w:r>
        <w:t>δημιουργία νέου προγράμματος «ΣΠΙΤΙ μου ΙΙ», με συνολικό προϋπολογισμό 2 δισ. ευρώ, εκ των οποίων 1 δισ. ευρώ χρηματοδοτείται από το δανειακό σκέλος του ΤΑΑ και 1 δισ. ευρώ από τις εμπορικές τράπεζες. Το επιτόκιο θα είναι μειωμένο κατά 50% από το τρέχον εμπορικό, καθώς το ποσό που χρηματοδοτείται από το ΤΑΑ θα είναι άτοκο. Τα ηλικιακά και εισοδηματικά κριτήρια διευρύνονται σε σχέση με το πρώτο πρόγραμμα «ΣΠΙΤΙ μου». Το πρόγραμμα θα καλύπτει φυσικά πρόσωπα και ζευγάρια ηλικίας 25 έως 50 ετών, με εισόδημα το οποίο κυμαίνεται από 10.000 ευρώ έως 20.000 ευρώ για τον άγαμο, ενώ για το ζευγάρι αυξάνεται σε 28.000 ευρώ με προσαύξηση 4.000 ευρώ για κάθε τέκνο,</w:t>
      </w:r>
    </w:p>
    <w:p w14:paraId="17A0A427" w14:textId="77777777" w:rsidR="002C3A9A" w:rsidRDefault="002C3A9A" w:rsidP="002C3A9A">
      <w:pPr>
        <w:numPr>
          <w:ilvl w:val="0"/>
          <w:numId w:val="1"/>
        </w:numPr>
        <w:spacing w:before="60" w:after="60" w:line="300" w:lineRule="auto"/>
        <w:ind w:left="568" w:hanging="284"/>
        <w:jc w:val="both"/>
      </w:pPr>
      <w:r>
        <w:t>δημιουργία νέου προγράμματος «Α</w:t>
      </w:r>
      <w:r w:rsidRPr="00447F64">
        <w:t xml:space="preserve">ναβαθμίζω το </w:t>
      </w:r>
      <w:r>
        <w:t>Σ</w:t>
      </w:r>
      <w:r w:rsidRPr="00447F64">
        <w:t>πίτι μου</w:t>
      </w:r>
      <w:r>
        <w:t>»</w:t>
      </w:r>
      <w:r w:rsidRPr="00447F64">
        <w:t xml:space="preserve"> με κύριο σκοπό την ενεργειακή βελτίωση</w:t>
      </w:r>
      <w:r>
        <w:t xml:space="preserve"> παλαιών κατοικιών</w:t>
      </w:r>
      <w:r w:rsidRPr="00447F64">
        <w:t>.</w:t>
      </w:r>
      <w:r>
        <w:t xml:space="preserve"> Προβλέπεται η χορήγηση δανείου έως 25.000 ευρώ με μηδενικό επιτόκιο και συνολικό προϋπολογισμό 400 εκατ. ευρώ, εκ των οποίων ποσό ύψους 300 εκατ</w:t>
      </w:r>
      <w:r w:rsidRPr="00447F64">
        <w:t>. ευρώ χρηματοδοτ</w:t>
      </w:r>
      <w:r>
        <w:t xml:space="preserve">είται </w:t>
      </w:r>
      <w:r w:rsidRPr="00447F64">
        <w:t>από το δανειακό σκέλος του ΤΑΑ και</w:t>
      </w:r>
      <w:r>
        <w:t xml:space="preserve"> ποσό ύψους</w:t>
      </w:r>
      <w:r w:rsidRPr="00447F64">
        <w:t xml:space="preserve"> </w:t>
      </w:r>
      <w:r>
        <w:t>100 εκατ</w:t>
      </w:r>
      <w:r w:rsidRPr="00447F64">
        <w:t>. ευρώ από τις εμπορικές τράπεζες</w:t>
      </w:r>
      <w:r>
        <w:t>,</w:t>
      </w:r>
    </w:p>
    <w:p w14:paraId="08C63D65" w14:textId="77777777" w:rsidR="002C3A9A" w:rsidRDefault="002C3A9A" w:rsidP="002C3A9A">
      <w:pPr>
        <w:numPr>
          <w:ilvl w:val="0"/>
          <w:numId w:val="1"/>
        </w:numPr>
        <w:spacing w:before="60" w:after="60" w:line="300" w:lineRule="auto"/>
        <w:ind w:left="568" w:hanging="284"/>
        <w:jc w:val="both"/>
      </w:pPr>
      <w:r>
        <w:t>απαλλαγή για τρία έτη από τον φόρο εισοδήματος των εισοδημάτων από ενοίκια ακινήτων εμβαδού έως 120 τ.μ., τα οποία θα εκμισθωθούν με μακροχρόνια μίσθωση, ενώ ήταν κενά ή σε βραχυχρόνια μίσθωση για τουλάχιστον τρία έτη. Το εκτιμώμενο κόστος για το 2025 ανέρχεται σε 3 εκατ. ευρώ και για τα έτη 2026 - 2028 σε 13 εκατ. ευρώ, κατ’ έτος,</w:t>
      </w:r>
    </w:p>
    <w:p w14:paraId="382DFB46" w14:textId="77777777" w:rsidR="002C3A9A" w:rsidRDefault="002C3A9A" w:rsidP="002C3A9A">
      <w:pPr>
        <w:numPr>
          <w:ilvl w:val="0"/>
          <w:numId w:val="1"/>
        </w:numPr>
        <w:spacing w:before="60" w:after="60" w:line="300" w:lineRule="auto"/>
        <w:ind w:left="568" w:hanging="284"/>
        <w:jc w:val="both"/>
      </w:pPr>
      <w:r>
        <w:lastRenderedPageBreak/>
        <w:t xml:space="preserve">απαγόρευση νέας βραχυχρόνιας μίσθωσης κατά τη διάρκεια του 2025 για διαμερίσματα που βρίσκονται στο πρώτο, δεύτερο και τρίτο δημοτικό διαμέρισμα του κέντρου της Αθήνας, λόγω του ιδιαίτερα υψηλού </w:t>
      </w:r>
      <w:r>
        <w:rPr>
          <w:rFonts w:cs="Calibri"/>
          <w:shd w:val="clear" w:color="auto" w:fill="FFFFFF"/>
        </w:rPr>
        <w:t>ποσοστού</w:t>
      </w:r>
      <w:r>
        <w:t xml:space="preserve"> των διαμερισμάτων που διατίθενται για βραχυχρόνια μίσθωση,</w:t>
      </w:r>
    </w:p>
    <w:p w14:paraId="570D6D04" w14:textId="77777777" w:rsidR="002C3A9A" w:rsidRDefault="002C3A9A" w:rsidP="002C3A9A">
      <w:pPr>
        <w:numPr>
          <w:ilvl w:val="0"/>
          <w:numId w:val="1"/>
        </w:numPr>
        <w:spacing w:before="60" w:after="60" w:line="300" w:lineRule="auto"/>
        <w:ind w:left="568" w:hanging="284"/>
        <w:jc w:val="both"/>
      </w:pPr>
      <w:r>
        <w:rPr>
          <w:rFonts w:cs="Calibri"/>
          <w:shd w:val="clear" w:color="auto" w:fill="FFFFFF"/>
        </w:rPr>
        <w:t xml:space="preserve">αύξηση </w:t>
      </w:r>
      <w:r>
        <w:t>του τέλους ανθεκτικότητας στην κλιματική κρίση για βραχυχρόνιες μισθώσεις, κατά τους μεν χειμερινούς μήνες από 0,5 ευρώ σε 2 ευρώ ανά διανυκτέρευση, κατά τους δε καλοκαιρινούς μήνες από 1,5 ευρώ σε 8 ευρώ ανά διανυκτέρευση,</w:t>
      </w:r>
    </w:p>
    <w:p w14:paraId="391C2252" w14:textId="77777777" w:rsidR="002C3A9A" w:rsidRDefault="002C3A9A" w:rsidP="002C3A9A">
      <w:pPr>
        <w:numPr>
          <w:ilvl w:val="0"/>
          <w:numId w:val="1"/>
        </w:numPr>
        <w:spacing w:before="60" w:after="60" w:line="300" w:lineRule="auto"/>
        <w:ind w:left="568" w:hanging="284"/>
        <w:jc w:val="both"/>
      </w:pPr>
      <w:r>
        <w:t>διπλασιασμός της μέγιστης επιδότησης του προγράμματος «Ανακαινίζω - Νοικιάζω» από το ποσό των 4.</w:t>
      </w:r>
      <w:r>
        <w:rPr>
          <w:rFonts w:cs="Calibri"/>
          <w:shd w:val="clear" w:color="auto" w:fill="FFFFFF"/>
        </w:rPr>
        <w:t>000</w:t>
      </w:r>
      <w:r>
        <w:t xml:space="preserve"> ευρώ στο ποσό των 8.000 ευρώ, η οποία θα καλύπτει το 60% έναντι του 40% των δαπανών. Το πρόγραμμα έχει προϋπολογισμό 50 εκατ. ευρώ και συγκεκριμένα, 25 εκατ. ευρώ για το 2024 και 25 εκατ. ευρώ για το 2025,</w:t>
      </w:r>
    </w:p>
    <w:p w14:paraId="075D84E6" w14:textId="77777777" w:rsidR="002C3A9A" w:rsidRDefault="002C3A9A" w:rsidP="002C3A9A">
      <w:pPr>
        <w:numPr>
          <w:ilvl w:val="0"/>
          <w:numId w:val="1"/>
        </w:numPr>
        <w:spacing w:before="60" w:after="60" w:line="300" w:lineRule="auto"/>
        <w:ind w:left="568" w:hanging="284"/>
        <w:jc w:val="both"/>
      </w:pPr>
      <w:r>
        <w:t xml:space="preserve">επέκταση για ένα ακόμα έτος (μέχρι το τέλος του 2025) της αναστολής του </w:t>
      </w:r>
      <w:r>
        <w:rPr>
          <w:rFonts w:cs="Calibri"/>
          <w:shd w:val="clear" w:color="auto" w:fill="FFFFFF"/>
        </w:rPr>
        <w:t>ΦΠΑ</w:t>
      </w:r>
      <w:r>
        <w:t xml:space="preserve"> στις νέες οικοδομές, με σκοπό την αύξηση των προς διάθεση κατοικιών, με ετήσιο κόστος 18 εκατ. ευρώ,</w:t>
      </w:r>
    </w:p>
    <w:p w14:paraId="29C02E9E" w14:textId="77777777" w:rsidR="002C3A9A" w:rsidRDefault="002C3A9A" w:rsidP="002C3A9A">
      <w:pPr>
        <w:numPr>
          <w:ilvl w:val="0"/>
          <w:numId w:val="1"/>
        </w:numPr>
        <w:spacing w:before="60" w:after="60" w:line="300" w:lineRule="auto"/>
        <w:ind w:left="568" w:hanging="284"/>
        <w:jc w:val="both"/>
      </w:pPr>
      <w:r>
        <w:rPr>
          <w:rFonts w:cs="Calibri"/>
          <w:shd w:val="clear" w:color="auto" w:fill="FFFFFF"/>
        </w:rPr>
        <w:t xml:space="preserve">αξιοποίηση </w:t>
      </w:r>
      <w:r>
        <w:t>ακινήτων του Δημοσίου μέσω διαγωνιστικών διαδικασιών, στο πλαίσιο του προγράμματος «Κοινωνική Αντιπαροχή», με δαπάνες του αναδόχου, ο οποίος έχει τη δυνατότητα εκμετάλλευσης του ακινήτου και παράλληλα την υποχρέωση εκμίσθωσής του και</w:t>
      </w:r>
    </w:p>
    <w:p w14:paraId="4CC92CAE" w14:textId="77777777" w:rsidR="002C3A9A" w:rsidRPr="00E4470F" w:rsidRDefault="002C3A9A" w:rsidP="002C3A9A">
      <w:pPr>
        <w:numPr>
          <w:ilvl w:val="0"/>
          <w:numId w:val="1"/>
        </w:numPr>
        <w:spacing w:before="60" w:after="360" w:line="300" w:lineRule="auto"/>
        <w:ind w:left="568" w:hanging="284"/>
        <w:jc w:val="both"/>
      </w:pPr>
      <w:r w:rsidRPr="00E4470F">
        <w:rPr>
          <w:rFonts w:cs="Calibri"/>
          <w:shd w:val="clear" w:color="auto" w:fill="FFFFFF"/>
        </w:rPr>
        <w:t xml:space="preserve">αύξηση του επιδόματος στέγασης, στο πλαίσιο της εν γένει αναμόρφωσης των επιδομάτων, από το ποσό των 70 ευρώ στο ποσό των 125 ευρώ και στο ποσό των 75 ευρώ, αναλόγως της εισοδηματικής κλίμακας, το οποίο προσαυξάνεται κατά 30% για κάθε τέκνο, ενώ παράλληλα εισάγονται και </w:t>
      </w:r>
      <w:proofErr w:type="spellStart"/>
      <w:r w:rsidRPr="00E4470F">
        <w:rPr>
          <w:rFonts w:cs="Calibri"/>
          <w:shd w:val="clear" w:color="auto" w:fill="FFFFFF"/>
        </w:rPr>
        <w:t>στοχευμένα</w:t>
      </w:r>
      <w:proofErr w:type="spellEnd"/>
      <w:r w:rsidRPr="00E4470F">
        <w:rPr>
          <w:rFonts w:cs="Calibri"/>
          <w:shd w:val="clear" w:color="auto" w:fill="FFFFFF"/>
        </w:rPr>
        <w:t xml:space="preserve"> περιουσιακά κριτήρια.</w:t>
      </w:r>
    </w:p>
    <w:p w14:paraId="218A764D" w14:textId="56C31929" w:rsidR="002C3A9A" w:rsidRDefault="002C3A9A" w:rsidP="002C3A9A">
      <w:pPr>
        <w:keepNext/>
        <w:tabs>
          <w:tab w:val="left" w:pos="851"/>
        </w:tabs>
        <w:spacing w:before="360" w:after="240" w:line="300" w:lineRule="auto"/>
        <w:outlineLvl w:val="3"/>
        <w:rPr>
          <w:rFonts w:eastAsia="Times New Roman" w:cstheme="minorHAnsi"/>
          <w:b/>
          <w:color w:val="2F5496"/>
          <w:lang w:eastAsia="el-GR"/>
        </w:rPr>
      </w:pPr>
      <w:r w:rsidRPr="002C3A9A">
        <w:rPr>
          <w:rFonts w:eastAsia="Times New Roman" w:cstheme="minorHAnsi"/>
          <w:b/>
          <w:color w:val="2F5496"/>
          <w:lang w:eastAsia="el-GR"/>
        </w:rPr>
        <w:t xml:space="preserve">Παρεμβάσεις </w:t>
      </w:r>
      <w:r>
        <w:rPr>
          <w:rFonts w:eastAsia="Times New Roman" w:cstheme="minorHAnsi"/>
          <w:b/>
          <w:color w:val="2F5496"/>
          <w:lang w:eastAsia="el-GR"/>
        </w:rPr>
        <w:t>για τις φυσικές καταστροφές</w:t>
      </w:r>
    </w:p>
    <w:p w14:paraId="1DCCE58E" w14:textId="77777777" w:rsidR="002C3A9A" w:rsidRDefault="002C3A9A" w:rsidP="002C3A9A">
      <w:pPr>
        <w:jc w:val="both"/>
      </w:pPr>
      <w:r>
        <w:t>Εκτός από τις προαναφερθείσες παρεμβάσεις με σκοπό την ενίσχυση του εισοδήματος και την αντιμετώπιση του δημογραφικού και του στεγαστικού προβλήματος, εφαρμόζεται πλήθος παρεμβάσεων για την αντιμετώπιση των οικονομικών επιπτώσεων από τις φυσικές καταστροφές, οι οποίες έχουν ενταθεί τα τελευταία χρόνια λόγω της κλιματικής αλλαγής.</w:t>
      </w:r>
    </w:p>
    <w:p w14:paraId="588F4B9B" w14:textId="77777777" w:rsidR="002C3A9A" w:rsidRDefault="002C3A9A" w:rsidP="002C3A9A">
      <w:pPr>
        <w:jc w:val="both"/>
      </w:pPr>
      <w:r>
        <w:t>Οι κυριότερες παρεμβάσεις είναι οι εξής:</w:t>
      </w:r>
    </w:p>
    <w:p w14:paraId="0C545D0B" w14:textId="77777777" w:rsidR="002C3A9A" w:rsidRDefault="002C3A9A" w:rsidP="002C3A9A">
      <w:pPr>
        <w:numPr>
          <w:ilvl w:val="0"/>
          <w:numId w:val="1"/>
        </w:numPr>
        <w:spacing w:before="120" w:after="60" w:line="300" w:lineRule="auto"/>
        <w:ind w:left="568" w:hanging="284"/>
        <w:jc w:val="both"/>
      </w:pPr>
      <w:r>
        <w:t>αύξηση από το 2025 του ποσοστού μείωσης του ΕΝΦΙΑ από 10% σε 20% για κατοικίες φυσικών προσώπων που ασφαλίζονται για φυσικές καταστροφές με φορολογητέα αξία έως 500.000 ευρώ. Οι κατοικίες με φορολογητέα αξία άνω των 500.000 ευρώ συνεχίζουν να έχουν έκπτωση 10%, όπως ίσχυε από 01.01.2024, χωρίς ωστόσο να αποζημιώνονται σε περίπτωση φυσικής καταστροφής μετά από την 01η.6.2025,</w:t>
      </w:r>
    </w:p>
    <w:p w14:paraId="1B821968" w14:textId="77777777" w:rsidR="002C3A9A" w:rsidRDefault="002C3A9A" w:rsidP="002C3A9A">
      <w:pPr>
        <w:numPr>
          <w:ilvl w:val="0"/>
          <w:numId w:val="1"/>
        </w:numPr>
        <w:spacing w:before="60" w:after="60" w:line="300" w:lineRule="auto"/>
        <w:ind w:left="568" w:hanging="284"/>
        <w:jc w:val="both"/>
      </w:pPr>
      <w:r>
        <w:t>κυμαινόμενη αύξηση από 0,5 ευρώ έως 5 ευρώ του τέλους ανθεκτικότητας στην κλιματική κρίση, από 01.01.2025, αναλόγως της κατηγορίας των ξενοδοχείων και καταλυμάτων, κατά τους μήνες από Απρίλιο έως Οκτώβριο και επέκταση κατά έναν μήνα (Μάρτιο) της περιόδου εφαρμογής του χαμηλού τέλους. Το ετήσιο όφελος από την εν λόγω μεταβολή υπολογίζεται σε 203 εκατ. ευρώ,</w:t>
      </w:r>
    </w:p>
    <w:p w14:paraId="69157D46" w14:textId="77777777" w:rsidR="002C3A9A" w:rsidRDefault="002C3A9A" w:rsidP="002C3A9A">
      <w:pPr>
        <w:numPr>
          <w:ilvl w:val="0"/>
          <w:numId w:val="1"/>
        </w:numPr>
        <w:spacing w:before="60" w:after="60" w:line="300" w:lineRule="auto"/>
        <w:ind w:left="568" w:hanging="284"/>
        <w:jc w:val="both"/>
      </w:pPr>
      <w:r>
        <w:lastRenderedPageBreak/>
        <w:t>υποχρέωση ασφάλισης για φυσικές καταστροφές: (α) από 01.6.2025 των επιχειρήσεων με κύκλο εργασιών άνω των 500.000 ευρώ και (β) από 01.01.2025 των οχημάτων ιδιωτικής και επαγγελματικής χρήσης, με την ανανέωση ή τη σύναψη νέου ασφαλιστήριου συμβολαίου και</w:t>
      </w:r>
    </w:p>
    <w:p w14:paraId="7873E61B" w14:textId="77777777" w:rsidR="002C3A9A" w:rsidRDefault="002C3A9A" w:rsidP="002C3A9A">
      <w:pPr>
        <w:numPr>
          <w:ilvl w:val="0"/>
          <w:numId w:val="1"/>
        </w:numPr>
        <w:spacing w:before="60" w:after="120" w:line="300" w:lineRule="auto"/>
        <w:ind w:left="568" w:hanging="284"/>
        <w:jc w:val="both"/>
      </w:pPr>
      <w:r>
        <w:t xml:space="preserve">συνέχιση της </w:t>
      </w:r>
      <w:proofErr w:type="spellStart"/>
      <w:r>
        <w:t>συμβασιοποίησης</w:t>
      </w:r>
      <w:proofErr w:type="spellEnd"/>
      <w:r>
        <w:t xml:space="preserve"> σχεδόν του συνόλου των έργων του «ΑΙΓΙΣ», ύψους 2,1 δισ. ευρώ και υλοποίηση του μεγαλύτερου μέρους των προγραμμάτων </w:t>
      </w:r>
      <w:proofErr w:type="spellStart"/>
      <w:r>
        <w:t>Anti-nero</w:t>
      </w:r>
      <w:proofErr w:type="spellEnd"/>
      <w:r>
        <w:t xml:space="preserve"> I και ΙΙ καθώς και του προγράμματος προστασίας δασών </w:t>
      </w:r>
      <w:proofErr w:type="spellStart"/>
      <w:r>
        <w:t>Anti-nero</w:t>
      </w:r>
      <w:proofErr w:type="spellEnd"/>
      <w:r>
        <w:t xml:space="preserve"> III, συνολικού ύψους 400 εκατ. ευρώ περίπου.</w:t>
      </w:r>
    </w:p>
    <w:p w14:paraId="121C2856" w14:textId="071A33ED" w:rsidR="002C3A9A" w:rsidRPr="005A1ABA" w:rsidRDefault="002C3A9A" w:rsidP="005A1ABA">
      <w:pPr>
        <w:spacing w:before="120"/>
        <w:jc w:val="both"/>
        <w:rPr>
          <w:highlight w:val="yellow"/>
        </w:rPr>
      </w:pPr>
      <w:r>
        <w:t>Τέλος, επιταχύνονται περαιτέρω οι πληρωμές στο πλαίσιο της κρατικής αρωγής και παράλληλα, συνεχίζεται η καταβολή των αποζημιώσεων μέσω του ΕΛΓΑ για την αποκατάσταση των φυσικών καταστροφών που προκάλεσε η πλημμύρα “</w:t>
      </w:r>
      <w:proofErr w:type="spellStart"/>
      <w:r>
        <w:t>Daniel</w:t>
      </w:r>
      <w:proofErr w:type="spellEnd"/>
      <w:r>
        <w:t xml:space="preserve">”, ιδίως στη Θεσσαλία, με διάθεση ποσού άνω των 600 εκατ. ευρώ εντός του τελευταίου τριμήνου του 2023 και κατά τη διάρκεια του 2024. Επιπροσθέτως, από τον προϋπολογισμό δημοσίων επενδύσεων χρηματοδοτούνται έργα υποδομών στη Θεσσαλία σχετιζόμενα με το οδικό δίκτυο και τον σιδηρόδρομο, ύψους άνω του 1 δισ. ευρώ, ενώ προβλέπεται νέο πρόγραμμα έργων ορεινής </w:t>
      </w:r>
      <w:proofErr w:type="spellStart"/>
      <w:r>
        <w:t>υδρονομίας</w:t>
      </w:r>
      <w:proofErr w:type="spellEnd"/>
      <w:r>
        <w:t xml:space="preserve">, με προϋπολογισμό ύψους 200 εκατ. ευρώ από </w:t>
      </w:r>
      <w:r w:rsidRPr="00BE61C1">
        <w:t>το ΑΠΔΕ</w:t>
      </w:r>
      <w:r>
        <w:t xml:space="preserve"> του Υπουργείου Περιβάλλοντος και Ενέργειας. Τα ανωτέρω είναι συμπληρωματικά των έργων που υλοποιούν οι ΟΤΑ α’ και β’ βαθμού καθώς και των λοιπών σχετικών έργων που προβλέπονται στο </w:t>
      </w:r>
      <w:r w:rsidRPr="00BE61C1">
        <w:t>ΑΠΔΕ.</w:t>
      </w:r>
      <w:bookmarkStart w:id="15" w:name="_Toc114489619"/>
      <w:bookmarkStart w:id="16" w:name="_Toc114489707"/>
      <w:bookmarkStart w:id="17" w:name="_Toc115338178"/>
      <w:bookmarkStart w:id="18" w:name="_Toc115358156"/>
      <w:bookmarkStart w:id="19" w:name="_Toc115424384"/>
      <w:bookmarkStart w:id="20" w:name="_Toc115435251"/>
      <w:bookmarkStart w:id="21" w:name="_Toc115437985"/>
      <w:bookmarkStart w:id="22" w:name="_Toc115358163"/>
      <w:bookmarkStart w:id="23" w:name="_Toc115424391"/>
      <w:bookmarkStart w:id="24" w:name="_Toc115435258"/>
      <w:bookmarkStart w:id="25" w:name="_Toc115437992"/>
      <w:bookmarkStart w:id="26" w:name="_Toc114219877"/>
      <w:bookmarkStart w:id="27" w:name="_Toc114234870"/>
      <w:bookmarkStart w:id="28" w:name="_Toc114489540"/>
      <w:bookmarkStart w:id="29" w:name="_Toc114489627"/>
      <w:bookmarkStart w:id="30" w:name="_Toc114489715"/>
      <w:bookmarkStart w:id="31" w:name="_Toc115338186"/>
      <w:bookmarkStart w:id="32" w:name="_Toc115358165"/>
      <w:bookmarkStart w:id="33" w:name="_Toc115424393"/>
      <w:bookmarkStart w:id="34" w:name="_Toc115435260"/>
      <w:bookmarkStart w:id="35" w:name="_Toc115437994"/>
      <w:bookmarkStart w:id="36" w:name="_Toc115526158"/>
      <w:bookmarkStart w:id="37" w:name="_Toc146645077"/>
      <w:bookmarkStart w:id="38" w:name="_Toc146819105"/>
      <w:bookmarkStart w:id="39" w:name="_Toc14701574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5B872ED" w14:textId="77777777" w:rsidR="000F58B8" w:rsidRDefault="000F58B8" w:rsidP="008438E9">
      <w:pPr>
        <w:jc w:val="both"/>
        <w:rPr>
          <w:rFonts w:cstheme="minorHAnsi"/>
          <w:b/>
          <w:color w:val="2F5496" w:themeColor="accent1" w:themeShade="BF"/>
        </w:rPr>
      </w:pPr>
    </w:p>
    <w:p w14:paraId="3FE6C909" w14:textId="541932A3" w:rsidR="008438E9" w:rsidRPr="007A1052" w:rsidRDefault="008438E9" w:rsidP="008438E9">
      <w:pPr>
        <w:jc w:val="both"/>
        <w:rPr>
          <w:rFonts w:cstheme="minorHAnsi"/>
          <w:b/>
          <w:color w:val="2F5496" w:themeColor="accent1" w:themeShade="BF"/>
        </w:rPr>
      </w:pPr>
      <w:r w:rsidRPr="007A1052">
        <w:rPr>
          <w:rFonts w:cstheme="minorHAnsi"/>
          <w:b/>
          <w:color w:val="2F5496" w:themeColor="accent1" w:themeShade="BF"/>
        </w:rPr>
        <w:t xml:space="preserve">ΔΗΜΟΣΙΟ ΧΡΕΟΣ </w:t>
      </w:r>
    </w:p>
    <w:p w14:paraId="1BE480C2" w14:textId="77777777" w:rsidR="005A1ABA" w:rsidRPr="00D5221A" w:rsidRDefault="005A1ABA" w:rsidP="005A1ABA">
      <w:pPr>
        <w:jc w:val="both"/>
      </w:pPr>
      <w:r w:rsidRPr="00D5221A">
        <w:t xml:space="preserve">Η πρόωρη αποπληρωμή των ευρωπαϊκών δανείων του </w:t>
      </w:r>
      <w:r>
        <w:t xml:space="preserve">μηχανισμού </w:t>
      </w:r>
      <w:r>
        <w:rPr>
          <w:lang w:val="en-US"/>
        </w:rPr>
        <w:t>Greek</w:t>
      </w:r>
      <w:r w:rsidRPr="00E2286A">
        <w:t xml:space="preserve"> </w:t>
      </w:r>
      <w:r>
        <w:rPr>
          <w:lang w:val="en-US"/>
        </w:rPr>
        <w:t>Loan</w:t>
      </w:r>
      <w:r w:rsidRPr="00E2286A">
        <w:t xml:space="preserve"> </w:t>
      </w:r>
      <w:r>
        <w:rPr>
          <w:lang w:val="en-US"/>
        </w:rPr>
        <w:t>Facility</w:t>
      </w:r>
      <w:r w:rsidRPr="00E2286A">
        <w:t xml:space="preserve"> </w:t>
      </w:r>
      <w:r>
        <w:t>(</w:t>
      </w:r>
      <w:r w:rsidRPr="00D5221A">
        <w:t>GLF</w:t>
      </w:r>
      <w:r>
        <w:t>)</w:t>
      </w:r>
      <w:r w:rsidRPr="00D5221A">
        <w:t>, τα οποία έχουν κυμαινόμενο επιτόκιο, αναμένεται να συνεχιστεί τον Δεκέμβριο 2024 με την αποπληρωμή δανείων που λήγουν τα έτη 2026, 2027 και 2028, συνολικού ύψους 7.935 εκατ. ευρώ. Έχουν προηγηθεί οι αποπληρωμές δανείων ύψους 5.290 εκατ. ευρώ τον Δεκέμβριο 2023 και 2.645 εκατ. ευρώ τον Δεκέμβριο 2022.</w:t>
      </w:r>
    </w:p>
    <w:p w14:paraId="6194F958" w14:textId="77777777" w:rsidR="005A1ABA" w:rsidRPr="00D5221A" w:rsidRDefault="005A1ABA" w:rsidP="00B77AE5">
      <w:pPr>
        <w:jc w:val="both"/>
      </w:pPr>
      <w:r w:rsidRPr="00D5221A">
        <w:t>Μετά την αναβάθμιση του αξιόχρεου του Ελληνικού Δημοσίου στην επενδυτική βαθμίδα (ΒΒΒ-) κατά τη διάρκεια του δε</w:t>
      </w:r>
      <w:r>
        <w:t>ύ</w:t>
      </w:r>
      <w:r w:rsidRPr="00D5221A">
        <w:t>τ</w:t>
      </w:r>
      <w:r>
        <w:t>ε</w:t>
      </w:r>
      <w:r w:rsidRPr="00D5221A">
        <w:t>ρου εξαμήνου του 2023 από τους οίκους αξιολόγησης DBRS</w:t>
      </w:r>
      <w:r>
        <w:t xml:space="preserve"> </w:t>
      </w:r>
      <w:r>
        <w:rPr>
          <w:lang w:val="en-US"/>
        </w:rPr>
        <w:t>Morningstar</w:t>
      </w:r>
      <w:r w:rsidRPr="00D5221A">
        <w:t xml:space="preserve">, Standard &amp; </w:t>
      </w:r>
      <w:proofErr w:type="spellStart"/>
      <w:r w:rsidRPr="00D5221A">
        <w:t>Poor’s</w:t>
      </w:r>
      <w:proofErr w:type="spellEnd"/>
      <w:r w:rsidRPr="00D5221A">
        <w:t xml:space="preserve">, </w:t>
      </w:r>
      <w:proofErr w:type="spellStart"/>
      <w:r w:rsidRPr="00D5221A">
        <w:t>Fitch</w:t>
      </w:r>
      <w:proofErr w:type="spellEnd"/>
      <w:r w:rsidRPr="00E2286A">
        <w:t xml:space="preserve"> </w:t>
      </w:r>
      <w:r>
        <w:rPr>
          <w:lang w:val="en-US"/>
        </w:rPr>
        <w:t>Ratings</w:t>
      </w:r>
      <w:r w:rsidRPr="00D5221A">
        <w:t xml:space="preserve">, R &amp; I και </w:t>
      </w:r>
      <w:proofErr w:type="spellStart"/>
      <w:r w:rsidRPr="00D5221A">
        <w:t>Scope</w:t>
      </w:r>
      <w:proofErr w:type="spellEnd"/>
      <w:r w:rsidRPr="00D5221A">
        <w:t xml:space="preserve"> καθώς επίσης και την αναβάθμιση από τη </w:t>
      </w:r>
      <w:proofErr w:type="spellStart"/>
      <w:r w:rsidRPr="00D5221A">
        <w:t>Moody’s</w:t>
      </w:r>
      <w:proofErr w:type="spellEnd"/>
      <w:r w:rsidRPr="00D5221A">
        <w:t xml:space="preserve"> στη βαθμίδα Ba1, ακολούθησε κατά τη διάρκεια του τρέχοντος έτους η αναβάθμιση των προοπτικών της ελληνικής οικονομίας από τους οίκους αξιολόγησης Standard &amp; </w:t>
      </w:r>
      <w:proofErr w:type="spellStart"/>
      <w:r w:rsidRPr="00D5221A">
        <w:t>Poor’s</w:t>
      </w:r>
      <w:proofErr w:type="spellEnd"/>
      <w:r w:rsidRPr="00D5221A">
        <w:t xml:space="preserve">, </w:t>
      </w:r>
      <w:proofErr w:type="spellStart"/>
      <w:r w:rsidRPr="00D5221A">
        <w:t>Scope</w:t>
      </w:r>
      <w:proofErr w:type="spellEnd"/>
      <w:r w:rsidRPr="00D5221A">
        <w:t xml:space="preserve">, DBRS </w:t>
      </w:r>
      <w:r>
        <w:rPr>
          <w:lang w:val="en-US"/>
        </w:rPr>
        <w:t>Morningstar</w:t>
      </w:r>
      <w:r w:rsidRPr="002E0F80">
        <w:t xml:space="preserve"> </w:t>
      </w:r>
      <w:r w:rsidRPr="00D5221A">
        <w:t xml:space="preserve">και </w:t>
      </w:r>
      <w:proofErr w:type="spellStart"/>
      <w:r w:rsidRPr="00D5221A">
        <w:t>Moody’s</w:t>
      </w:r>
      <w:proofErr w:type="spellEnd"/>
      <w:r w:rsidRPr="00D5221A">
        <w:t xml:space="preserve">. Το γεγονός αυτό </w:t>
      </w:r>
      <w:r>
        <w:t xml:space="preserve">καθιστά πιθανή </w:t>
      </w:r>
      <w:r w:rsidRPr="00D5221A">
        <w:t>μία νέα αναβάθμιση του αξιόχρεου του Ελληνικού Δημοσίου κατά τους προσεχείς μήνες.</w:t>
      </w:r>
    </w:p>
    <w:p w14:paraId="25330C94" w14:textId="77777777" w:rsidR="005A1ABA" w:rsidRPr="00D5221A" w:rsidRDefault="005A1ABA" w:rsidP="00B77AE5">
      <w:pPr>
        <w:jc w:val="both"/>
      </w:pPr>
      <w:r w:rsidRPr="00D5221A">
        <w:t>Οι χρηματοδοτικές ανάγκες του Ελληνικού Δημοσίου κατά τη διάρκεια του 2024 καλύφθηκαν κατά κύριο λόγο από κοινοπρακτικές εκδόσεις ομολόγων σταθερού επιτοκίου δεκαετούς και τριακονταετούς διάρκειας</w:t>
      </w:r>
      <w:r>
        <w:t>,</w:t>
      </w:r>
      <w:r w:rsidRPr="00D5221A">
        <w:t xml:space="preserve"> συνολικής ονομαστικής αξίας 7.000 εκατ. ευρώ. Επιπλέον, καλύφθηκαν από επανεκδόσεις μεσοπρόθεσμων και μακροπρόθεσμων ομολόγων μέσω δημοπρασίας συνολικής ονομαστικής αξίας </w:t>
      </w:r>
      <w:r w:rsidRPr="00EF7701">
        <w:t>2.300 εκατ. ευρώ</w:t>
      </w:r>
      <w:r>
        <w:t xml:space="preserve"> </w:t>
      </w:r>
      <w:r w:rsidRPr="00D5221A">
        <w:t xml:space="preserve">καθώς επίσης και από </w:t>
      </w:r>
      <w:proofErr w:type="spellStart"/>
      <w:r w:rsidRPr="00D5221A">
        <w:t>αναχρηματοδότηση</w:t>
      </w:r>
      <w:proofErr w:type="spellEnd"/>
      <w:r w:rsidRPr="00D5221A">
        <w:t xml:space="preserve"> βραχυπρόθεσμου χρέους</w:t>
      </w:r>
      <w:r>
        <w:t>. Παράλληλα, έλαβε χώρα</w:t>
      </w:r>
      <w:r w:rsidRPr="00D5221A">
        <w:t xml:space="preserve"> </w:t>
      </w:r>
      <w:r>
        <w:t xml:space="preserve">η </w:t>
      </w:r>
      <w:r w:rsidRPr="00D5221A">
        <w:t>εκταμίευση δόσης ύψους 2.327,2 εκατ. ευρώ στο πλαίσιο της δανειακής σύμβασης με την Ε</w:t>
      </w:r>
      <w:r>
        <w:t>Ε</w:t>
      </w:r>
      <w:r w:rsidRPr="00D5221A">
        <w:t xml:space="preserve"> για τον Μηχανισμό Ανάκαμψης και Σταθερότητας,</w:t>
      </w:r>
      <w:r>
        <w:t xml:space="preserve"> η οποία κατευθύνεται προς την κάλυψη των αντίστοιχων αναγκών χρηματοδότησης του δανειακού προγράμματος του ΤΑΑ</w:t>
      </w:r>
      <w:r w:rsidRPr="00D5221A">
        <w:t xml:space="preserve">. Ο βραχυπρόθεσμος </w:t>
      </w:r>
      <w:r w:rsidRPr="00D5221A">
        <w:lastRenderedPageBreak/>
        <w:t xml:space="preserve">δανεισμός του Ελληνικού Δημοσίου πραγματοποιήθηκε μέσω εκδόσεων </w:t>
      </w:r>
      <w:r>
        <w:t>έ</w:t>
      </w:r>
      <w:r w:rsidRPr="00D5221A">
        <w:t>ντ</w:t>
      </w:r>
      <w:r>
        <w:t>ο</w:t>
      </w:r>
      <w:r w:rsidRPr="00D5221A">
        <w:t xml:space="preserve">κων γραμματίων τρίμηνης, εξάμηνης και ετήσιας διάρκειας καθώς επίσης και μέσω πράξεων διαχείρισης ταμειακής ρευστότητας υπό τη μορφή </w:t>
      </w:r>
      <w:proofErr w:type="spellStart"/>
      <w:r w:rsidRPr="00D5221A">
        <w:t>repo</w:t>
      </w:r>
      <w:proofErr w:type="spellEnd"/>
      <w:r w:rsidRPr="00D5221A">
        <w:t xml:space="preserve"> </w:t>
      </w:r>
      <w:proofErr w:type="spellStart"/>
      <w:r w:rsidRPr="00D5221A">
        <w:t>agreements</w:t>
      </w:r>
      <w:proofErr w:type="spellEnd"/>
      <w:r w:rsidRPr="00D5221A">
        <w:t>, τις οποίες συνάπτει ο Οργανισμός Διαχείρισης Δημοσίου Χρέους (ΟΔΔΗΧ) για την αξιοποίηση των διαθεσίμων, κυρίως, των φορέων της Γενικής Κυβέρνησης.</w:t>
      </w:r>
    </w:p>
    <w:p w14:paraId="4685694B" w14:textId="77777777" w:rsidR="005A1ABA" w:rsidRPr="006953D8" w:rsidRDefault="005A1ABA" w:rsidP="005A1ABA">
      <w:pPr>
        <w:jc w:val="both"/>
      </w:pPr>
      <w:r w:rsidRPr="00D5221A">
        <w:t>Στις 3</w:t>
      </w:r>
      <w:r w:rsidRPr="001C7BA8">
        <w:t>0</w:t>
      </w:r>
      <w:r>
        <w:t>.</w:t>
      </w:r>
      <w:r w:rsidRPr="001C7BA8">
        <w:t>9</w:t>
      </w:r>
      <w:r>
        <w:t>.</w:t>
      </w:r>
      <w:r w:rsidRPr="00D5221A">
        <w:t>2024 το σύνολο των δανείων που έχουν χορηγηθεί από τον Μηχανισμό Στήριξης διαμορφώθηκε σε 226.790,1 εκατ. ευρώ, τα οποία μετά την πλήρη εξόφληση του Δ</w:t>
      </w:r>
      <w:r>
        <w:t>ΝΤ</w:t>
      </w:r>
      <w:r w:rsidRPr="00D5221A">
        <w:t xml:space="preserve"> συνίστανται αποκλειστικά σε ευρωπαϊκά δάνεια των κρατών μελών της Ευρωζώνης.</w:t>
      </w:r>
    </w:p>
    <w:p w14:paraId="2A4AB9E3" w14:textId="79B9CA31" w:rsidR="00416693" w:rsidRDefault="00CA421F" w:rsidP="00802032">
      <w:pPr>
        <w:spacing w:after="360" w:line="300" w:lineRule="auto"/>
        <w:jc w:val="both"/>
      </w:pPr>
      <w:r w:rsidRPr="00507F21">
        <w:t>Το χρέος της Γενικής Κυβέρνησης εκτιμάται ότι θα διαμορφωθεί στα 3</w:t>
      </w:r>
      <w:r w:rsidRPr="00286726">
        <w:t>65</w:t>
      </w:r>
      <w:r w:rsidRPr="00507F21">
        <w:t>.</w:t>
      </w:r>
      <w:r w:rsidRPr="00286726">
        <w:t>00</w:t>
      </w:r>
      <w:r>
        <w:t>0</w:t>
      </w:r>
      <w:r w:rsidRPr="00507F21">
        <w:t xml:space="preserve"> εκατ. ευρώ ή 1</w:t>
      </w:r>
      <w:r>
        <w:t>5</w:t>
      </w:r>
      <w:r w:rsidRPr="00286726">
        <w:t>4</w:t>
      </w:r>
      <w:r w:rsidRPr="00507F21">
        <w:t>,</w:t>
      </w:r>
      <w:r w:rsidRPr="00286726">
        <w:t>0</w:t>
      </w:r>
      <w:r w:rsidRPr="00507F21">
        <w:t>% ως ποσοστό του ΑΕΠ στο τέλος του 202</w:t>
      </w:r>
      <w:r>
        <w:t>4</w:t>
      </w:r>
      <w:r w:rsidRPr="00507F21">
        <w:t>, έναντι 3</w:t>
      </w:r>
      <w:r>
        <w:t>69</w:t>
      </w:r>
      <w:r w:rsidRPr="00507F21">
        <w:t>.</w:t>
      </w:r>
      <w:r>
        <w:t>099</w:t>
      </w:r>
      <w:r w:rsidRPr="00507F21">
        <w:t xml:space="preserve"> εκατ. ευρώ ή 1</w:t>
      </w:r>
      <w:r>
        <w:t>63</w:t>
      </w:r>
      <w:r w:rsidRPr="00507F21">
        <w:t>,</w:t>
      </w:r>
      <w:r>
        <w:t>9</w:t>
      </w:r>
      <w:r w:rsidRPr="00507F21">
        <w:t>% ως ποσοστό του ΑΕΠ το 202</w:t>
      </w:r>
      <w:r>
        <w:t>3</w:t>
      </w:r>
      <w:r w:rsidRPr="00507F21">
        <w:t xml:space="preserve">, παρουσιάζοντας μείωση κατά </w:t>
      </w:r>
      <w:r w:rsidRPr="00286726">
        <w:t>9</w:t>
      </w:r>
      <w:r w:rsidRPr="00507F21">
        <w:t>,</w:t>
      </w:r>
      <w:r w:rsidRPr="00286726">
        <w:t>9</w:t>
      </w:r>
      <w:r w:rsidRPr="00507F21">
        <w:t xml:space="preserve"> ποσοστιαίες μονάδες έναντι του 202</w:t>
      </w:r>
      <w:r>
        <w:t>3</w:t>
      </w:r>
      <w:r w:rsidRPr="00507F21">
        <w:t>. Το 202</w:t>
      </w:r>
      <w:r>
        <w:t>5</w:t>
      </w:r>
      <w:r w:rsidRPr="00507F21">
        <w:t xml:space="preserve"> το χρέος της Γενικής Κυβέρνησης προβλέπεται ότι θα διαμορφωθεί</w:t>
      </w:r>
      <w:r>
        <w:t>, επίσης,</w:t>
      </w:r>
      <w:r w:rsidRPr="00507F21">
        <w:t xml:space="preserve"> στα 3</w:t>
      </w:r>
      <w:r w:rsidRPr="00286726">
        <w:t>65</w:t>
      </w:r>
      <w:r w:rsidRPr="00507F21">
        <w:t>.</w:t>
      </w:r>
      <w:r w:rsidRPr="00286726">
        <w:t>000</w:t>
      </w:r>
      <w:r w:rsidRPr="00507F21">
        <w:t xml:space="preserve"> εκατ. </w:t>
      </w:r>
      <w:r w:rsidRPr="002377B2">
        <w:t>ευρώ</w:t>
      </w:r>
      <w:r>
        <w:t xml:space="preserve"> </w:t>
      </w:r>
      <w:r w:rsidRPr="00507F21">
        <w:t>ή 1</w:t>
      </w:r>
      <w:r>
        <w:t>47</w:t>
      </w:r>
      <w:r w:rsidRPr="00507F21">
        <w:t>,</w:t>
      </w:r>
      <w:r>
        <w:t>5</w:t>
      </w:r>
      <w:r w:rsidRPr="00507F21">
        <w:t xml:space="preserve">% ως ποσοστό του ΑΕΠ, παρουσιάζοντας μείωση κατά </w:t>
      </w:r>
      <w:r>
        <w:t>6</w:t>
      </w:r>
      <w:r w:rsidRPr="00507F21">
        <w:t>,</w:t>
      </w:r>
      <w:r>
        <w:t>5</w:t>
      </w:r>
      <w:r w:rsidRPr="00507F21">
        <w:t xml:space="preserve"> ποσοστιαίες μονάδες του ΑΕΠ έναντι του </w:t>
      </w:r>
      <w:r w:rsidRPr="002377B2">
        <w:t>2024</w:t>
      </w:r>
    </w:p>
    <w:tbl>
      <w:tblPr>
        <w:tblW w:w="9305" w:type="dxa"/>
        <w:jc w:val="center"/>
        <w:tblLook w:val="04A0" w:firstRow="1" w:lastRow="0" w:firstColumn="1" w:lastColumn="0" w:noHBand="0" w:noVBand="1"/>
      </w:tblPr>
      <w:tblGrid>
        <w:gridCol w:w="271"/>
        <w:gridCol w:w="5707"/>
        <w:gridCol w:w="1095"/>
        <w:gridCol w:w="1095"/>
        <w:gridCol w:w="1137"/>
      </w:tblGrid>
      <w:tr w:rsidR="00CA421F" w:rsidRPr="00A71934" w14:paraId="4C36F44C" w14:textId="77777777" w:rsidTr="00CA421F">
        <w:trPr>
          <w:cantSplit/>
          <w:trHeight w:val="450"/>
          <w:jc w:val="center"/>
        </w:trPr>
        <w:tc>
          <w:tcPr>
            <w:tcW w:w="9305" w:type="dxa"/>
            <w:gridSpan w:val="5"/>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000000" w:fill="D5DCE4"/>
            <w:vAlign w:val="center"/>
            <w:hideMark/>
          </w:tcPr>
          <w:p w14:paraId="2DEBDAD5" w14:textId="5608449C" w:rsidR="00CA421F" w:rsidRPr="00A71934" w:rsidRDefault="00CA421F" w:rsidP="006A71D3">
            <w:pPr>
              <w:spacing w:after="0"/>
              <w:jc w:val="center"/>
              <w:rPr>
                <w:rFonts w:cs="Arial"/>
                <w:b/>
                <w:bCs/>
                <w:sz w:val="18"/>
                <w:szCs w:val="18"/>
              </w:rPr>
            </w:pPr>
            <w:bookmarkStart w:id="40" w:name="_Toc182928667"/>
            <w:r w:rsidRPr="00A71934">
              <w:rPr>
                <w:rFonts w:cs="Arial"/>
                <w:b/>
                <w:bCs/>
                <w:sz w:val="18"/>
                <w:szCs w:val="18"/>
              </w:rPr>
              <w:t>Εξέλιξη δημόσιου χρέους Γενικής Κυβέρνησης</w:t>
            </w:r>
            <w:r w:rsidRPr="00A71934">
              <w:rPr>
                <w:rFonts w:cs="Arial"/>
                <w:b/>
                <w:bCs/>
                <w:sz w:val="18"/>
                <w:szCs w:val="18"/>
              </w:rPr>
              <w:br/>
              <w:t>(σε εκατ. ευρώ)</w:t>
            </w:r>
            <w:bookmarkEnd w:id="40"/>
          </w:p>
        </w:tc>
      </w:tr>
      <w:tr w:rsidR="00CA421F" w:rsidRPr="00A71934" w14:paraId="7F8EDE1A" w14:textId="77777777" w:rsidTr="00CA421F">
        <w:trPr>
          <w:cantSplit/>
          <w:trHeight w:val="450"/>
          <w:jc w:val="center"/>
        </w:trPr>
        <w:tc>
          <w:tcPr>
            <w:tcW w:w="9305" w:type="dxa"/>
            <w:gridSpan w:val="5"/>
            <w:vMerge/>
            <w:tcBorders>
              <w:left w:val="single" w:sz="4" w:space="0" w:color="808080" w:themeColor="background1" w:themeShade="80"/>
              <w:right w:val="single" w:sz="4" w:space="0" w:color="808080" w:themeColor="background1" w:themeShade="80"/>
            </w:tcBorders>
            <w:vAlign w:val="center"/>
            <w:hideMark/>
          </w:tcPr>
          <w:p w14:paraId="7346D60E" w14:textId="77777777" w:rsidR="00CA421F" w:rsidRPr="00A71934" w:rsidRDefault="00CA421F" w:rsidP="006A71D3">
            <w:pPr>
              <w:spacing w:after="0"/>
              <w:rPr>
                <w:rFonts w:cs="Arial"/>
                <w:b/>
                <w:bCs/>
                <w:sz w:val="18"/>
                <w:szCs w:val="18"/>
              </w:rPr>
            </w:pPr>
          </w:p>
        </w:tc>
      </w:tr>
      <w:tr w:rsidR="00CA421F" w:rsidRPr="00A71934" w14:paraId="45E763F0" w14:textId="77777777" w:rsidTr="001547E3">
        <w:trPr>
          <w:cantSplit/>
          <w:trHeight w:val="450"/>
          <w:jc w:val="center"/>
        </w:trPr>
        <w:tc>
          <w:tcPr>
            <w:tcW w:w="5978" w:type="dxa"/>
            <w:gridSpan w:val="2"/>
            <w:vMerge w:val="restart"/>
            <w:tcBorders>
              <w:left w:val="single" w:sz="4" w:space="0" w:color="808080" w:themeColor="background1" w:themeShade="80"/>
            </w:tcBorders>
            <w:shd w:val="clear" w:color="auto" w:fill="auto"/>
            <w:noWrap/>
            <w:vAlign w:val="center"/>
            <w:hideMark/>
          </w:tcPr>
          <w:p w14:paraId="26EB97F0" w14:textId="77777777" w:rsidR="00CA421F" w:rsidRPr="00A71934" w:rsidRDefault="00CA421F" w:rsidP="001547E3">
            <w:pPr>
              <w:spacing w:after="0" w:line="240" w:lineRule="auto"/>
              <w:jc w:val="center"/>
              <w:rPr>
                <w:rFonts w:ascii="Times New Roman" w:hAnsi="Times New Roman"/>
                <w:szCs w:val="20"/>
              </w:rPr>
            </w:pPr>
            <w:r w:rsidRPr="00A71934">
              <w:rPr>
                <w:rFonts w:ascii="Times New Roman" w:hAnsi="Times New Roman"/>
                <w:szCs w:val="20"/>
              </w:rPr>
              <w:t> </w:t>
            </w:r>
          </w:p>
        </w:tc>
        <w:tc>
          <w:tcPr>
            <w:tcW w:w="1095" w:type="dxa"/>
            <w:vMerge w:val="restart"/>
            <w:shd w:val="clear" w:color="auto" w:fill="auto"/>
            <w:noWrap/>
            <w:vAlign w:val="center"/>
            <w:hideMark/>
          </w:tcPr>
          <w:p w14:paraId="37309BD8" w14:textId="77777777" w:rsidR="00CA421F" w:rsidRPr="00A71934" w:rsidRDefault="00CA421F" w:rsidP="001547E3">
            <w:pPr>
              <w:spacing w:after="0" w:line="240" w:lineRule="auto"/>
              <w:jc w:val="center"/>
              <w:rPr>
                <w:rFonts w:cs="Arial"/>
                <w:b/>
                <w:bCs/>
                <w:sz w:val="16"/>
                <w:szCs w:val="16"/>
              </w:rPr>
            </w:pPr>
            <w:r w:rsidRPr="00A71934">
              <w:rPr>
                <w:rFonts w:cs="Arial"/>
                <w:b/>
                <w:bCs/>
                <w:sz w:val="16"/>
                <w:szCs w:val="16"/>
              </w:rPr>
              <w:t>2024*</w:t>
            </w:r>
          </w:p>
        </w:tc>
        <w:tc>
          <w:tcPr>
            <w:tcW w:w="1095" w:type="dxa"/>
            <w:vMerge w:val="restart"/>
            <w:shd w:val="clear" w:color="auto" w:fill="auto"/>
            <w:vAlign w:val="center"/>
            <w:hideMark/>
          </w:tcPr>
          <w:p w14:paraId="5ED77626" w14:textId="77777777" w:rsidR="00CA421F" w:rsidRPr="00A71934" w:rsidRDefault="00CA421F" w:rsidP="001547E3">
            <w:pPr>
              <w:spacing w:after="0" w:line="240" w:lineRule="auto"/>
              <w:jc w:val="center"/>
              <w:rPr>
                <w:rFonts w:cs="Arial"/>
                <w:b/>
                <w:bCs/>
                <w:sz w:val="16"/>
                <w:szCs w:val="16"/>
              </w:rPr>
            </w:pPr>
            <w:r w:rsidRPr="00A71934">
              <w:rPr>
                <w:rFonts w:cs="Arial"/>
                <w:b/>
                <w:bCs/>
                <w:sz w:val="16"/>
                <w:szCs w:val="16"/>
              </w:rPr>
              <w:t>2025**</w:t>
            </w:r>
          </w:p>
        </w:tc>
        <w:tc>
          <w:tcPr>
            <w:tcW w:w="1137" w:type="dxa"/>
            <w:vMerge w:val="restart"/>
            <w:tcBorders>
              <w:right w:val="single" w:sz="4" w:space="0" w:color="808080" w:themeColor="background1" w:themeShade="80"/>
            </w:tcBorders>
            <w:shd w:val="clear" w:color="auto" w:fill="auto"/>
            <w:vAlign w:val="center"/>
            <w:hideMark/>
          </w:tcPr>
          <w:p w14:paraId="0ADC70FE" w14:textId="77777777" w:rsidR="00CA421F" w:rsidRPr="00A71934" w:rsidRDefault="00CA421F" w:rsidP="001547E3">
            <w:pPr>
              <w:spacing w:after="0" w:line="240" w:lineRule="auto"/>
              <w:jc w:val="center"/>
              <w:rPr>
                <w:rFonts w:cs="Arial"/>
                <w:b/>
                <w:bCs/>
                <w:sz w:val="16"/>
                <w:szCs w:val="16"/>
              </w:rPr>
            </w:pPr>
            <w:r w:rsidRPr="00A71934">
              <w:rPr>
                <w:rFonts w:cs="Arial"/>
                <w:b/>
                <w:bCs/>
                <w:sz w:val="16"/>
                <w:szCs w:val="16"/>
              </w:rPr>
              <w:t>Διαφορά 2025-2024</w:t>
            </w:r>
          </w:p>
        </w:tc>
      </w:tr>
      <w:tr w:rsidR="00CA421F" w:rsidRPr="00A71934" w14:paraId="4DD9F87F" w14:textId="77777777" w:rsidTr="001547E3">
        <w:trPr>
          <w:cantSplit/>
          <w:trHeight w:val="450"/>
          <w:jc w:val="center"/>
        </w:trPr>
        <w:tc>
          <w:tcPr>
            <w:tcW w:w="5978" w:type="dxa"/>
            <w:gridSpan w:val="2"/>
            <w:vMerge/>
            <w:tcBorders>
              <w:left w:val="single" w:sz="4" w:space="0" w:color="808080" w:themeColor="background1" w:themeShade="80"/>
            </w:tcBorders>
            <w:vAlign w:val="center"/>
            <w:hideMark/>
          </w:tcPr>
          <w:p w14:paraId="58F1D9B5" w14:textId="77777777" w:rsidR="00CA421F" w:rsidRPr="00A71934" w:rsidRDefault="00CA421F" w:rsidP="001547E3">
            <w:pPr>
              <w:spacing w:after="0" w:line="240" w:lineRule="auto"/>
              <w:rPr>
                <w:rFonts w:ascii="Times New Roman" w:hAnsi="Times New Roman"/>
                <w:szCs w:val="20"/>
              </w:rPr>
            </w:pPr>
          </w:p>
        </w:tc>
        <w:tc>
          <w:tcPr>
            <w:tcW w:w="1095" w:type="dxa"/>
            <w:vMerge/>
            <w:vAlign w:val="center"/>
            <w:hideMark/>
          </w:tcPr>
          <w:p w14:paraId="5139E7B1" w14:textId="77777777" w:rsidR="00CA421F" w:rsidRPr="00A71934" w:rsidRDefault="00CA421F" w:rsidP="001547E3">
            <w:pPr>
              <w:spacing w:after="0" w:line="240" w:lineRule="auto"/>
              <w:jc w:val="center"/>
              <w:rPr>
                <w:rFonts w:cs="Arial"/>
                <w:b/>
                <w:bCs/>
                <w:sz w:val="16"/>
                <w:szCs w:val="16"/>
              </w:rPr>
            </w:pPr>
          </w:p>
        </w:tc>
        <w:tc>
          <w:tcPr>
            <w:tcW w:w="1095" w:type="dxa"/>
            <w:vMerge/>
            <w:vAlign w:val="center"/>
            <w:hideMark/>
          </w:tcPr>
          <w:p w14:paraId="357A6391" w14:textId="77777777" w:rsidR="00CA421F" w:rsidRPr="00A71934" w:rsidRDefault="00CA421F" w:rsidP="001547E3">
            <w:pPr>
              <w:spacing w:after="0" w:line="240" w:lineRule="auto"/>
              <w:jc w:val="center"/>
              <w:rPr>
                <w:rFonts w:cs="Arial"/>
                <w:b/>
                <w:bCs/>
                <w:sz w:val="16"/>
                <w:szCs w:val="16"/>
              </w:rPr>
            </w:pPr>
          </w:p>
        </w:tc>
        <w:tc>
          <w:tcPr>
            <w:tcW w:w="1137" w:type="dxa"/>
            <w:vMerge/>
            <w:tcBorders>
              <w:right w:val="single" w:sz="4" w:space="0" w:color="808080" w:themeColor="background1" w:themeShade="80"/>
            </w:tcBorders>
            <w:vAlign w:val="center"/>
            <w:hideMark/>
          </w:tcPr>
          <w:p w14:paraId="334A8B97" w14:textId="77777777" w:rsidR="00CA421F" w:rsidRPr="00A71934" w:rsidRDefault="00CA421F" w:rsidP="001547E3">
            <w:pPr>
              <w:spacing w:after="0" w:line="240" w:lineRule="auto"/>
              <w:jc w:val="center"/>
              <w:rPr>
                <w:rFonts w:cs="Arial"/>
                <w:b/>
                <w:bCs/>
                <w:sz w:val="16"/>
                <w:szCs w:val="16"/>
              </w:rPr>
            </w:pPr>
          </w:p>
        </w:tc>
      </w:tr>
      <w:tr w:rsidR="00CA421F" w:rsidRPr="00A71934" w14:paraId="661EA84A" w14:textId="77777777" w:rsidTr="001547E3">
        <w:trPr>
          <w:cantSplit/>
          <w:trHeight w:val="20"/>
          <w:jc w:val="center"/>
        </w:trPr>
        <w:tc>
          <w:tcPr>
            <w:tcW w:w="5978" w:type="dxa"/>
            <w:gridSpan w:val="2"/>
            <w:vMerge/>
            <w:tcBorders>
              <w:left w:val="single" w:sz="4" w:space="0" w:color="808080" w:themeColor="background1" w:themeShade="80"/>
              <w:bottom w:val="single" w:sz="4" w:space="0" w:color="808080" w:themeColor="background1" w:themeShade="80"/>
            </w:tcBorders>
            <w:vAlign w:val="center"/>
            <w:hideMark/>
          </w:tcPr>
          <w:p w14:paraId="3E1EF568" w14:textId="77777777" w:rsidR="00CA421F" w:rsidRPr="00A71934" w:rsidRDefault="00CA421F" w:rsidP="001547E3">
            <w:pPr>
              <w:spacing w:after="0" w:line="240" w:lineRule="auto"/>
              <w:rPr>
                <w:rFonts w:ascii="Times New Roman" w:hAnsi="Times New Roman"/>
                <w:szCs w:val="20"/>
              </w:rPr>
            </w:pPr>
          </w:p>
        </w:tc>
        <w:tc>
          <w:tcPr>
            <w:tcW w:w="1095" w:type="dxa"/>
            <w:tcBorders>
              <w:bottom w:val="single" w:sz="4" w:space="0" w:color="808080" w:themeColor="background1" w:themeShade="80"/>
            </w:tcBorders>
            <w:shd w:val="clear" w:color="auto" w:fill="auto"/>
            <w:noWrap/>
            <w:vAlign w:val="center"/>
            <w:hideMark/>
          </w:tcPr>
          <w:p w14:paraId="44B96562" w14:textId="77777777" w:rsidR="00CA421F" w:rsidRPr="00A71934" w:rsidRDefault="00CA421F" w:rsidP="001547E3">
            <w:pPr>
              <w:spacing w:after="0" w:line="240" w:lineRule="auto"/>
              <w:jc w:val="center"/>
              <w:rPr>
                <w:rFonts w:cs="Arial"/>
                <w:b/>
                <w:bCs/>
                <w:sz w:val="16"/>
                <w:szCs w:val="16"/>
              </w:rPr>
            </w:pPr>
            <w:r w:rsidRPr="00A71934">
              <w:rPr>
                <w:rFonts w:cs="Arial"/>
                <w:b/>
                <w:bCs/>
                <w:sz w:val="16"/>
                <w:szCs w:val="16"/>
              </w:rPr>
              <w:t>(1)</w:t>
            </w:r>
          </w:p>
        </w:tc>
        <w:tc>
          <w:tcPr>
            <w:tcW w:w="1095" w:type="dxa"/>
            <w:tcBorders>
              <w:bottom w:val="single" w:sz="4" w:space="0" w:color="808080" w:themeColor="background1" w:themeShade="80"/>
            </w:tcBorders>
            <w:shd w:val="clear" w:color="auto" w:fill="auto"/>
            <w:vAlign w:val="center"/>
            <w:hideMark/>
          </w:tcPr>
          <w:p w14:paraId="177328D6" w14:textId="77777777" w:rsidR="00CA421F" w:rsidRPr="00A71934" w:rsidRDefault="00CA421F" w:rsidP="001547E3">
            <w:pPr>
              <w:spacing w:after="0" w:line="240" w:lineRule="auto"/>
              <w:jc w:val="center"/>
              <w:rPr>
                <w:rFonts w:cs="Arial"/>
                <w:b/>
                <w:bCs/>
                <w:sz w:val="16"/>
                <w:szCs w:val="16"/>
              </w:rPr>
            </w:pPr>
            <w:r w:rsidRPr="00A71934">
              <w:rPr>
                <w:rFonts w:cs="Arial"/>
                <w:b/>
                <w:bCs/>
                <w:sz w:val="16"/>
                <w:szCs w:val="16"/>
              </w:rPr>
              <w:t>(2)</w:t>
            </w:r>
          </w:p>
        </w:tc>
        <w:tc>
          <w:tcPr>
            <w:tcW w:w="1137" w:type="dxa"/>
            <w:tcBorders>
              <w:bottom w:val="single" w:sz="4" w:space="0" w:color="808080" w:themeColor="background1" w:themeShade="80"/>
              <w:right w:val="single" w:sz="4" w:space="0" w:color="808080" w:themeColor="background1" w:themeShade="80"/>
            </w:tcBorders>
            <w:shd w:val="clear" w:color="auto" w:fill="auto"/>
            <w:vAlign w:val="center"/>
            <w:hideMark/>
          </w:tcPr>
          <w:p w14:paraId="37F2511D" w14:textId="77777777" w:rsidR="00CA421F" w:rsidRPr="00A71934" w:rsidRDefault="00CA421F" w:rsidP="001547E3">
            <w:pPr>
              <w:spacing w:after="0" w:line="240" w:lineRule="auto"/>
              <w:jc w:val="center"/>
              <w:rPr>
                <w:rFonts w:cs="Arial"/>
                <w:b/>
                <w:bCs/>
                <w:sz w:val="16"/>
                <w:szCs w:val="16"/>
              </w:rPr>
            </w:pPr>
            <w:r w:rsidRPr="00A71934">
              <w:rPr>
                <w:rFonts w:cs="Arial"/>
                <w:b/>
                <w:bCs/>
                <w:sz w:val="16"/>
                <w:szCs w:val="16"/>
              </w:rPr>
              <w:t>(3)=(2)-(1)</w:t>
            </w:r>
          </w:p>
        </w:tc>
      </w:tr>
      <w:tr w:rsidR="00CA421F" w:rsidRPr="00A71934" w14:paraId="3F891ABF" w14:textId="77777777" w:rsidTr="00CA421F">
        <w:trPr>
          <w:cantSplit/>
          <w:jc w:val="center"/>
        </w:trPr>
        <w:tc>
          <w:tcPr>
            <w:tcW w:w="5978" w:type="dxa"/>
            <w:gridSpan w:val="2"/>
            <w:tcBorders>
              <w:top w:val="single" w:sz="4" w:space="0" w:color="808080" w:themeColor="background1" w:themeShade="80"/>
              <w:left w:val="single" w:sz="4" w:space="0" w:color="808080" w:themeColor="background1" w:themeShade="80"/>
            </w:tcBorders>
            <w:shd w:val="clear" w:color="auto" w:fill="auto"/>
            <w:vAlign w:val="center"/>
            <w:hideMark/>
          </w:tcPr>
          <w:p w14:paraId="412B0828" w14:textId="77777777" w:rsidR="00CA421F" w:rsidRPr="00A71934" w:rsidRDefault="00CA421F" w:rsidP="006A71D3">
            <w:pPr>
              <w:spacing w:after="0"/>
              <w:rPr>
                <w:rFonts w:cs="Arial"/>
                <w:sz w:val="16"/>
                <w:szCs w:val="16"/>
              </w:rPr>
            </w:pPr>
            <w:r w:rsidRPr="00A71934">
              <w:rPr>
                <w:rFonts w:cs="Arial"/>
                <w:sz w:val="16"/>
                <w:szCs w:val="16"/>
              </w:rPr>
              <w:t>Ταμειακό αποτέλεσμα Γενικής Κυβέρνησης</w:t>
            </w:r>
          </w:p>
        </w:tc>
        <w:tc>
          <w:tcPr>
            <w:tcW w:w="1095" w:type="dxa"/>
            <w:tcBorders>
              <w:top w:val="single" w:sz="4" w:space="0" w:color="808080" w:themeColor="background1" w:themeShade="80"/>
            </w:tcBorders>
            <w:shd w:val="clear" w:color="auto" w:fill="auto"/>
            <w:vAlign w:val="center"/>
            <w:hideMark/>
          </w:tcPr>
          <w:p w14:paraId="2AE4C83D" w14:textId="77777777" w:rsidR="00CA421F" w:rsidRPr="00A71934" w:rsidRDefault="00CA421F" w:rsidP="006A71D3">
            <w:pPr>
              <w:spacing w:after="0"/>
              <w:jc w:val="right"/>
              <w:rPr>
                <w:rFonts w:cs="Arial"/>
                <w:sz w:val="16"/>
                <w:szCs w:val="16"/>
              </w:rPr>
            </w:pPr>
            <w:r w:rsidRPr="00A71934">
              <w:rPr>
                <w:rFonts w:cs="Arial"/>
                <w:sz w:val="16"/>
                <w:szCs w:val="16"/>
              </w:rPr>
              <w:t>273</w:t>
            </w:r>
          </w:p>
        </w:tc>
        <w:tc>
          <w:tcPr>
            <w:tcW w:w="1095" w:type="dxa"/>
            <w:tcBorders>
              <w:top w:val="single" w:sz="4" w:space="0" w:color="808080" w:themeColor="background1" w:themeShade="80"/>
            </w:tcBorders>
            <w:shd w:val="clear" w:color="auto" w:fill="auto"/>
            <w:vAlign w:val="center"/>
            <w:hideMark/>
          </w:tcPr>
          <w:p w14:paraId="25E2A09B" w14:textId="77777777" w:rsidR="00CA421F" w:rsidRPr="00A71934" w:rsidRDefault="00CA421F" w:rsidP="006A71D3">
            <w:pPr>
              <w:spacing w:after="0"/>
              <w:jc w:val="right"/>
              <w:rPr>
                <w:rFonts w:cs="Arial"/>
                <w:sz w:val="16"/>
                <w:szCs w:val="16"/>
              </w:rPr>
            </w:pPr>
            <w:r w:rsidRPr="00A71934">
              <w:rPr>
                <w:rFonts w:cs="Arial"/>
                <w:sz w:val="16"/>
                <w:szCs w:val="16"/>
              </w:rPr>
              <w:t>-222</w:t>
            </w:r>
          </w:p>
        </w:tc>
        <w:tc>
          <w:tcPr>
            <w:tcW w:w="1137" w:type="dxa"/>
            <w:tcBorders>
              <w:top w:val="single" w:sz="4" w:space="0" w:color="808080" w:themeColor="background1" w:themeShade="80"/>
              <w:right w:val="single" w:sz="4" w:space="0" w:color="808080" w:themeColor="background1" w:themeShade="80"/>
            </w:tcBorders>
            <w:shd w:val="clear" w:color="auto" w:fill="auto"/>
            <w:vAlign w:val="center"/>
            <w:hideMark/>
          </w:tcPr>
          <w:p w14:paraId="023828FD" w14:textId="77777777" w:rsidR="00CA421F" w:rsidRPr="00A71934" w:rsidRDefault="00CA421F" w:rsidP="006A71D3">
            <w:pPr>
              <w:spacing w:after="0"/>
              <w:jc w:val="right"/>
              <w:rPr>
                <w:rFonts w:cs="Arial"/>
                <w:sz w:val="16"/>
                <w:szCs w:val="16"/>
              </w:rPr>
            </w:pPr>
            <w:r w:rsidRPr="00A71934">
              <w:rPr>
                <w:rFonts w:cs="Arial"/>
                <w:sz w:val="16"/>
                <w:szCs w:val="16"/>
              </w:rPr>
              <w:t>-495</w:t>
            </w:r>
          </w:p>
        </w:tc>
      </w:tr>
      <w:tr w:rsidR="00CA421F" w:rsidRPr="00A71934" w14:paraId="4C66CF43" w14:textId="77777777" w:rsidTr="00CA421F">
        <w:trPr>
          <w:cantSplit/>
          <w:jc w:val="center"/>
        </w:trPr>
        <w:tc>
          <w:tcPr>
            <w:tcW w:w="271" w:type="dxa"/>
            <w:tcBorders>
              <w:left w:val="single" w:sz="4" w:space="0" w:color="808080" w:themeColor="background1" w:themeShade="80"/>
            </w:tcBorders>
            <w:shd w:val="clear" w:color="auto" w:fill="auto"/>
            <w:noWrap/>
            <w:vAlign w:val="center"/>
            <w:hideMark/>
          </w:tcPr>
          <w:p w14:paraId="09D3EB02" w14:textId="77777777" w:rsidR="00CA421F" w:rsidRPr="00A71934" w:rsidRDefault="00CA421F" w:rsidP="006A71D3">
            <w:pPr>
              <w:spacing w:after="0"/>
              <w:rPr>
                <w:rFonts w:ascii="Times New Roman" w:hAnsi="Times New Roman"/>
                <w:szCs w:val="20"/>
              </w:rPr>
            </w:pPr>
            <w:r w:rsidRPr="00A71934">
              <w:rPr>
                <w:rFonts w:ascii="Times New Roman" w:hAnsi="Times New Roman"/>
                <w:szCs w:val="20"/>
              </w:rPr>
              <w:t> </w:t>
            </w:r>
          </w:p>
        </w:tc>
        <w:tc>
          <w:tcPr>
            <w:tcW w:w="5707" w:type="dxa"/>
            <w:shd w:val="clear" w:color="auto" w:fill="auto"/>
            <w:vAlign w:val="center"/>
            <w:hideMark/>
          </w:tcPr>
          <w:p w14:paraId="21EB5923" w14:textId="77777777" w:rsidR="00CA421F" w:rsidRPr="00A71934" w:rsidRDefault="00CA421F" w:rsidP="006A71D3">
            <w:pPr>
              <w:spacing w:after="0"/>
              <w:rPr>
                <w:rFonts w:cs="Arial"/>
                <w:i/>
                <w:iCs/>
                <w:sz w:val="16"/>
                <w:szCs w:val="16"/>
              </w:rPr>
            </w:pPr>
            <w:r w:rsidRPr="00A71934">
              <w:rPr>
                <w:rFonts w:cs="Arial"/>
                <w:i/>
                <w:iCs/>
                <w:sz w:val="16"/>
                <w:szCs w:val="16"/>
              </w:rPr>
              <w:t>Αποτέλεσμα Γενικής Κυβέρνησης κατά ESA</w:t>
            </w:r>
          </w:p>
        </w:tc>
        <w:tc>
          <w:tcPr>
            <w:tcW w:w="1095" w:type="dxa"/>
            <w:shd w:val="clear" w:color="auto" w:fill="auto"/>
            <w:vAlign w:val="center"/>
            <w:hideMark/>
          </w:tcPr>
          <w:p w14:paraId="5CC74A09" w14:textId="77777777" w:rsidR="00CA421F" w:rsidRPr="00A71934" w:rsidRDefault="00CA421F" w:rsidP="006A71D3">
            <w:pPr>
              <w:spacing w:after="0"/>
              <w:jc w:val="right"/>
              <w:rPr>
                <w:rFonts w:cs="Arial"/>
                <w:i/>
                <w:iCs/>
                <w:sz w:val="16"/>
                <w:szCs w:val="16"/>
              </w:rPr>
            </w:pPr>
            <w:r w:rsidRPr="00A71934">
              <w:rPr>
                <w:rFonts w:cs="Arial"/>
                <w:i/>
                <w:iCs/>
                <w:sz w:val="16"/>
                <w:szCs w:val="16"/>
              </w:rPr>
              <w:t>1.713</w:t>
            </w:r>
          </w:p>
        </w:tc>
        <w:tc>
          <w:tcPr>
            <w:tcW w:w="1095" w:type="dxa"/>
            <w:shd w:val="clear" w:color="auto" w:fill="auto"/>
            <w:vAlign w:val="center"/>
            <w:hideMark/>
          </w:tcPr>
          <w:p w14:paraId="64702F8E" w14:textId="77777777" w:rsidR="00CA421F" w:rsidRPr="00A71934" w:rsidRDefault="00CA421F" w:rsidP="006A71D3">
            <w:pPr>
              <w:spacing w:after="0"/>
              <w:jc w:val="right"/>
              <w:rPr>
                <w:rFonts w:cs="Arial"/>
                <w:i/>
                <w:iCs/>
                <w:sz w:val="16"/>
                <w:szCs w:val="16"/>
              </w:rPr>
            </w:pPr>
            <w:r w:rsidRPr="00A71934">
              <w:rPr>
                <w:rFonts w:cs="Arial"/>
                <w:i/>
                <w:iCs/>
                <w:sz w:val="16"/>
                <w:szCs w:val="16"/>
              </w:rPr>
              <w:t>1.421</w:t>
            </w:r>
          </w:p>
        </w:tc>
        <w:tc>
          <w:tcPr>
            <w:tcW w:w="1137" w:type="dxa"/>
            <w:tcBorders>
              <w:right w:val="single" w:sz="4" w:space="0" w:color="808080" w:themeColor="background1" w:themeShade="80"/>
            </w:tcBorders>
            <w:shd w:val="clear" w:color="auto" w:fill="auto"/>
            <w:vAlign w:val="center"/>
            <w:hideMark/>
          </w:tcPr>
          <w:p w14:paraId="3EDD5731" w14:textId="77777777" w:rsidR="00CA421F" w:rsidRPr="00A71934" w:rsidRDefault="00CA421F" w:rsidP="006A71D3">
            <w:pPr>
              <w:spacing w:after="0"/>
              <w:jc w:val="right"/>
              <w:rPr>
                <w:rFonts w:cs="Arial"/>
                <w:i/>
                <w:iCs/>
                <w:sz w:val="16"/>
                <w:szCs w:val="16"/>
              </w:rPr>
            </w:pPr>
            <w:r w:rsidRPr="00A71934">
              <w:rPr>
                <w:rFonts w:cs="Arial"/>
                <w:i/>
                <w:iCs/>
                <w:sz w:val="16"/>
                <w:szCs w:val="16"/>
              </w:rPr>
              <w:t>-292</w:t>
            </w:r>
          </w:p>
        </w:tc>
      </w:tr>
      <w:tr w:rsidR="00CA421F" w:rsidRPr="00A71934" w14:paraId="7D324968" w14:textId="77777777" w:rsidTr="00CA421F">
        <w:trPr>
          <w:cantSplit/>
          <w:jc w:val="center"/>
        </w:trPr>
        <w:tc>
          <w:tcPr>
            <w:tcW w:w="271" w:type="dxa"/>
            <w:tcBorders>
              <w:left w:val="single" w:sz="4" w:space="0" w:color="808080" w:themeColor="background1" w:themeShade="80"/>
            </w:tcBorders>
            <w:shd w:val="clear" w:color="auto" w:fill="auto"/>
            <w:noWrap/>
            <w:vAlign w:val="center"/>
            <w:hideMark/>
          </w:tcPr>
          <w:p w14:paraId="1F2A1CBA" w14:textId="77777777" w:rsidR="00CA421F" w:rsidRPr="00A71934" w:rsidRDefault="00CA421F" w:rsidP="006A71D3">
            <w:pPr>
              <w:spacing w:after="0"/>
              <w:rPr>
                <w:rFonts w:ascii="Times New Roman" w:hAnsi="Times New Roman"/>
                <w:szCs w:val="20"/>
              </w:rPr>
            </w:pPr>
            <w:r w:rsidRPr="00A71934">
              <w:rPr>
                <w:rFonts w:ascii="Times New Roman" w:hAnsi="Times New Roman"/>
                <w:szCs w:val="20"/>
              </w:rPr>
              <w:t> </w:t>
            </w:r>
          </w:p>
        </w:tc>
        <w:tc>
          <w:tcPr>
            <w:tcW w:w="5707" w:type="dxa"/>
            <w:shd w:val="clear" w:color="auto" w:fill="auto"/>
            <w:vAlign w:val="center"/>
            <w:hideMark/>
          </w:tcPr>
          <w:p w14:paraId="2D9CC7D0" w14:textId="77777777" w:rsidR="00CA421F" w:rsidRPr="00A71934" w:rsidRDefault="00CA421F" w:rsidP="006A71D3">
            <w:pPr>
              <w:spacing w:after="0"/>
              <w:rPr>
                <w:rFonts w:cs="Arial"/>
                <w:i/>
                <w:iCs/>
                <w:sz w:val="16"/>
                <w:szCs w:val="16"/>
              </w:rPr>
            </w:pPr>
            <w:proofErr w:type="spellStart"/>
            <w:r w:rsidRPr="00A71934">
              <w:rPr>
                <w:rFonts w:cs="Arial"/>
                <w:i/>
                <w:iCs/>
                <w:sz w:val="16"/>
                <w:szCs w:val="16"/>
              </w:rPr>
              <w:t>Εθνικολογιστικές</w:t>
            </w:r>
            <w:proofErr w:type="spellEnd"/>
            <w:r w:rsidRPr="00A71934">
              <w:rPr>
                <w:rFonts w:cs="Arial"/>
                <w:i/>
                <w:iCs/>
                <w:sz w:val="16"/>
                <w:szCs w:val="16"/>
              </w:rPr>
              <w:t xml:space="preserve"> προσαρμογές Γενικής Κυβέρνησης</w:t>
            </w:r>
          </w:p>
        </w:tc>
        <w:tc>
          <w:tcPr>
            <w:tcW w:w="1095" w:type="dxa"/>
            <w:shd w:val="clear" w:color="auto" w:fill="auto"/>
            <w:vAlign w:val="center"/>
            <w:hideMark/>
          </w:tcPr>
          <w:p w14:paraId="72AA51E6" w14:textId="77777777" w:rsidR="00CA421F" w:rsidRPr="00A71934" w:rsidRDefault="00CA421F" w:rsidP="006A71D3">
            <w:pPr>
              <w:spacing w:after="0"/>
              <w:jc w:val="right"/>
              <w:rPr>
                <w:rFonts w:cs="Arial"/>
                <w:i/>
                <w:iCs/>
                <w:sz w:val="16"/>
                <w:szCs w:val="16"/>
              </w:rPr>
            </w:pPr>
            <w:r w:rsidRPr="00A71934">
              <w:rPr>
                <w:rFonts w:cs="Arial"/>
                <w:i/>
                <w:iCs/>
                <w:sz w:val="16"/>
                <w:szCs w:val="16"/>
              </w:rPr>
              <w:t>-1.440</w:t>
            </w:r>
          </w:p>
        </w:tc>
        <w:tc>
          <w:tcPr>
            <w:tcW w:w="1095" w:type="dxa"/>
            <w:shd w:val="clear" w:color="auto" w:fill="auto"/>
            <w:vAlign w:val="center"/>
            <w:hideMark/>
          </w:tcPr>
          <w:p w14:paraId="0B14CE82" w14:textId="77777777" w:rsidR="00CA421F" w:rsidRPr="00A71934" w:rsidRDefault="00CA421F" w:rsidP="006A71D3">
            <w:pPr>
              <w:spacing w:after="0"/>
              <w:jc w:val="right"/>
              <w:rPr>
                <w:rFonts w:cs="Arial"/>
                <w:i/>
                <w:iCs/>
                <w:sz w:val="16"/>
                <w:szCs w:val="16"/>
              </w:rPr>
            </w:pPr>
            <w:r w:rsidRPr="00A71934">
              <w:rPr>
                <w:rFonts w:cs="Arial"/>
                <w:i/>
                <w:iCs/>
                <w:sz w:val="16"/>
                <w:szCs w:val="16"/>
              </w:rPr>
              <w:t>-1.643</w:t>
            </w:r>
          </w:p>
        </w:tc>
        <w:tc>
          <w:tcPr>
            <w:tcW w:w="1137" w:type="dxa"/>
            <w:tcBorders>
              <w:right w:val="single" w:sz="4" w:space="0" w:color="808080" w:themeColor="background1" w:themeShade="80"/>
            </w:tcBorders>
            <w:shd w:val="clear" w:color="auto" w:fill="auto"/>
            <w:vAlign w:val="center"/>
            <w:hideMark/>
          </w:tcPr>
          <w:p w14:paraId="3842FEB5" w14:textId="77777777" w:rsidR="00CA421F" w:rsidRPr="00A71934" w:rsidRDefault="00CA421F" w:rsidP="006A71D3">
            <w:pPr>
              <w:spacing w:after="0"/>
              <w:jc w:val="right"/>
              <w:rPr>
                <w:rFonts w:cs="Arial"/>
                <w:i/>
                <w:iCs/>
                <w:sz w:val="16"/>
                <w:szCs w:val="16"/>
              </w:rPr>
            </w:pPr>
            <w:r w:rsidRPr="00A71934">
              <w:rPr>
                <w:rFonts w:cs="Arial"/>
                <w:i/>
                <w:iCs/>
                <w:sz w:val="16"/>
                <w:szCs w:val="16"/>
              </w:rPr>
              <w:t>-203</w:t>
            </w:r>
          </w:p>
        </w:tc>
      </w:tr>
      <w:tr w:rsidR="00CA421F" w:rsidRPr="00A71934" w14:paraId="0C8501AC" w14:textId="77777777" w:rsidTr="00CA421F">
        <w:trPr>
          <w:cantSplit/>
          <w:jc w:val="center"/>
        </w:trPr>
        <w:tc>
          <w:tcPr>
            <w:tcW w:w="5978" w:type="dxa"/>
            <w:gridSpan w:val="2"/>
            <w:tcBorders>
              <w:left w:val="single" w:sz="4" w:space="0" w:color="808080" w:themeColor="background1" w:themeShade="80"/>
            </w:tcBorders>
            <w:shd w:val="clear" w:color="auto" w:fill="auto"/>
            <w:vAlign w:val="center"/>
            <w:hideMark/>
          </w:tcPr>
          <w:p w14:paraId="0D370AF4" w14:textId="77777777" w:rsidR="00CA421F" w:rsidRPr="00A71934" w:rsidRDefault="00CA421F" w:rsidP="006A71D3">
            <w:pPr>
              <w:spacing w:after="0"/>
              <w:rPr>
                <w:rFonts w:cs="Arial"/>
                <w:sz w:val="16"/>
                <w:szCs w:val="16"/>
              </w:rPr>
            </w:pPr>
            <w:r w:rsidRPr="00A71934">
              <w:rPr>
                <w:rFonts w:cs="Arial"/>
                <w:sz w:val="16"/>
                <w:szCs w:val="16"/>
              </w:rPr>
              <w:t>Χρηματοοικονομικά παράγωγα</w:t>
            </w:r>
          </w:p>
        </w:tc>
        <w:tc>
          <w:tcPr>
            <w:tcW w:w="1095" w:type="dxa"/>
            <w:shd w:val="clear" w:color="auto" w:fill="auto"/>
            <w:noWrap/>
            <w:vAlign w:val="center"/>
            <w:hideMark/>
          </w:tcPr>
          <w:p w14:paraId="13ABE2F9" w14:textId="77777777" w:rsidR="00CA421F" w:rsidRPr="00A71934" w:rsidRDefault="00CA421F" w:rsidP="006A71D3">
            <w:pPr>
              <w:spacing w:after="0"/>
              <w:jc w:val="right"/>
              <w:rPr>
                <w:rFonts w:cs="Arial"/>
                <w:sz w:val="16"/>
                <w:szCs w:val="16"/>
              </w:rPr>
            </w:pPr>
            <w:r w:rsidRPr="00A71934">
              <w:rPr>
                <w:rFonts w:cs="Arial"/>
                <w:sz w:val="16"/>
                <w:szCs w:val="16"/>
              </w:rPr>
              <w:t>-1.220</w:t>
            </w:r>
          </w:p>
        </w:tc>
        <w:tc>
          <w:tcPr>
            <w:tcW w:w="1095" w:type="dxa"/>
            <w:shd w:val="clear" w:color="auto" w:fill="auto"/>
            <w:vAlign w:val="center"/>
            <w:hideMark/>
          </w:tcPr>
          <w:p w14:paraId="442F2401" w14:textId="77777777" w:rsidR="00CA421F" w:rsidRPr="00A71934" w:rsidRDefault="00CA421F" w:rsidP="006A71D3">
            <w:pPr>
              <w:spacing w:after="0"/>
              <w:jc w:val="right"/>
              <w:rPr>
                <w:rFonts w:cs="Arial"/>
                <w:sz w:val="16"/>
                <w:szCs w:val="16"/>
              </w:rPr>
            </w:pPr>
            <w:r w:rsidRPr="00A71934">
              <w:rPr>
                <w:rFonts w:cs="Arial"/>
                <w:sz w:val="16"/>
                <w:szCs w:val="16"/>
              </w:rPr>
              <w:t>-800</w:t>
            </w:r>
          </w:p>
        </w:tc>
        <w:tc>
          <w:tcPr>
            <w:tcW w:w="1137" w:type="dxa"/>
            <w:tcBorders>
              <w:right w:val="single" w:sz="4" w:space="0" w:color="808080" w:themeColor="background1" w:themeShade="80"/>
            </w:tcBorders>
            <w:shd w:val="clear" w:color="auto" w:fill="auto"/>
            <w:vAlign w:val="center"/>
            <w:hideMark/>
          </w:tcPr>
          <w:p w14:paraId="5F850105" w14:textId="77777777" w:rsidR="00CA421F" w:rsidRPr="00A71934" w:rsidRDefault="00CA421F" w:rsidP="006A71D3">
            <w:pPr>
              <w:spacing w:after="0"/>
              <w:jc w:val="right"/>
              <w:rPr>
                <w:rFonts w:cs="Arial"/>
                <w:sz w:val="16"/>
                <w:szCs w:val="16"/>
              </w:rPr>
            </w:pPr>
            <w:r w:rsidRPr="00A71934">
              <w:rPr>
                <w:rFonts w:cs="Arial"/>
                <w:sz w:val="16"/>
                <w:szCs w:val="16"/>
              </w:rPr>
              <w:t>420</w:t>
            </w:r>
          </w:p>
        </w:tc>
      </w:tr>
      <w:tr w:rsidR="00CA421F" w:rsidRPr="00A71934" w14:paraId="7A82F9A6" w14:textId="77777777" w:rsidTr="00CA421F">
        <w:trPr>
          <w:cantSplit/>
          <w:jc w:val="center"/>
        </w:trPr>
        <w:tc>
          <w:tcPr>
            <w:tcW w:w="5978" w:type="dxa"/>
            <w:gridSpan w:val="2"/>
            <w:tcBorders>
              <w:left w:val="single" w:sz="4" w:space="0" w:color="808080" w:themeColor="background1" w:themeShade="80"/>
            </w:tcBorders>
            <w:shd w:val="clear" w:color="auto" w:fill="auto"/>
            <w:vAlign w:val="center"/>
            <w:hideMark/>
          </w:tcPr>
          <w:p w14:paraId="659DE9B1" w14:textId="77777777" w:rsidR="00CA421F" w:rsidRPr="00A71934" w:rsidRDefault="00CA421F" w:rsidP="006A71D3">
            <w:pPr>
              <w:spacing w:after="0"/>
              <w:rPr>
                <w:rFonts w:cs="Arial"/>
                <w:sz w:val="16"/>
                <w:szCs w:val="16"/>
              </w:rPr>
            </w:pPr>
            <w:r w:rsidRPr="00A71934">
              <w:rPr>
                <w:rFonts w:cs="Arial"/>
                <w:sz w:val="16"/>
                <w:szCs w:val="16"/>
              </w:rPr>
              <w:t xml:space="preserve">Αυξήσεις ΜΚ εταιρειών, συμμετοχή στην </w:t>
            </w:r>
            <w:proofErr w:type="spellStart"/>
            <w:r w:rsidRPr="00A71934">
              <w:rPr>
                <w:rFonts w:cs="Arial"/>
                <w:sz w:val="16"/>
                <w:szCs w:val="16"/>
              </w:rPr>
              <w:t>ΕΤΕπ</w:t>
            </w:r>
            <w:proofErr w:type="spellEnd"/>
            <w:r w:rsidRPr="00A71934">
              <w:rPr>
                <w:rFonts w:cs="Arial"/>
                <w:sz w:val="16"/>
                <w:szCs w:val="16"/>
              </w:rPr>
              <w:t xml:space="preserve"> κ.λπ.</w:t>
            </w:r>
          </w:p>
        </w:tc>
        <w:tc>
          <w:tcPr>
            <w:tcW w:w="1095" w:type="dxa"/>
            <w:shd w:val="clear" w:color="auto" w:fill="auto"/>
            <w:noWrap/>
            <w:vAlign w:val="center"/>
            <w:hideMark/>
          </w:tcPr>
          <w:p w14:paraId="761B0CB4" w14:textId="77777777" w:rsidR="00CA421F" w:rsidRPr="00A71934" w:rsidRDefault="00CA421F" w:rsidP="006A71D3">
            <w:pPr>
              <w:spacing w:after="0"/>
              <w:jc w:val="right"/>
              <w:rPr>
                <w:rFonts w:cs="Arial"/>
                <w:sz w:val="16"/>
                <w:szCs w:val="16"/>
              </w:rPr>
            </w:pPr>
            <w:r w:rsidRPr="00A71934">
              <w:rPr>
                <w:rFonts w:cs="Arial"/>
                <w:sz w:val="16"/>
                <w:szCs w:val="16"/>
              </w:rPr>
              <w:t>1.203</w:t>
            </w:r>
          </w:p>
        </w:tc>
        <w:tc>
          <w:tcPr>
            <w:tcW w:w="1095" w:type="dxa"/>
            <w:shd w:val="clear" w:color="auto" w:fill="auto"/>
            <w:vAlign w:val="center"/>
            <w:hideMark/>
          </w:tcPr>
          <w:p w14:paraId="06C35AB1" w14:textId="77777777" w:rsidR="00CA421F" w:rsidRPr="00A71934" w:rsidRDefault="00CA421F" w:rsidP="006A71D3">
            <w:pPr>
              <w:spacing w:after="0"/>
              <w:jc w:val="right"/>
              <w:rPr>
                <w:rFonts w:cs="Arial"/>
                <w:sz w:val="16"/>
                <w:szCs w:val="16"/>
              </w:rPr>
            </w:pPr>
            <w:r w:rsidRPr="00A71934">
              <w:rPr>
                <w:rFonts w:cs="Arial"/>
                <w:sz w:val="16"/>
                <w:szCs w:val="16"/>
              </w:rPr>
              <w:t>1.755</w:t>
            </w:r>
          </w:p>
        </w:tc>
        <w:tc>
          <w:tcPr>
            <w:tcW w:w="1137" w:type="dxa"/>
            <w:tcBorders>
              <w:right w:val="single" w:sz="4" w:space="0" w:color="808080" w:themeColor="background1" w:themeShade="80"/>
            </w:tcBorders>
            <w:shd w:val="clear" w:color="auto" w:fill="auto"/>
            <w:vAlign w:val="center"/>
            <w:hideMark/>
          </w:tcPr>
          <w:p w14:paraId="0F7AF12D" w14:textId="77777777" w:rsidR="00CA421F" w:rsidRPr="00A71934" w:rsidRDefault="00CA421F" w:rsidP="006A71D3">
            <w:pPr>
              <w:spacing w:after="0"/>
              <w:jc w:val="right"/>
              <w:rPr>
                <w:rFonts w:cs="Arial"/>
                <w:i/>
                <w:iCs/>
                <w:sz w:val="16"/>
                <w:szCs w:val="16"/>
              </w:rPr>
            </w:pPr>
            <w:r w:rsidRPr="00A71934">
              <w:rPr>
                <w:rFonts w:cs="Arial"/>
                <w:i/>
                <w:iCs/>
                <w:sz w:val="16"/>
                <w:szCs w:val="16"/>
              </w:rPr>
              <w:t>552</w:t>
            </w:r>
          </w:p>
        </w:tc>
      </w:tr>
      <w:tr w:rsidR="00CA421F" w:rsidRPr="00A71934" w14:paraId="41EB1A01" w14:textId="77777777" w:rsidTr="00CA421F">
        <w:trPr>
          <w:cantSplit/>
          <w:jc w:val="center"/>
        </w:trPr>
        <w:tc>
          <w:tcPr>
            <w:tcW w:w="5978" w:type="dxa"/>
            <w:gridSpan w:val="2"/>
            <w:tcBorders>
              <w:left w:val="single" w:sz="4" w:space="0" w:color="808080" w:themeColor="background1" w:themeShade="80"/>
            </w:tcBorders>
            <w:shd w:val="clear" w:color="auto" w:fill="auto"/>
            <w:vAlign w:val="center"/>
            <w:hideMark/>
          </w:tcPr>
          <w:p w14:paraId="0DB05F40" w14:textId="77777777" w:rsidR="00CA421F" w:rsidRPr="00A71934" w:rsidRDefault="00CA421F" w:rsidP="006A71D3">
            <w:pPr>
              <w:spacing w:after="0"/>
              <w:rPr>
                <w:rFonts w:cs="Arial"/>
                <w:sz w:val="16"/>
                <w:szCs w:val="16"/>
              </w:rPr>
            </w:pPr>
            <w:r w:rsidRPr="00A71934">
              <w:rPr>
                <w:rFonts w:cs="Arial"/>
                <w:sz w:val="16"/>
                <w:szCs w:val="16"/>
              </w:rPr>
              <w:t>Χορηγήσεις δανείων σε επιχειρήσεις από πόρους ΤΑΑ</w:t>
            </w:r>
          </w:p>
        </w:tc>
        <w:tc>
          <w:tcPr>
            <w:tcW w:w="1095" w:type="dxa"/>
            <w:shd w:val="clear" w:color="auto" w:fill="auto"/>
            <w:noWrap/>
            <w:vAlign w:val="center"/>
            <w:hideMark/>
          </w:tcPr>
          <w:p w14:paraId="4242DD29" w14:textId="77777777" w:rsidR="00CA421F" w:rsidRPr="00A71934" w:rsidRDefault="00CA421F" w:rsidP="006A71D3">
            <w:pPr>
              <w:spacing w:after="0"/>
              <w:jc w:val="right"/>
              <w:rPr>
                <w:rFonts w:cs="Arial"/>
                <w:sz w:val="16"/>
                <w:szCs w:val="16"/>
              </w:rPr>
            </w:pPr>
            <w:r w:rsidRPr="00A71934">
              <w:rPr>
                <w:rFonts w:cs="Arial"/>
                <w:sz w:val="16"/>
                <w:szCs w:val="16"/>
              </w:rPr>
              <w:t>1.562</w:t>
            </w:r>
          </w:p>
        </w:tc>
        <w:tc>
          <w:tcPr>
            <w:tcW w:w="1095" w:type="dxa"/>
            <w:shd w:val="clear" w:color="auto" w:fill="auto"/>
            <w:vAlign w:val="center"/>
            <w:hideMark/>
          </w:tcPr>
          <w:p w14:paraId="1A2B4F9B" w14:textId="77777777" w:rsidR="00CA421F" w:rsidRPr="00A71934" w:rsidRDefault="00CA421F" w:rsidP="006A71D3">
            <w:pPr>
              <w:spacing w:after="0"/>
              <w:jc w:val="right"/>
              <w:rPr>
                <w:rFonts w:cs="Arial"/>
                <w:sz w:val="16"/>
                <w:szCs w:val="16"/>
              </w:rPr>
            </w:pPr>
            <w:r w:rsidRPr="00A71934">
              <w:rPr>
                <w:rFonts w:cs="Arial"/>
                <w:sz w:val="16"/>
                <w:szCs w:val="16"/>
              </w:rPr>
              <w:t>3.741</w:t>
            </w:r>
          </w:p>
        </w:tc>
        <w:tc>
          <w:tcPr>
            <w:tcW w:w="1137" w:type="dxa"/>
            <w:tcBorders>
              <w:right w:val="single" w:sz="4" w:space="0" w:color="808080" w:themeColor="background1" w:themeShade="80"/>
            </w:tcBorders>
            <w:shd w:val="clear" w:color="auto" w:fill="auto"/>
            <w:vAlign w:val="center"/>
            <w:hideMark/>
          </w:tcPr>
          <w:p w14:paraId="0A999B65" w14:textId="77777777" w:rsidR="00CA421F" w:rsidRPr="00A71934" w:rsidRDefault="00CA421F" w:rsidP="006A71D3">
            <w:pPr>
              <w:spacing w:after="0"/>
              <w:jc w:val="right"/>
              <w:rPr>
                <w:rFonts w:cs="Arial"/>
                <w:sz w:val="16"/>
                <w:szCs w:val="16"/>
              </w:rPr>
            </w:pPr>
            <w:r w:rsidRPr="00A71934">
              <w:rPr>
                <w:rFonts w:cs="Arial"/>
                <w:sz w:val="16"/>
                <w:szCs w:val="16"/>
              </w:rPr>
              <w:t>2.179</w:t>
            </w:r>
          </w:p>
        </w:tc>
      </w:tr>
      <w:tr w:rsidR="00CA421F" w:rsidRPr="00A71934" w14:paraId="1E0E00C2" w14:textId="77777777" w:rsidTr="00CA421F">
        <w:trPr>
          <w:cantSplit/>
          <w:jc w:val="center"/>
        </w:trPr>
        <w:tc>
          <w:tcPr>
            <w:tcW w:w="5978" w:type="dxa"/>
            <w:gridSpan w:val="2"/>
            <w:tcBorders>
              <w:left w:val="single" w:sz="4" w:space="0" w:color="808080" w:themeColor="background1" w:themeShade="80"/>
            </w:tcBorders>
            <w:shd w:val="clear" w:color="auto" w:fill="auto"/>
            <w:vAlign w:val="center"/>
            <w:hideMark/>
          </w:tcPr>
          <w:p w14:paraId="7351678F" w14:textId="77777777" w:rsidR="00CA421F" w:rsidRPr="00A71934" w:rsidRDefault="00CA421F" w:rsidP="006A71D3">
            <w:pPr>
              <w:spacing w:after="0"/>
              <w:rPr>
                <w:rFonts w:cs="Arial"/>
                <w:sz w:val="16"/>
                <w:szCs w:val="16"/>
              </w:rPr>
            </w:pPr>
            <w:r w:rsidRPr="00A71934">
              <w:rPr>
                <w:rFonts w:cs="Arial"/>
                <w:sz w:val="16"/>
                <w:szCs w:val="16"/>
              </w:rPr>
              <w:t>Μεταβολή διαθεσίμων και ενδοκυβερνητικού χρέους</w:t>
            </w:r>
          </w:p>
        </w:tc>
        <w:tc>
          <w:tcPr>
            <w:tcW w:w="1095" w:type="dxa"/>
            <w:shd w:val="clear" w:color="auto" w:fill="auto"/>
            <w:noWrap/>
            <w:vAlign w:val="center"/>
            <w:hideMark/>
          </w:tcPr>
          <w:p w14:paraId="14FED8EE" w14:textId="77777777" w:rsidR="00CA421F" w:rsidRPr="00A71934" w:rsidRDefault="00CA421F" w:rsidP="006A71D3">
            <w:pPr>
              <w:spacing w:after="0"/>
              <w:jc w:val="right"/>
              <w:rPr>
                <w:rFonts w:cs="Arial"/>
                <w:sz w:val="16"/>
                <w:szCs w:val="16"/>
              </w:rPr>
            </w:pPr>
            <w:r w:rsidRPr="00A71934">
              <w:rPr>
                <w:rFonts w:cs="Arial"/>
                <w:sz w:val="16"/>
                <w:szCs w:val="16"/>
              </w:rPr>
              <w:t>-6.000</w:t>
            </w:r>
          </w:p>
        </w:tc>
        <w:tc>
          <w:tcPr>
            <w:tcW w:w="1095" w:type="dxa"/>
            <w:shd w:val="clear" w:color="auto" w:fill="auto"/>
            <w:vAlign w:val="center"/>
            <w:hideMark/>
          </w:tcPr>
          <w:p w14:paraId="0FD4DF3B" w14:textId="77777777" w:rsidR="00CA421F" w:rsidRPr="00A71934" w:rsidRDefault="00CA421F" w:rsidP="006A71D3">
            <w:pPr>
              <w:spacing w:after="0"/>
              <w:jc w:val="right"/>
              <w:rPr>
                <w:rFonts w:cs="Arial"/>
                <w:sz w:val="16"/>
                <w:szCs w:val="16"/>
              </w:rPr>
            </w:pPr>
            <w:r w:rsidRPr="00A71934">
              <w:rPr>
                <w:rFonts w:cs="Arial"/>
                <w:sz w:val="16"/>
                <w:szCs w:val="16"/>
              </w:rPr>
              <w:t>-5.350</w:t>
            </w:r>
          </w:p>
        </w:tc>
        <w:tc>
          <w:tcPr>
            <w:tcW w:w="1137" w:type="dxa"/>
            <w:tcBorders>
              <w:right w:val="single" w:sz="4" w:space="0" w:color="808080" w:themeColor="background1" w:themeShade="80"/>
            </w:tcBorders>
            <w:shd w:val="clear" w:color="auto" w:fill="auto"/>
            <w:vAlign w:val="center"/>
            <w:hideMark/>
          </w:tcPr>
          <w:p w14:paraId="748499D2" w14:textId="77777777" w:rsidR="00CA421F" w:rsidRPr="00A71934" w:rsidRDefault="00CA421F" w:rsidP="006A71D3">
            <w:pPr>
              <w:spacing w:after="0"/>
              <w:jc w:val="right"/>
              <w:rPr>
                <w:rFonts w:cs="Arial"/>
                <w:sz w:val="16"/>
                <w:szCs w:val="16"/>
              </w:rPr>
            </w:pPr>
            <w:r w:rsidRPr="00A71934">
              <w:rPr>
                <w:rFonts w:cs="Arial"/>
                <w:sz w:val="16"/>
                <w:szCs w:val="16"/>
              </w:rPr>
              <w:t>650</w:t>
            </w:r>
          </w:p>
        </w:tc>
      </w:tr>
      <w:tr w:rsidR="00CA421F" w:rsidRPr="00A71934" w14:paraId="1EA363EE" w14:textId="77777777" w:rsidTr="00CA421F">
        <w:trPr>
          <w:cantSplit/>
          <w:jc w:val="center"/>
        </w:trPr>
        <w:tc>
          <w:tcPr>
            <w:tcW w:w="5978" w:type="dxa"/>
            <w:gridSpan w:val="2"/>
            <w:tcBorders>
              <w:left w:val="single" w:sz="4" w:space="0" w:color="808080" w:themeColor="background1" w:themeShade="80"/>
            </w:tcBorders>
            <w:shd w:val="clear" w:color="auto" w:fill="auto"/>
            <w:vAlign w:val="center"/>
            <w:hideMark/>
          </w:tcPr>
          <w:p w14:paraId="1A3FC282" w14:textId="77777777" w:rsidR="00CA421F" w:rsidRPr="00A71934" w:rsidRDefault="00CA421F" w:rsidP="006A71D3">
            <w:pPr>
              <w:spacing w:after="0"/>
              <w:rPr>
                <w:rFonts w:cs="Arial"/>
                <w:sz w:val="16"/>
                <w:szCs w:val="16"/>
              </w:rPr>
            </w:pPr>
            <w:r w:rsidRPr="00A71934">
              <w:rPr>
                <w:rFonts w:cs="Arial"/>
                <w:sz w:val="16"/>
                <w:szCs w:val="16"/>
              </w:rPr>
              <w:t>Πώληση μετοχών κ.λπ.</w:t>
            </w:r>
          </w:p>
        </w:tc>
        <w:tc>
          <w:tcPr>
            <w:tcW w:w="1095" w:type="dxa"/>
            <w:shd w:val="clear" w:color="auto" w:fill="auto"/>
            <w:noWrap/>
            <w:vAlign w:val="center"/>
            <w:hideMark/>
          </w:tcPr>
          <w:p w14:paraId="1B15B944" w14:textId="77777777" w:rsidR="00CA421F" w:rsidRPr="00A71934" w:rsidRDefault="00CA421F" w:rsidP="006A71D3">
            <w:pPr>
              <w:spacing w:after="0"/>
              <w:jc w:val="right"/>
              <w:rPr>
                <w:rFonts w:cs="Arial"/>
                <w:sz w:val="16"/>
                <w:szCs w:val="16"/>
              </w:rPr>
            </w:pPr>
            <w:r w:rsidRPr="00A71934">
              <w:rPr>
                <w:rFonts w:cs="Arial"/>
                <w:sz w:val="16"/>
                <w:szCs w:val="16"/>
              </w:rPr>
              <w:t>-1.371</w:t>
            </w:r>
          </w:p>
        </w:tc>
        <w:tc>
          <w:tcPr>
            <w:tcW w:w="1095" w:type="dxa"/>
            <w:shd w:val="clear" w:color="auto" w:fill="auto"/>
            <w:vAlign w:val="center"/>
            <w:hideMark/>
          </w:tcPr>
          <w:p w14:paraId="2B71167C" w14:textId="77777777" w:rsidR="00CA421F" w:rsidRPr="00A71934" w:rsidRDefault="00CA421F" w:rsidP="006A71D3">
            <w:pPr>
              <w:spacing w:after="0"/>
              <w:jc w:val="right"/>
              <w:rPr>
                <w:rFonts w:cs="Arial"/>
                <w:sz w:val="16"/>
                <w:szCs w:val="16"/>
              </w:rPr>
            </w:pPr>
            <w:r w:rsidRPr="00A71934">
              <w:rPr>
                <w:rFonts w:cs="Arial"/>
                <w:sz w:val="16"/>
                <w:szCs w:val="16"/>
              </w:rPr>
              <w:t>-564</w:t>
            </w:r>
          </w:p>
        </w:tc>
        <w:tc>
          <w:tcPr>
            <w:tcW w:w="1137" w:type="dxa"/>
            <w:tcBorders>
              <w:right w:val="single" w:sz="4" w:space="0" w:color="808080" w:themeColor="background1" w:themeShade="80"/>
            </w:tcBorders>
            <w:shd w:val="clear" w:color="auto" w:fill="auto"/>
            <w:vAlign w:val="center"/>
            <w:hideMark/>
          </w:tcPr>
          <w:p w14:paraId="2C78500A" w14:textId="77777777" w:rsidR="00CA421F" w:rsidRPr="00A71934" w:rsidRDefault="00CA421F" w:rsidP="006A71D3">
            <w:pPr>
              <w:spacing w:after="0"/>
              <w:jc w:val="right"/>
              <w:rPr>
                <w:rFonts w:cs="Arial"/>
                <w:sz w:val="16"/>
                <w:szCs w:val="16"/>
              </w:rPr>
            </w:pPr>
            <w:r w:rsidRPr="00A71934">
              <w:rPr>
                <w:rFonts w:cs="Arial"/>
                <w:sz w:val="16"/>
                <w:szCs w:val="16"/>
              </w:rPr>
              <w:t>807</w:t>
            </w:r>
          </w:p>
        </w:tc>
      </w:tr>
      <w:tr w:rsidR="00CA421F" w:rsidRPr="00A71934" w14:paraId="260E88D7" w14:textId="77777777" w:rsidTr="00CA421F">
        <w:trPr>
          <w:cantSplit/>
          <w:jc w:val="center"/>
        </w:trPr>
        <w:tc>
          <w:tcPr>
            <w:tcW w:w="5978" w:type="dxa"/>
            <w:gridSpan w:val="2"/>
            <w:tcBorders>
              <w:left w:val="single" w:sz="4" w:space="0" w:color="808080" w:themeColor="background1" w:themeShade="80"/>
            </w:tcBorders>
            <w:shd w:val="clear" w:color="auto" w:fill="auto"/>
            <w:vAlign w:val="center"/>
            <w:hideMark/>
          </w:tcPr>
          <w:p w14:paraId="7D3D6232" w14:textId="77777777" w:rsidR="00CA421F" w:rsidRPr="00A71934" w:rsidRDefault="00CA421F" w:rsidP="006A71D3">
            <w:pPr>
              <w:spacing w:after="0"/>
              <w:rPr>
                <w:rFonts w:cs="Arial"/>
                <w:sz w:val="16"/>
                <w:szCs w:val="16"/>
              </w:rPr>
            </w:pPr>
            <w:r w:rsidRPr="00A71934">
              <w:rPr>
                <w:rFonts w:cs="Arial"/>
                <w:sz w:val="16"/>
                <w:szCs w:val="16"/>
              </w:rPr>
              <w:t>Προσαρμογές στο άρτιο, λοιπές προσαρμογές</w:t>
            </w:r>
          </w:p>
        </w:tc>
        <w:tc>
          <w:tcPr>
            <w:tcW w:w="1095" w:type="dxa"/>
            <w:shd w:val="clear" w:color="auto" w:fill="auto"/>
            <w:noWrap/>
            <w:vAlign w:val="center"/>
            <w:hideMark/>
          </w:tcPr>
          <w:p w14:paraId="36ED15F8" w14:textId="77777777" w:rsidR="00CA421F" w:rsidRPr="00A71934" w:rsidRDefault="00CA421F" w:rsidP="006A71D3">
            <w:pPr>
              <w:spacing w:after="0"/>
              <w:jc w:val="right"/>
              <w:rPr>
                <w:rFonts w:cs="Arial"/>
                <w:sz w:val="16"/>
                <w:szCs w:val="16"/>
              </w:rPr>
            </w:pPr>
            <w:r w:rsidRPr="00A71934">
              <w:rPr>
                <w:rFonts w:cs="Arial"/>
                <w:sz w:val="16"/>
                <w:szCs w:val="16"/>
              </w:rPr>
              <w:t>1.454</w:t>
            </w:r>
          </w:p>
        </w:tc>
        <w:tc>
          <w:tcPr>
            <w:tcW w:w="1095" w:type="dxa"/>
            <w:shd w:val="clear" w:color="auto" w:fill="auto"/>
            <w:noWrap/>
            <w:vAlign w:val="center"/>
            <w:hideMark/>
          </w:tcPr>
          <w:p w14:paraId="4070A409" w14:textId="77777777" w:rsidR="00CA421F" w:rsidRPr="00A71934" w:rsidRDefault="00CA421F" w:rsidP="006A71D3">
            <w:pPr>
              <w:spacing w:after="0"/>
              <w:jc w:val="right"/>
              <w:rPr>
                <w:rFonts w:cs="Arial"/>
                <w:sz w:val="16"/>
                <w:szCs w:val="16"/>
              </w:rPr>
            </w:pPr>
            <w:r w:rsidRPr="00A71934">
              <w:rPr>
                <w:rFonts w:cs="Arial"/>
                <w:sz w:val="16"/>
                <w:szCs w:val="16"/>
              </w:rPr>
              <w:t>1.440</w:t>
            </w:r>
          </w:p>
        </w:tc>
        <w:tc>
          <w:tcPr>
            <w:tcW w:w="1137" w:type="dxa"/>
            <w:tcBorders>
              <w:right w:val="single" w:sz="4" w:space="0" w:color="808080" w:themeColor="background1" w:themeShade="80"/>
            </w:tcBorders>
            <w:shd w:val="clear" w:color="auto" w:fill="auto"/>
            <w:vAlign w:val="center"/>
            <w:hideMark/>
          </w:tcPr>
          <w:p w14:paraId="3C51B80C" w14:textId="77777777" w:rsidR="00CA421F" w:rsidRPr="00A71934" w:rsidRDefault="00CA421F" w:rsidP="006A71D3">
            <w:pPr>
              <w:spacing w:after="0"/>
              <w:jc w:val="right"/>
              <w:rPr>
                <w:rFonts w:cs="Arial"/>
                <w:sz w:val="16"/>
                <w:szCs w:val="16"/>
              </w:rPr>
            </w:pPr>
            <w:r w:rsidRPr="00A71934">
              <w:rPr>
                <w:rFonts w:cs="Arial"/>
                <w:sz w:val="16"/>
                <w:szCs w:val="16"/>
              </w:rPr>
              <w:t>-14</w:t>
            </w:r>
          </w:p>
        </w:tc>
      </w:tr>
      <w:tr w:rsidR="00CA421F" w:rsidRPr="00A71934" w14:paraId="1FD75AF0" w14:textId="77777777" w:rsidTr="00CA421F">
        <w:trPr>
          <w:cantSplit/>
          <w:jc w:val="center"/>
        </w:trPr>
        <w:tc>
          <w:tcPr>
            <w:tcW w:w="5978" w:type="dxa"/>
            <w:gridSpan w:val="2"/>
            <w:tcBorders>
              <w:left w:val="single" w:sz="4" w:space="0" w:color="808080" w:themeColor="background1" w:themeShade="80"/>
            </w:tcBorders>
            <w:shd w:val="clear" w:color="000000" w:fill="D5DCE4"/>
            <w:vAlign w:val="center"/>
            <w:hideMark/>
          </w:tcPr>
          <w:p w14:paraId="16A469D6" w14:textId="77777777" w:rsidR="00CA421F" w:rsidRPr="00A71934" w:rsidRDefault="00CA421F" w:rsidP="006A71D3">
            <w:pPr>
              <w:spacing w:after="0"/>
              <w:rPr>
                <w:rFonts w:cs="Arial"/>
                <w:b/>
                <w:bCs/>
                <w:sz w:val="16"/>
                <w:szCs w:val="16"/>
              </w:rPr>
            </w:pPr>
            <w:r w:rsidRPr="00A71934">
              <w:rPr>
                <w:rFonts w:cs="Arial"/>
                <w:b/>
                <w:bCs/>
                <w:sz w:val="16"/>
                <w:szCs w:val="16"/>
              </w:rPr>
              <w:t>Μεταβολή από προηγούμενο έτος</w:t>
            </w:r>
          </w:p>
        </w:tc>
        <w:tc>
          <w:tcPr>
            <w:tcW w:w="1095" w:type="dxa"/>
            <w:shd w:val="clear" w:color="000000" w:fill="D5DCE4"/>
            <w:noWrap/>
            <w:vAlign w:val="center"/>
            <w:hideMark/>
          </w:tcPr>
          <w:p w14:paraId="3C7D0664" w14:textId="77777777" w:rsidR="00CA421F" w:rsidRPr="00A71934" w:rsidRDefault="00CA421F" w:rsidP="006A71D3">
            <w:pPr>
              <w:spacing w:after="0"/>
              <w:jc w:val="right"/>
              <w:rPr>
                <w:rFonts w:cs="Arial"/>
                <w:b/>
                <w:bCs/>
                <w:sz w:val="16"/>
                <w:szCs w:val="16"/>
              </w:rPr>
            </w:pPr>
            <w:r w:rsidRPr="00A71934">
              <w:rPr>
                <w:rFonts w:cs="Arial"/>
                <w:b/>
                <w:bCs/>
                <w:sz w:val="16"/>
                <w:szCs w:val="16"/>
              </w:rPr>
              <w:t>-4.099</w:t>
            </w:r>
          </w:p>
        </w:tc>
        <w:tc>
          <w:tcPr>
            <w:tcW w:w="1095" w:type="dxa"/>
            <w:shd w:val="clear" w:color="000000" w:fill="D5DCE4"/>
            <w:vAlign w:val="center"/>
            <w:hideMark/>
          </w:tcPr>
          <w:p w14:paraId="236B0764" w14:textId="77777777" w:rsidR="00CA421F" w:rsidRPr="00A71934" w:rsidRDefault="00CA421F" w:rsidP="006A71D3">
            <w:pPr>
              <w:spacing w:after="0"/>
              <w:jc w:val="right"/>
              <w:rPr>
                <w:rFonts w:cs="Arial"/>
                <w:b/>
                <w:bCs/>
                <w:sz w:val="16"/>
                <w:szCs w:val="16"/>
              </w:rPr>
            </w:pPr>
            <w:r w:rsidRPr="00A71934">
              <w:rPr>
                <w:rFonts w:cs="Arial"/>
                <w:b/>
                <w:bCs/>
                <w:sz w:val="16"/>
                <w:szCs w:val="16"/>
              </w:rPr>
              <w:t>0</w:t>
            </w:r>
          </w:p>
        </w:tc>
        <w:tc>
          <w:tcPr>
            <w:tcW w:w="1137" w:type="dxa"/>
            <w:tcBorders>
              <w:right w:val="single" w:sz="4" w:space="0" w:color="808080" w:themeColor="background1" w:themeShade="80"/>
            </w:tcBorders>
            <w:shd w:val="clear" w:color="000000" w:fill="D5DCE4"/>
            <w:vAlign w:val="center"/>
            <w:hideMark/>
          </w:tcPr>
          <w:p w14:paraId="5C0751BB" w14:textId="77777777" w:rsidR="00CA421F" w:rsidRPr="00A71934" w:rsidRDefault="00CA421F" w:rsidP="006A71D3">
            <w:pPr>
              <w:spacing w:after="0"/>
              <w:jc w:val="right"/>
              <w:rPr>
                <w:rFonts w:cs="Arial"/>
                <w:b/>
                <w:bCs/>
                <w:sz w:val="16"/>
                <w:szCs w:val="16"/>
              </w:rPr>
            </w:pPr>
            <w:r w:rsidRPr="00A71934">
              <w:rPr>
                <w:rFonts w:cs="Arial"/>
                <w:b/>
                <w:bCs/>
                <w:sz w:val="16"/>
                <w:szCs w:val="16"/>
              </w:rPr>
              <w:t>4.099</w:t>
            </w:r>
          </w:p>
        </w:tc>
      </w:tr>
      <w:tr w:rsidR="00CA421F" w:rsidRPr="00A71934" w14:paraId="3F6A44C6" w14:textId="77777777" w:rsidTr="00CA421F">
        <w:trPr>
          <w:cantSplit/>
          <w:jc w:val="center"/>
        </w:trPr>
        <w:tc>
          <w:tcPr>
            <w:tcW w:w="271" w:type="dxa"/>
            <w:tcBorders>
              <w:left w:val="single" w:sz="4" w:space="0" w:color="808080" w:themeColor="background1" w:themeShade="80"/>
            </w:tcBorders>
            <w:shd w:val="clear" w:color="auto" w:fill="auto"/>
            <w:noWrap/>
            <w:vAlign w:val="center"/>
            <w:hideMark/>
          </w:tcPr>
          <w:p w14:paraId="23C86129" w14:textId="77777777" w:rsidR="00CA421F" w:rsidRPr="00A71934" w:rsidRDefault="00CA421F" w:rsidP="006A71D3">
            <w:pPr>
              <w:spacing w:after="0"/>
              <w:rPr>
                <w:rFonts w:ascii="Times New Roman" w:hAnsi="Times New Roman"/>
                <w:szCs w:val="20"/>
              </w:rPr>
            </w:pPr>
            <w:r w:rsidRPr="00A71934">
              <w:rPr>
                <w:rFonts w:ascii="Times New Roman" w:hAnsi="Times New Roman"/>
                <w:szCs w:val="20"/>
              </w:rPr>
              <w:t> </w:t>
            </w:r>
          </w:p>
        </w:tc>
        <w:tc>
          <w:tcPr>
            <w:tcW w:w="5707" w:type="dxa"/>
            <w:shd w:val="clear" w:color="auto" w:fill="auto"/>
            <w:vAlign w:val="center"/>
            <w:hideMark/>
          </w:tcPr>
          <w:p w14:paraId="59442FAB" w14:textId="77777777" w:rsidR="00CA421F" w:rsidRPr="00A71934" w:rsidRDefault="00CA421F" w:rsidP="006A71D3">
            <w:pPr>
              <w:spacing w:after="0"/>
              <w:rPr>
                <w:rFonts w:cs="Arial"/>
                <w:sz w:val="16"/>
                <w:szCs w:val="16"/>
              </w:rPr>
            </w:pPr>
          </w:p>
        </w:tc>
        <w:tc>
          <w:tcPr>
            <w:tcW w:w="1095" w:type="dxa"/>
            <w:shd w:val="clear" w:color="auto" w:fill="auto"/>
            <w:noWrap/>
            <w:vAlign w:val="center"/>
            <w:hideMark/>
          </w:tcPr>
          <w:p w14:paraId="27E5A1CB" w14:textId="77777777" w:rsidR="00CA421F" w:rsidRPr="00A71934" w:rsidRDefault="00CA421F" w:rsidP="006A71D3">
            <w:pPr>
              <w:spacing w:after="0"/>
              <w:jc w:val="right"/>
              <w:rPr>
                <w:rFonts w:cs="Arial"/>
                <w:sz w:val="16"/>
                <w:szCs w:val="16"/>
              </w:rPr>
            </w:pPr>
          </w:p>
        </w:tc>
        <w:tc>
          <w:tcPr>
            <w:tcW w:w="1095" w:type="dxa"/>
            <w:shd w:val="clear" w:color="auto" w:fill="auto"/>
            <w:vAlign w:val="center"/>
            <w:hideMark/>
          </w:tcPr>
          <w:p w14:paraId="2F7CA716" w14:textId="77777777" w:rsidR="00CA421F" w:rsidRPr="00A71934" w:rsidRDefault="00CA421F" w:rsidP="006A71D3">
            <w:pPr>
              <w:spacing w:after="0"/>
              <w:jc w:val="right"/>
              <w:rPr>
                <w:rFonts w:cs="Arial"/>
                <w:sz w:val="16"/>
                <w:szCs w:val="16"/>
              </w:rPr>
            </w:pPr>
          </w:p>
        </w:tc>
        <w:tc>
          <w:tcPr>
            <w:tcW w:w="1137" w:type="dxa"/>
            <w:tcBorders>
              <w:right w:val="single" w:sz="4" w:space="0" w:color="808080" w:themeColor="background1" w:themeShade="80"/>
            </w:tcBorders>
            <w:shd w:val="clear" w:color="auto" w:fill="auto"/>
            <w:vAlign w:val="center"/>
            <w:hideMark/>
          </w:tcPr>
          <w:p w14:paraId="5C22D5A0" w14:textId="77777777" w:rsidR="00CA421F" w:rsidRPr="00A71934" w:rsidRDefault="00CA421F" w:rsidP="006A71D3">
            <w:pPr>
              <w:spacing w:after="0"/>
              <w:jc w:val="right"/>
              <w:rPr>
                <w:rFonts w:cs="Arial"/>
                <w:b/>
                <w:bCs/>
                <w:sz w:val="16"/>
                <w:szCs w:val="16"/>
              </w:rPr>
            </w:pPr>
            <w:r w:rsidRPr="00A71934">
              <w:rPr>
                <w:rFonts w:cs="Arial"/>
                <w:b/>
                <w:bCs/>
                <w:sz w:val="16"/>
                <w:szCs w:val="16"/>
              </w:rPr>
              <w:t> </w:t>
            </w:r>
          </w:p>
        </w:tc>
      </w:tr>
      <w:tr w:rsidR="00CA421F" w:rsidRPr="00A71934" w14:paraId="74BF86EE" w14:textId="77777777" w:rsidTr="00CA421F">
        <w:trPr>
          <w:cantSplit/>
          <w:jc w:val="center"/>
        </w:trPr>
        <w:tc>
          <w:tcPr>
            <w:tcW w:w="5978" w:type="dxa"/>
            <w:gridSpan w:val="2"/>
            <w:tcBorders>
              <w:left w:val="single" w:sz="4" w:space="0" w:color="808080" w:themeColor="background1" w:themeShade="80"/>
            </w:tcBorders>
            <w:shd w:val="clear" w:color="000000" w:fill="D5DCE4"/>
            <w:noWrap/>
            <w:vAlign w:val="center"/>
            <w:hideMark/>
          </w:tcPr>
          <w:p w14:paraId="6ADD3E1D" w14:textId="77777777" w:rsidR="00CA421F" w:rsidRPr="00A71934" w:rsidRDefault="00CA421F" w:rsidP="006A71D3">
            <w:pPr>
              <w:spacing w:after="0"/>
              <w:rPr>
                <w:rFonts w:cs="Arial"/>
                <w:b/>
                <w:bCs/>
                <w:sz w:val="16"/>
                <w:szCs w:val="16"/>
              </w:rPr>
            </w:pPr>
            <w:r w:rsidRPr="00A71934">
              <w:rPr>
                <w:rFonts w:cs="Arial"/>
                <w:b/>
                <w:bCs/>
                <w:sz w:val="16"/>
                <w:szCs w:val="16"/>
              </w:rPr>
              <w:t xml:space="preserve">Χρέος Γενικής Κυβέρνησης </w:t>
            </w:r>
          </w:p>
        </w:tc>
        <w:tc>
          <w:tcPr>
            <w:tcW w:w="1095" w:type="dxa"/>
            <w:shd w:val="clear" w:color="000000" w:fill="D5DCE4"/>
            <w:vAlign w:val="center"/>
            <w:hideMark/>
          </w:tcPr>
          <w:p w14:paraId="44A4C4BD" w14:textId="77777777" w:rsidR="00CA421F" w:rsidRPr="00A71934" w:rsidRDefault="00CA421F" w:rsidP="006A71D3">
            <w:pPr>
              <w:spacing w:after="0"/>
              <w:jc w:val="right"/>
              <w:rPr>
                <w:rFonts w:cs="Arial"/>
                <w:b/>
                <w:bCs/>
                <w:sz w:val="16"/>
                <w:szCs w:val="16"/>
              </w:rPr>
            </w:pPr>
            <w:r w:rsidRPr="00A71934">
              <w:rPr>
                <w:rFonts w:cs="Arial"/>
                <w:b/>
                <w:bCs/>
                <w:sz w:val="16"/>
                <w:szCs w:val="16"/>
              </w:rPr>
              <w:t>365.000</w:t>
            </w:r>
          </w:p>
        </w:tc>
        <w:tc>
          <w:tcPr>
            <w:tcW w:w="1095" w:type="dxa"/>
            <w:shd w:val="clear" w:color="000000" w:fill="D5DCE4"/>
            <w:noWrap/>
            <w:vAlign w:val="center"/>
            <w:hideMark/>
          </w:tcPr>
          <w:p w14:paraId="001C5736" w14:textId="77777777" w:rsidR="00CA421F" w:rsidRPr="00A71934" w:rsidRDefault="00CA421F" w:rsidP="006A71D3">
            <w:pPr>
              <w:spacing w:after="0"/>
              <w:jc w:val="right"/>
              <w:rPr>
                <w:rFonts w:cs="Arial"/>
                <w:b/>
                <w:bCs/>
                <w:sz w:val="16"/>
                <w:szCs w:val="16"/>
              </w:rPr>
            </w:pPr>
            <w:r w:rsidRPr="00A71934">
              <w:rPr>
                <w:rFonts w:cs="Arial"/>
                <w:b/>
                <w:bCs/>
                <w:sz w:val="16"/>
                <w:szCs w:val="16"/>
              </w:rPr>
              <w:t>365.000</w:t>
            </w:r>
          </w:p>
        </w:tc>
        <w:tc>
          <w:tcPr>
            <w:tcW w:w="1137" w:type="dxa"/>
            <w:tcBorders>
              <w:right w:val="single" w:sz="4" w:space="0" w:color="808080" w:themeColor="background1" w:themeShade="80"/>
            </w:tcBorders>
            <w:shd w:val="clear" w:color="000000" w:fill="D5DCE4"/>
            <w:vAlign w:val="center"/>
            <w:hideMark/>
          </w:tcPr>
          <w:p w14:paraId="5A4A7035" w14:textId="77777777" w:rsidR="00CA421F" w:rsidRPr="00A71934" w:rsidRDefault="00CA421F" w:rsidP="006A71D3">
            <w:pPr>
              <w:spacing w:after="0"/>
              <w:jc w:val="right"/>
              <w:rPr>
                <w:rFonts w:cs="Arial"/>
                <w:b/>
                <w:bCs/>
                <w:sz w:val="16"/>
                <w:szCs w:val="16"/>
              </w:rPr>
            </w:pPr>
            <w:r w:rsidRPr="00A71934">
              <w:rPr>
                <w:rFonts w:cs="Arial"/>
                <w:b/>
                <w:bCs/>
                <w:sz w:val="16"/>
                <w:szCs w:val="16"/>
              </w:rPr>
              <w:t>0</w:t>
            </w:r>
          </w:p>
        </w:tc>
      </w:tr>
      <w:tr w:rsidR="00CA421F" w:rsidRPr="00A71934" w14:paraId="695BC62D" w14:textId="77777777" w:rsidTr="00CA421F">
        <w:trPr>
          <w:cantSplit/>
          <w:jc w:val="center"/>
        </w:trPr>
        <w:tc>
          <w:tcPr>
            <w:tcW w:w="5978" w:type="dxa"/>
            <w:gridSpan w:val="2"/>
            <w:tcBorders>
              <w:left w:val="single" w:sz="4" w:space="0" w:color="808080" w:themeColor="background1" w:themeShade="80"/>
            </w:tcBorders>
            <w:shd w:val="clear" w:color="000000" w:fill="D5DCE4"/>
            <w:vAlign w:val="center"/>
            <w:hideMark/>
          </w:tcPr>
          <w:p w14:paraId="72A85357" w14:textId="77777777" w:rsidR="00CA421F" w:rsidRPr="00A71934" w:rsidRDefault="00CA421F" w:rsidP="006A71D3">
            <w:pPr>
              <w:spacing w:after="0"/>
              <w:rPr>
                <w:rFonts w:cs="Arial"/>
                <w:b/>
                <w:bCs/>
                <w:sz w:val="16"/>
                <w:szCs w:val="16"/>
              </w:rPr>
            </w:pPr>
            <w:r w:rsidRPr="00A71934">
              <w:rPr>
                <w:rFonts w:cs="Arial"/>
                <w:b/>
                <w:bCs/>
                <w:sz w:val="16"/>
                <w:szCs w:val="16"/>
              </w:rPr>
              <w:t xml:space="preserve">Χρέος Γενικής Κυβέρνησης ως % του ΑΕΠ </w:t>
            </w:r>
          </w:p>
        </w:tc>
        <w:tc>
          <w:tcPr>
            <w:tcW w:w="1095" w:type="dxa"/>
            <w:shd w:val="clear" w:color="000000" w:fill="D5DCE4"/>
            <w:vAlign w:val="center"/>
            <w:hideMark/>
          </w:tcPr>
          <w:p w14:paraId="3E922C9D" w14:textId="77777777" w:rsidR="00CA421F" w:rsidRPr="00A71934" w:rsidRDefault="00CA421F" w:rsidP="006A71D3">
            <w:pPr>
              <w:spacing w:after="0"/>
              <w:jc w:val="right"/>
              <w:rPr>
                <w:rFonts w:cs="Arial"/>
                <w:b/>
                <w:bCs/>
                <w:sz w:val="16"/>
                <w:szCs w:val="16"/>
              </w:rPr>
            </w:pPr>
            <w:r w:rsidRPr="00A71934">
              <w:rPr>
                <w:rFonts w:cs="Arial"/>
                <w:b/>
                <w:bCs/>
                <w:sz w:val="16"/>
                <w:szCs w:val="16"/>
              </w:rPr>
              <w:t>154,0%</w:t>
            </w:r>
          </w:p>
        </w:tc>
        <w:tc>
          <w:tcPr>
            <w:tcW w:w="1095" w:type="dxa"/>
            <w:shd w:val="clear" w:color="000000" w:fill="D5DCE4"/>
            <w:vAlign w:val="center"/>
            <w:hideMark/>
          </w:tcPr>
          <w:p w14:paraId="08C64E31" w14:textId="77777777" w:rsidR="00CA421F" w:rsidRPr="00A71934" w:rsidRDefault="00CA421F" w:rsidP="006A71D3">
            <w:pPr>
              <w:spacing w:after="0"/>
              <w:jc w:val="right"/>
              <w:rPr>
                <w:rFonts w:cs="Arial"/>
                <w:b/>
                <w:bCs/>
                <w:sz w:val="16"/>
                <w:szCs w:val="16"/>
              </w:rPr>
            </w:pPr>
            <w:r w:rsidRPr="00A71934">
              <w:rPr>
                <w:rFonts w:cs="Arial"/>
                <w:b/>
                <w:bCs/>
                <w:sz w:val="16"/>
                <w:szCs w:val="16"/>
              </w:rPr>
              <w:t>147,5%</w:t>
            </w:r>
          </w:p>
        </w:tc>
        <w:tc>
          <w:tcPr>
            <w:tcW w:w="1137" w:type="dxa"/>
            <w:tcBorders>
              <w:right w:val="single" w:sz="4" w:space="0" w:color="808080" w:themeColor="background1" w:themeShade="80"/>
            </w:tcBorders>
            <w:shd w:val="clear" w:color="000000" w:fill="D5DCE4"/>
            <w:vAlign w:val="center"/>
            <w:hideMark/>
          </w:tcPr>
          <w:p w14:paraId="3AB26865" w14:textId="77777777" w:rsidR="00CA421F" w:rsidRPr="00A71934" w:rsidRDefault="00CA421F" w:rsidP="006A71D3">
            <w:pPr>
              <w:spacing w:after="0"/>
              <w:jc w:val="right"/>
              <w:rPr>
                <w:rFonts w:cs="Arial"/>
                <w:b/>
                <w:bCs/>
                <w:sz w:val="16"/>
                <w:szCs w:val="16"/>
              </w:rPr>
            </w:pPr>
            <w:r w:rsidRPr="00A71934">
              <w:rPr>
                <w:rFonts w:cs="Arial"/>
                <w:b/>
                <w:bCs/>
                <w:sz w:val="16"/>
                <w:szCs w:val="16"/>
              </w:rPr>
              <w:t>-6,5%</w:t>
            </w:r>
          </w:p>
        </w:tc>
      </w:tr>
      <w:tr w:rsidR="00CA421F" w:rsidRPr="00A71934" w14:paraId="2297C30A" w14:textId="77777777" w:rsidTr="00CA421F">
        <w:trPr>
          <w:cantSplit/>
          <w:jc w:val="center"/>
        </w:trPr>
        <w:tc>
          <w:tcPr>
            <w:tcW w:w="5978" w:type="dxa"/>
            <w:gridSpan w:val="2"/>
            <w:tcBorders>
              <w:left w:val="single" w:sz="4" w:space="0" w:color="808080" w:themeColor="background1" w:themeShade="80"/>
              <w:bottom w:val="single" w:sz="4" w:space="0" w:color="808080" w:themeColor="background1" w:themeShade="80"/>
            </w:tcBorders>
            <w:shd w:val="clear" w:color="auto" w:fill="F2F2F2" w:themeFill="background1" w:themeFillShade="F2"/>
            <w:vAlign w:val="center"/>
            <w:hideMark/>
          </w:tcPr>
          <w:p w14:paraId="00CEA43D" w14:textId="77777777" w:rsidR="00CA421F" w:rsidRPr="00A71934" w:rsidRDefault="00CA421F" w:rsidP="006A71D3">
            <w:pPr>
              <w:spacing w:after="0"/>
              <w:rPr>
                <w:rFonts w:cs="Arial"/>
                <w:sz w:val="16"/>
                <w:szCs w:val="16"/>
              </w:rPr>
            </w:pPr>
            <w:r w:rsidRPr="00A71934">
              <w:rPr>
                <w:rFonts w:cs="Arial"/>
                <w:sz w:val="16"/>
                <w:szCs w:val="16"/>
              </w:rPr>
              <w:t>ΑΕΠ</w:t>
            </w:r>
          </w:p>
        </w:tc>
        <w:tc>
          <w:tcPr>
            <w:tcW w:w="1095" w:type="dxa"/>
            <w:tcBorders>
              <w:bottom w:val="single" w:sz="4" w:space="0" w:color="808080" w:themeColor="background1" w:themeShade="80"/>
            </w:tcBorders>
            <w:shd w:val="clear" w:color="auto" w:fill="F2F2F2" w:themeFill="background1" w:themeFillShade="F2"/>
            <w:noWrap/>
            <w:vAlign w:val="center"/>
            <w:hideMark/>
          </w:tcPr>
          <w:p w14:paraId="127F5D41" w14:textId="77777777" w:rsidR="00CA421F" w:rsidRPr="00A71934" w:rsidRDefault="00CA421F" w:rsidP="006A71D3">
            <w:pPr>
              <w:spacing w:after="0"/>
              <w:jc w:val="right"/>
              <w:rPr>
                <w:rFonts w:cs="Arial"/>
                <w:sz w:val="16"/>
                <w:szCs w:val="16"/>
              </w:rPr>
            </w:pPr>
            <w:r w:rsidRPr="00A71934">
              <w:rPr>
                <w:rFonts w:cs="Arial"/>
                <w:sz w:val="16"/>
                <w:szCs w:val="16"/>
              </w:rPr>
              <w:t>236.965</w:t>
            </w:r>
          </w:p>
        </w:tc>
        <w:tc>
          <w:tcPr>
            <w:tcW w:w="1095" w:type="dxa"/>
            <w:tcBorders>
              <w:bottom w:val="single" w:sz="4" w:space="0" w:color="808080" w:themeColor="background1" w:themeShade="80"/>
            </w:tcBorders>
            <w:shd w:val="clear" w:color="auto" w:fill="F2F2F2" w:themeFill="background1" w:themeFillShade="F2"/>
            <w:noWrap/>
            <w:vAlign w:val="center"/>
            <w:hideMark/>
          </w:tcPr>
          <w:p w14:paraId="3B2936B8" w14:textId="77777777" w:rsidR="00CA421F" w:rsidRPr="00A71934" w:rsidRDefault="00CA421F" w:rsidP="006A71D3">
            <w:pPr>
              <w:spacing w:after="0"/>
              <w:jc w:val="right"/>
              <w:rPr>
                <w:rFonts w:cs="Arial"/>
                <w:sz w:val="16"/>
                <w:szCs w:val="16"/>
              </w:rPr>
            </w:pPr>
            <w:r w:rsidRPr="00A71934">
              <w:rPr>
                <w:rFonts w:cs="Arial"/>
                <w:sz w:val="16"/>
                <w:szCs w:val="16"/>
              </w:rPr>
              <w:t>247.514</w:t>
            </w:r>
          </w:p>
        </w:tc>
        <w:tc>
          <w:tcPr>
            <w:tcW w:w="1137" w:type="dxa"/>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7250759" w14:textId="77777777" w:rsidR="00CA421F" w:rsidRPr="00A71934" w:rsidRDefault="00CA421F" w:rsidP="006A71D3">
            <w:pPr>
              <w:spacing w:after="0"/>
              <w:jc w:val="right"/>
              <w:rPr>
                <w:rFonts w:cs="Arial"/>
                <w:sz w:val="16"/>
                <w:szCs w:val="16"/>
              </w:rPr>
            </w:pPr>
            <w:r w:rsidRPr="00A71934">
              <w:rPr>
                <w:rFonts w:cs="Arial"/>
                <w:sz w:val="16"/>
                <w:szCs w:val="16"/>
              </w:rPr>
              <w:t> </w:t>
            </w:r>
          </w:p>
        </w:tc>
      </w:tr>
      <w:tr w:rsidR="00CA421F" w:rsidRPr="00A71934" w14:paraId="40DB6CF1" w14:textId="77777777" w:rsidTr="00CA421F">
        <w:trPr>
          <w:cantSplit/>
          <w:jc w:val="center"/>
        </w:trPr>
        <w:tc>
          <w:tcPr>
            <w:tcW w:w="9305" w:type="dxa"/>
            <w:gridSpan w:val="5"/>
            <w:tcBorders>
              <w:top w:val="single" w:sz="4" w:space="0" w:color="808080" w:themeColor="background1" w:themeShade="80"/>
            </w:tcBorders>
            <w:shd w:val="clear" w:color="auto" w:fill="auto"/>
            <w:noWrap/>
            <w:vAlign w:val="center"/>
            <w:hideMark/>
          </w:tcPr>
          <w:p w14:paraId="33222B14" w14:textId="77777777" w:rsidR="00CA421F" w:rsidRPr="00A71934" w:rsidRDefault="00CA421F" w:rsidP="006A71D3">
            <w:pPr>
              <w:spacing w:before="60" w:after="0" w:line="240" w:lineRule="auto"/>
              <w:rPr>
                <w:rFonts w:cs="Arial"/>
                <w:sz w:val="16"/>
                <w:szCs w:val="16"/>
              </w:rPr>
            </w:pPr>
            <w:r w:rsidRPr="00A71934">
              <w:rPr>
                <w:rFonts w:cs="Arial"/>
                <w:sz w:val="16"/>
                <w:szCs w:val="16"/>
              </w:rPr>
              <w:t>* Εκτιμήσεις</w:t>
            </w:r>
            <w:r>
              <w:rPr>
                <w:rFonts w:cs="Arial"/>
                <w:sz w:val="16"/>
                <w:szCs w:val="16"/>
              </w:rPr>
              <w:t xml:space="preserve">, </w:t>
            </w:r>
            <w:r w:rsidRPr="00A71934">
              <w:rPr>
                <w:rFonts w:cs="Arial"/>
                <w:sz w:val="16"/>
                <w:szCs w:val="16"/>
              </w:rPr>
              <w:t>** Προβλέψεις</w:t>
            </w:r>
          </w:p>
        </w:tc>
      </w:tr>
      <w:tr w:rsidR="00CA421F" w:rsidRPr="00A71934" w14:paraId="6E9308F0" w14:textId="77777777" w:rsidTr="00CA421F">
        <w:trPr>
          <w:cantSplit/>
          <w:jc w:val="center"/>
        </w:trPr>
        <w:tc>
          <w:tcPr>
            <w:tcW w:w="5978" w:type="dxa"/>
            <w:gridSpan w:val="2"/>
            <w:shd w:val="clear" w:color="auto" w:fill="auto"/>
            <w:noWrap/>
            <w:vAlign w:val="center"/>
            <w:hideMark/>
          </w:tcPr>
          <w:p w14:paraId="3CEF28C0" w14:textId="77777777" w:rsidR="00CA421F" w:rsidRPr="00A71934" w:rsidRDefault="00CA421F" w:rsidP="006A71D3">
            <w:pPr>
              <w:spacing w:after="0" w:line="240" w:lineRule="auto"/>
              <w:rPr>
                <w:rFonts w:cs="Arial"/>
                <w:sz w:val="16"/>
                <w:szCs w:val="16"/>
              </w:rPr>
            </w:pPr>
          </w:p>
        </w:tc>
        <w:tc>
          <w:tcPr>
            <w:tcW w:w="1095" w:type="dxa"/>
            <w:shd w:val="clear" w:color="auto" w:fill="auto"/>
            <w:noWrap/>
            <w:vAlign w:val="bottom"/>
            <w:hideMark/>
          </w:tcPr>
          <w:p w14:paraId="3DFB275D" w14:textId="77777777" w:rsidR="00CA421F" w:rsidRPr="00A71934" w:rsidRDefault="00CA421F" w:rsidP="006A71D3">
            <w:pPr>
              <w:spacing w:after="0" w:line="240" w:lineRule="auto"/>
              <w:rPr>
                <w:rFonts w:cs="Arial"/>
                <w:sz w:val="16"/>
                <w:szCs w:val="16"/>
              </w:rPr>
            </w:pPr>
          </w:p>
        </w:tc>
        <w:tc>
          <w:tcPr>
            <w:tcW w:w="1095" w:type="dxa"/>
            <w:shd w:val="clear" w:color="auto" w:fill="auto"/>
            <w:noWrap/>
            <w:vAlign w:val="bottom"/>
            <w:hideMark/>
          </w:tcPr>
          <w:p w14:paraId="6721FDEA" w14:textId="77777777" w:rsidR="00CA421F" w:rsidRPr="00A71934" w:rsidRDefault="00CA421F" w:rsidP="006A71D3">
            <w:pPr>
              <w:spacing w:after="0" w:line="240" w:lineRule="auto"/>
              <w:rPr>
                <w:rFonts w:cs="Arial"/>
                <w:sz w:val="16"/>
                <w:szCs w:val="16"/>
              </w:rPr>
            </w:pPr>
          </w:p>
        </w:tc>
        <w:tc>
          <w:tcPr>
            <w:tcW w:w="1137" w:type="dxa"/>
            <w:shd w:val="clear" w:color="auto" w:fill="auto"/>
            <w:noWrap/>
            <w:vAlign w:val="bottom"/>
            <w:hideMark/>
          </w:tcPr>
          <w:p w14:paraId="1E16DFC3" w14:textId="77777777" w:rsidR="00CA421F" w:rsidRPr="00A71934" w:rsidRDefault="00CA421F" w:rsidP="006A71D3">
            <w:pPr>
              <w:spacing w:after="0" w:line="240" w:lineRule="auto"/>
              <w:rPr>
                <w:rFonts w:cs="Arial"/>
                <w:sz w:val="16"/>
                <w:szCs w:val="16"/>
              </w:rPr>
            </w:pPr>
          </w:p>
        </w:tc>
      </w:tr>
      <w:tr w:rsidR="00CA421F" w:rsidRPr="00A71934" w14:paraId="1661B715" w14:textId="77777777" w:rsidTr="00CA421F">
        <w:trPr>
          <w:cantSplit/>
          <w:jc w:val="center"/>
        </w:trPr>
        <w:tc>
          <w:tcPr>
            <w:tcW w:w="9305" w:type="dxa"/>
            <w:gridSpan w:val="5"/>
            <w:shd w:val="clear" w:color="auto" w:fill="auto"/>
            <w:noWrap/>
            <w:vAlign w:val="center"/>
            <w:hideMark/>
          </w:tcPr>
          <w:p w14:paraId="19CADBDF" w14:textId="77777777" w:rsidR="00CA421F" w:rsidRPr="00A71934" w:rsidRDefault="00CA421F" w:rsidP="006A71D3">
            <w:pPr>
              <w:spacing w:after="0" w:line="240" w:lineRule="auto"/>
              <w:rPr>
                <w:rFonts w:cs="Arial"/>
                <w:sz w:val="16"/>
                <w:szCs w:val="16"/>
              </w:rPr>
            </w:pPr>
            <w:r w:rsidRPr="00A71934">
              <w:rPr>
                <w:rFonts w:cs="Arial"/>
                <w:sz w:val="16"/>
                <w:szCs w:val="16"/>
              </w:rPr>
              <w:t>Πηγή: ΟΔΔΗΧ</w:t>
            </w:r>
          </w:p>
        </w:tc>
      </w:tr>
    </w:tbl>
    <w:p w14:paraId="5F6E2365" w14:textId="4EC65AD6" w:rsidR="00805F10" w:rsidRDefault="00805F10" w:rsidP="00BC1E1B">
      <w:pPr>
        <w:jc w:val="both"/>
      </w:pPr>
    </w:p>
    <w:sectPr w:rsidR="00805F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F76BE" w14:textId="77777777" w:rsidR="00F511B5" w:rsidRDefault="00F511B5" w:rsidP="00424A57">
      <w:pPr>
        <w:spacing w:after="0" w:line="240" w:lineRule="auto"/>
      </w:pPr>
      <w:r>
        <w:separator/>
      </w:r>
    </w:p>
  </w:endnote>
  <w:endnote w:type="continuationSeparator" w:id="0">
    <w:p w14:paraId="0EF154C9" w14:textId="77777777" w:rsidR="00F511B5" w:rsidRDefault="00F511B5" w:rsidP="0042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83" w:usb1="00000000" w:usb2="00000000" w:usb3="00000000" w:csb0="000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053447"/>
      <w:docPartObj>
        <w:docPartGallery w:val="Page Numbers (Bottom of Page)"/>
        <w:docPartUnique/>
      </w:docPartObj>
    </w:sdtPr>
    <w:sdtEndPr>
      <w:rPr>
        <w:noProof/>
      </w:rPr>
    </w:sdtEndPr>
    <w:sdtContent>
      <w:p w14:paraId="5A8ED379" w14:textId="523B4B84" w:rsidR="00424A57" w:rsidRDefault="00424A57">
        <w:pPr>
          <w:pStyle w:val="a4"/>
          <w:jc w:val="right"/>
        </w:pPr>
        <w:r>
          <w:fldChar w:fldCharType="begin"/>
        </w:r>
        <w:r>
          <w:instrText xml:space="preserve"> PAGE   \* MERGEFORMAT </w:instrText>
        </w:r>
        <w:r>
          <w:fldChar w:fldCharType="separate"/>
        </w:r>
        <w:r w:rsidR="009976CF">
          <w:rPr>
            <w:noProof/>
          </w:rPr>
          <w:t>2</w:t>
        </w:r>
        <w:r>
          <w:rPr>
            <w:noProof/>
          </w:rPr>
          <w:fldChar w:fldCharType="end"/>
        </w:r>
      </w:p>
    </w:sdtContent>
  </w:sdt>
  <w:p w14:paraId="71A5EB07" w14:textId="77777777" w:rsidR="00424A57" w:rsidRDefault="00424A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68391" w14:textId="77777777" w:rsidR="00F511B5" w:rsidRDefault="00F511B5" w:rsidP="00424A57">
      <w:pPr>
        <w:spacing w:after="0" w:line="240" w:lineRule="auto"/>
      </w:pPr>
      <w:r>
        <w:separator/>
      </w:r>
    </w:p>
  </w:footnote>
  <w:footnote w:type="continuationSeparator" w:id="0">
    <w:p w14:paraId="3119F63E" w14:textId="77777777" w:rsidR="00F511B5" w:rsidRDefault="00F511B5" w:rsidP="00424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1566B"/>
    <w:multiLevelType w:val="hybridMultilevel"/>
    <w:tmpl w:val="D91A68EA"/>
    <w:lvl w:ilvl="0" w:tplc="04080001">
      <w:start w:val="1"/>
      <w:numFmt w:val="bullet"/>
      <w:lvlText w:val=""/>
      <w:lvlJc w:val="left"/>
      <w:pPr>
        <w:ind w:left="720" w:hanging="360"/>
      </w:pPr>
      <w:rPr>
        <w:rFonts w:ascii="Symbol" w:hAnsi="Symbol" w:hint="default"/>
      </w:rPr>
    </w:lvl>
    <w:lvl w:ilvl="1" w:tplc="C6789322">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0E7C37"/>
    <w:multiLevelType w:val="hybridMultilevel"/>
    <w:tmpl w:val="463604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93157082">
    <w:abstractNumId w:val="0"/>
  </w:num>
  <w:num w:numId="2" w16cid:durableId="5928583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10"/>
    <w:rsid w:val="00005508"/>
    <w:rsid w:val="00025712"/>
    <w:rsid w:val="000351AD"/>
    <w:rsid w:val="00075584"/>
    <w:rsid w:val="000E5822"/>
    <w:rsid w:val="000F58B8"/>
    <w:rsid w:val="00100ED8"/>
    <w:rsid w:val="0011782A"/>
    <w:rsid w:val="001547E3"/>
    <w:rsid w:val="0018674D"/>
    <w:rsid w:val="001A6954"/>
    <w:rsid w:val="001B17B2"/>
    <w:rsid w:val="001C419C"/>
    <w:rsid w:val="002029C8"/>
    <w:rsid w:val="002662C5"/>
    <w:rsid w:val="00283714"/>
    <w:rsid w:val="002A6164"/>
    <w:rsid w:val="002C3A9A"/>
    <w:rsid w:val="002D0457"/>
    <w:rsid w:val="00345BB4"/>
    <w:rsid w:val="003A14E2"/>
    <w:rsid w:val="003B18FD"/>
    <w:rsid w:val="003E0F85"/>
    <w:rsid w:val="00403169"/>
    <w:rsid w:val="00416693"/>
    <w:rsid w:val="00424A57"/>
    <w:rsid w:val="00433831"/>
    <w:rsid w:val="0045606C"/>
    <w:rsid w:val="00466640"/>
    <w:rsid w:val="00477F98"/>
    <w:rsid w:val="00491BE4"/>
    <w:rsid w:val="004D7B71"/>
    <w:rsid w:val="00503F86"/>
    <w:rsid w:val="00514DD6"/>
    <w:rsid w:val="00561DB5"/>
    <w:rsid w:val="00582088"/>
    <w:rsid w:val="005A1ABA"/>
    <w:rsid w:val="005E1ACC"/>
    <w:rsid w:val="005E6BB5"/>
    <w:rsid w:val="005F3860"/>
    <w:rsid w:val="00612EE8"/>
    <w:rsid w:val="00620213"/>
    <w:rsid w:val="006558D8"/>
    <w:rsid w:val="0066455F"/>
    <w:rsid w:val="00685094"/>
    <w:rsid w:val="006C7136"/>
    <w:rsid w:val="006D1418"/>
    <w:rsid w:val="006D74BB"/>
    <w:rsid w:val="006E68DE"/>
    <w:rsid w:val="006F4B31"/>
    <w:rsid w:val="006F7137"/>
    <w:rsid w:val="00730831"/>
    <w:rsid w:val="0076392C"/>
    <w:rsid w:val="00770626"/>
    <w:rsid w:val="007805FE"/>
    <w:rsid w:val="007A1052"/>
    <w:rsid w:val="007F3608"/>
    <w:rsid w:val="007F50A6"/>
    <w:rsid w:val="00802032"/>
    <w:rsid w:val="00805F10"/>
    <w:rsid w:val="008438E9"/>
    <w:rsid w:val="008856B9"/>
    <w:rsid w:val="008E34F0"/>
    <w:rsid w:val="008E68F6"/>
    <w:rsid w:val="009574D1"/>
    <w:rsid w:val="009651D3"/>
    <w:rsid w:val="009976CF"/>
    <w:rsid w:val="009A2C5C"/>
    <w:rsid w:val="009A5FFC"/>
    <w:rsid w:val="009C1F84"/>
    <w:rsid w:val="009D7B6F"/>
    <w:rsid w:val="00A16D8C"/>
    <w:rsid w:val="00A21B76"/>
    <w:rsid w:val="00A22687"/>
    <w:rsid w:val="00A261EC"/>
    <w:rsid w:val="00A429BF"/>
    <w:rsid w:val="00A85E47"/>
    <w:rsid w:val="00A93532"/>
    <w:rsid w:val="00A94C84"/>
    <w:rsid w:val="00B003DD"/>
    <w:rsid w:val="00B04A0A"/>
    <w:rsid w:val="00B22E86"/>
    <w:rsid w:val="00B55F99"/>
    <w:rsid w:val="00B77AE5"/>
    <w:rsid w:val="00B8082C"/>
    <w:rsid w:val="00BA4008"/>
    <w:rsid w:val="00BC1E1B"/>
    <w:rsid w:val="00C117D2"/>
    <w:rsid w:val="00C23E49"/>
    <w:rsid w:val="00C40B59"/>
    <w:rsid w:val="00C45AFF"/>
    <w:rsid w:val="00C80833"/>
    <w:rsid w:val="00C97D03"/>
    <w:rsid w:val="00CA421F"/>
    <w:rsid w:val="00CB5870"/>
    <w:rsid w:val="00CC0176"/>
    <w:rsid w:val="00CD5C38"/>
    <w:rsid w:val="00D0472C"/>
    <w:rsid w:val="00D055B1"/>
    <w:rsid w:val="00D1298E"/>
    <w:rsid w:val="00D50F2E"/>
    <w:rsid w:val="00D666AD"/>
    <w:rsid w:val="00D85128"/>
    <w:rsid w:val="00D9632D"/>
    <w:rsid w:val="00DA191C"/>
    <w:rsid w:val="00DA3D21"/>
    <w:rsid w:val="00DB7273"/>
    <w:rsid w:val="00DD7572"/>
    <w:rsid w:val="00DF572F"/>
    <w:rsid w:val="00E05A38"/>
    <w:rsid w:val="00E216E0"/>
    <w:rsid w:val="00E7021D"/>
    <w:rsid w:val="00E71D7E"/>
    <w:rsid w:val="00E71EED"/>
    <w:rsid w:val="00EC20FE"/>
    <w:rsid w:val="00EF5CDB"/>
    <w:rsid w:val="00F167A7"/>
    <w:rsid w:val="00F511B5"/>
    <w:rsid w:val="00FD2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D1B"/>
  <w15:docId w15:val="{51E5838D-932F-4DE8-B2D3-7C78CD4F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9A"/>
    <w:pPr>
      <w:spacing w:after="200" w:line="276" w:lineRule="auto"/>
    </w:pPr>
    <w:rPr>
      <w:kern w:val="0"/>
      <w:lang w:val="el-GR"/>
      <w14:ligatures w14:val="none"/>
    </w:rPr>
  </w:style>
  <w:style w:type="paragraph" w:styleId="1">
    <w:name w:val="heading 1"/>
    <w:aliases w:val="1_ΚΕΦΑΛΑΙΟ"/>
    <w:basedOn w:val="a"/>
    <w:next w:val="a"/>
    <w:link w:val="1Char"/>
    <w:uiPriority w:val="9"/>
    <w:qFormat/>
    <w:rsid w:val="000351AD"/>
    <w:pPr>
      <w:keepNext/>
      <w:spacing w:after="120" w:line="300" w:lineRule="auto"/>
      <w:jc w:val="both"/>
      <w:outlineLvl w:val="0"/>
    </w:pPr>
    <w:rPr>
      <w:rFonts w:ascii="Arial" w:eastAsia="Times New Roman" w:hAnsi="Arial" w:cs="Times New Roman"/>
      <w:b/>
      <w:bCs/>
      <w:color w:val="2F5496"/>
      <w:kern w:val="32"/>
      <w:sz w:val="28"/>
      <w:szCs w:val="32"/>
      <w:lang w:eastAsia="el-GR"/>
    </w:rPr>
  </w:style>
  <w:style w:type="paragraph" w:styleId="2">
    <w:name w:val="heading 2"/>
    <w:aliases w:val="2_ΘΕΜΑ ΚΕΦΑΛΑΙΟΥ"/>
    <w:basedOn w:val="a"/>
    <w:next w:val="a"/>
    <w:link w:val="2Char"/>
    <w:qFormat/>
    <w:rsid w:val="000351AD"/>
    <w:pPr>
      <w:keepNext/>
      <w:spacing w:after="600" w:line="300" w:lineRule="auto"/>
      <w:jc w:val="both"/>
      <w:outlineLvl w:val="1"/>
    </w:pPr>
    <w:rPr>
      <w:rFonts w:ascii="Arial" w:eastAsia="Times New Roman" w:hAnsi="Arial" w:cs="Times New Roman"/>
      <w:b/>
      <w:bCs/>
      <w:iCs/>
      <w:color w:val="2F5496"/>
      <w:sz w:val="28"/>
      <w:szCs w:val="28"/>
      <w:lang w:eastAsia="el-GR"/>
    </w:rPr>
  </w:style>
  <w:style w:type="paragraph" w:styleId="3">
    <w:name w:val="heading 3"/>
    <w:aliases w:val="3_1.1."/>
    <w:basedOn w:val="a"/>
    <w:next w:val="a"/>
    <w:link w:val="3Char"/>
    <w:qFormat/>
    <w:rsid w:val="000351AD"/>
    <w:pPr>
      <w:keepNext/>
      <w:shd w:val="clear" w:color="auto" w:fill="D5DCE4"/>
      <w:spacing w:before="480" w:after="360" w:line="300" w:lineRule="auto"/>
      <w:jc w:val="both"/>
      <w:outlineLvl w:val="2"/>
    </w:pPr>
    <w:rPr>
      <w:rFonts w:ascii="Arial" w:eastAsia="Times New Roman" w:hAnsi="Arial" w:cs="Times New Roman"/>
      <w:b/>
      <w:bCs/>
      <w:color w:val="2F5496"/>
      <w:sz w:val="24"/>
      <w:szCs w:val="26"/>
      <w:lang w:eastAsia="el-GR"/>
    </w:rPr>
  </w:style>
  <w:style w:type="paragraph" w:styleId="4">
    <w:name w:val="heading 4"/>
    <w:aliases w:val="4_1.1.1."/>
    <w:basedOn w:val="a"/>
    <w:next w:val="a"/>
    <w:link w:val="4Char"/>
    <w:unhideWhenUsed/>
    <w:qFormat/>
    <w:rsid w:val="008438E9"/>
    <w:pPr>
      <w:keepNext/>
      <w:spacing w:before="360" w:after="240" w:line="300" w:lineRule="auto"/>
      <w:jc w:val="both"/>
      <w:outlineLvl w:val="3"/>
    </w:pPr>
    <w:rPr>
      <w:rFonts w:ascii="Arial" w:eastAsia="Times New Roman" w:hAnsi="Arial" w:cs="Times New Roman"/>
      <w:b/>
      <w:color w:val="2F5496"/>
      <w:lang w:eastAsia="el-GR"/>
    </w:rPr>
  </w:style>
  <w:style w:type="paragraph" w:styleId="5">
    <w:name w:val="heading 5"/>
    <w:aliases w:val="5_1.1.1.1"/>
    <w:basedOn w:val="a"/>
    <w:next w:val="a"/>
    <w:link w:val="5Char"/>
    <w:qFormat/>
    <w:rsid w:val="000351AD"/>
    <w:pPr>
      <w:keepNext/>
      <w:spacing w:before="480" w:after="360" w:line="300" w:lineRule="auto"/>
      <w:jc w:val="both"/>
      <w:outlineLvl w:val="4"/>
    </w:pPr>
    <w:rPr>
      <w:rFonts w:ascii="Arial" w:eastAsia="Times New Roman" w:hAnsi="Arial" w:cs="Times New Roman"/>
      <w:b/>
      <w:color w:val="2F5496"/>
      <w:lang w:eastAsia="el-GR"/>
    </w:rPr>
  </w:style>
  <w:style w:type="paragraph" w:styleId="6">
    <w:name w:val="heading 6"/>
    <w:basedOn w:val="a"/>
    <w:next w:val="a"/>
    <w:link w:val="6Char"/>
    <w:qFormat/>
    <w:rsid w:val="000351AD"/>
    <w:pPr>
      <w:keepNext/>
      <w:spacing w:after="120" w:line="300" w:lineRule="auto"/>
      <w:jc w:val="both"/>
      <w:outlineLvl w:val="5"/>
    </w:pPr>
    <w:rPr>
      <w:rFonts w:ascii="Arial Narrow" w:eastAsia="Times New Roman" w:hAnsi="Arial Narrow" w:cs="Times New Roman"/>
      <w:b/>
      <w:lang w:eastAsia="el-GR"/>
    </w:rPr>
  </w:style>
  <w:style w:type="paragraph" w:styleId="7">
    <w:name w:val="heading 7"/>
    <w:basedOn w:val="a"/>
    <w:next w:val="a"/>
    <w:link w:val="7Char"/>
    <w:qFormat/>
    <w:rsid w:val="000351AD"/>
    <w:pPr>
      <w:keepNext/>
      <w:spacing w:after="120" w:line="300" w:lineRule="auto"/>
      <w:jc w:val="both"/>
      <w:outlineLvl w:val="6"/>
    </w:pPr>
    <w:rPr>
      <w:rFonts w:ascii="Arial Narrow" w:eastAsia="Times New Roman" w:hAnsi="Arial Narrow" w:cs="Times New Roman"/>
      <w:b/>
      <w:i/>
      <w:lang w:eastAsia="el-GR"/>
    </w:rPr>
  </w:style>
  <w:style w:type="paragraph" w:styleId="8">
    <w:name w:val="heading 8"/>
    <w:basedOn w:val="a"/>
    <w:next w:val="a"/>
    <w:link w:val="8Char"/>
    <w:qFormat/>
    <w:rsid w:val="000351AD"/>
    <w:pPr>
      <w:keepNext/>
      <w:spacing w:before="100" w:beforeAutospacing="1" w:after="100" w:afterAutospacing="1" w:line="300" w:lineRule="auto"/>
      <w:jc w:val="both"/>
      <w:outlineLvl w:val="7"/>
    </w:pPr>
    <w:rPr>
      <w:rFonts w:ascii="Arial Narrow" w:eastAsia="Times New Roman" w:hAnsi="Arial Narrow" w:cs="Times New Roman"/>
      <w:b/>
      <w:sz w:val="16"/>
      <w:szCs w:val="16"/>
      <w:lang w:eastAsia="el-GR"/>
    </w:rPr>
  </w:style>
  <w:style w:type="paragraph" w:styleId="9">
    <w:name w:val="heading 9"/>
    <w:basedOn w:val="a"/>
    <w:next w:val="a"/>
    <w:link w:val="9Char"/>
    <w:qFormat/>
    <w:rsid w:val="000351AD"/>
    <w:pPr>
      <w:keepNext/>
      <w:spacing w:after="120" w:line="300" w:lineRule="auto"/>
      <w:jc w:val="both"/>
      <w:outlineLvl w:val="8"/>
    </w:pPr>
    <w:rPr>
      <w:rFonts w:ascii="Arial Narrow" w:eastAsia="Times New Roman" w:hAnsi="Arial Narrow" w:cs="Times New Roman"/>
      <w:b/>
      <w:color w:val="000080"/>
      <w:sz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aliases w:val="4_1.1.1. Char"/>
    <w:basedOn w:val="a0"/>
    <w:link w:val="4"/>
    <w:rsid w:val="008438E9"/>
    <w:rPr>
      <w:rFonts w:ascii="Arial" w:eastAsia="Times New Roman" w:hAnsi="Arial" w:cs="Times New Roman"/>
      <w:b/>
      <w:color w:val="2F5496"/>
      <w:kern w:val="0"/>
      <w:lang w:val="el-GR" w:eastAsia="el-GR"/>
      <w14:ligatures w14:val="none"/>
    </w:rPr>
  </w:style>
  <w:style w:type="character" w:customStyle="1" w:styleId="1Char">
    <w:name w:val="Επικεφαλίδα 1 Char"/>
    <w:aliases w:val="1_ΚΕΦΑΛΑΙΟ Char"/>
    <w:basedOn w:val="a0"/>
    <w:link w:val="1"/>
    <w:uiPriority w:val="9"/>
    <w:rsid w:val="000351AD"/>
    <w:rPr>
      <w:rFonts w:ascii="Arial" w:eastAsia="Times New Roman" w:hAnsi="Arial" w:cs="Times New Roman"/>
      <w:b/>
      <w:bCs/>
      <w:color w:val="2F5496"/>
      <w:kern w:val="32"/>
      <w:sz w:val="28"/>
      <w:szCs w:val="32"/>
      <w:lang w:val="el-GR" w:eastAsia="el-GR"/>
      <w14:ligatures w14:val="none"/>
    </w:rPr>
  </w:style>
  <w:style w:type="character" w:customStyle="1" w:styleId="2Char">
    <w:name w:val="Επικεφαλίδα 2 Char"/>
    <w:aliases w:val="2_ΘΕΜΑ ΚΕΦΑΛΑΙΟΥ Char"/>
    <w:basedOn w:val="a0"/>
    <w:link w:val="2"/>
    <w:rsid w:val="000351AD"/>
    <w:rPr>
      <w:rFonts w:ascii="Arial" w:eastAsia="Times New Roman" w:hAnsi="Arial" w:cs="Times New Roman"/>
      <w:b/>
      <w:bCs/>
      <w:iCs/>
      <w:color w:val="2F5496"/>
      <w:kern w:val="0"/>
      <w:sz w:val="28"/>
      <w:szCs w:val="28"/>
      <w:lang w:val="el-GR" w:eastAsia="el-GR"/>
      <w14:ligatures w14:val="none"/>
    </w:rPr>
  </w:style>
  <w:style w:type="character" w:customStyle="1" w:styleId="3Char">
    <w:name w:val="Επικεφαλίδα 3 Char"/>
    <w:aliases w:val="3_1.1. Char"/>
    <w:basedOn w:val="a0"/>
    <w:link w:val="3"/>
    <w:rsid w:val="000351AD"/>
    <w:rPr>
      <w:rFonts w:ascii="Arial" w:eastAsia="Times New Roman" w:hAnsi="Arial" w:cs="Times New Roman"/>
      <w:b/>
      <w:bCs/>
      <w:color w:val="2F5496"/>
      <w:kern w:val="0"/>
      <w:sz w:val="24"/>
      <w:szCs w:val="26"/>
      <w:shd w:val="clear" w:color="auto" w:fill="D5DCE4"/>
      <w:lang w:val="el-GR" w:eastAsia="el-GR"/>
      <w14:ligatures w14:val="none"/>
    </w:rPr>
  </w:style>
  <w:style w:type="character" w:customStyle="1" w:styleId="5Char">
    <w:name w:val="Επικεφαλίδα 5 Char"/>
    <w:aliases w:val="5_1.1.1.1 Char"/>
    <w:basedOn w:val="a0"/>
    <w:link w:val="5"/>
    <w:rsid w:val="000351AD"/>
    <w:rPr>
      <w:rFonts w:ascii="Arial" w:eastAsia="Times New Roman" w:hAnsi="Arial" w:cs="Times New Roman"/>
      <w:b/>
      <w:color w:val="2F5496"/>
      <w:kern w:val="0"/>
      <w:lang w:val="el-GR" w:eastAsia="el-GR"/>
      <w14:ligatures w14:val="none"/>
    </w:rPr>
  </w:style>
  <w:style w:type="character" w:customStyle="1" w:styleId="6Char">
    <w:name w:val="Επικεφαλίδα 6 Char"/>
    <w:basedOn w:val="a0"/>
    <w:link w:val="6"/>
    <w:rsid w:val="000351AD"/>
    <w:rPr>
      <w:rFonts w:ascii="Arial Narrow" w:eastAsia="Times New Roman" w:hAnsi="Arial Narrow" w:cs="Times New Roman"/>
      <w:b/>
      <w:kern w:val="0"/>
      <w:lang w:val="el-GR" w:eastAsia="el-GR"/>
      <w14:ligatures w14:val="none"/>
    </w:rPr>
  </w:style>
  <w:style w:type="character" w:customStyle="1" w:styleId="7Char">
    <w:name w:val="Επικεφαλίδα 7 Char"/>
    <w:basedOn w:val="a0"/>
    <w:link w:val="7"/>
    <w:rsid w:val="000351AD"/>
    <w:rPr>
      <w:rFonts w:ascii="Arial Narrow" w:eastAsia="Times New Roman" w:hAnsi="Arial Narrow" w:cs="Times New Roman"/>
      <w:b/>
      <w:i/>
      <w:kern w:val="0"/>
      <w:lang w:val="el-GR" w:eastAsia="el-GR"/>
      <w14:ligatures w14:val="none"/>
    </w:rPr>
  </w:style>
  <w:style w:type="character" w:customStyle="1" w:styleId="8Char">
    <w:name w:val="Επικεφαλίδα 8 Char"/>
    <w:basedOn w:val="a0"/>
    <w:link w:val="8"/>
    <w:rsid w:val="000351AD"/>
    <w:rPr>
      <w:rFonts w:ascii="Arial Narrow" w:eastAsia="Times New Roman" w:hAnsi="Arial Narrow" w:cs="Times New Roman"/>
      <w:b/>
      <w:kern w:val="0"/>
      <w:sz w:val="16"/>
      <w:szCs w:val="16"/>
      <w:lang w:val="el-GR" w:eastAsia="el-GR"/>
      <w14:ligatures w14:val="none"/>
    </w:rPr>
  </w:style>
  <w:style w:type="character" w:customStyle="1" w:styleId="9Char">
    <w:name w:val="Επικεφαλίδα 9 Char"/>
    <w:basedOn w:val="a0"/>
    <w:link w:val="9"/>
    <w:rsid w:val="000351AD"/>
    <w:rPr>
      <w:rFonts w:ascii="Arial Narrow" w:eastAsia="Times New Roman" w:hAnsi="Arial Narrow" w:cs="Times New Roman"/>
      <w:b/>
      <w:color w:val="000080"/>
      <w:kern w:val="0"/>
      <w:sz w:val="20"/>
      <w:lang w:val="el-GR" w:eastAsia="el-GR"/>
      <w14:ligatures w14:val="none"/>
    </w:rPr>
  </w:style>
  <w:style w:type="numbering" w:customStyle="1" w:styleId="NoList1">
    <w:name w:val="No List1"/>
    <w:next w:val="a2"/>
    <w:uiPriority w:val="99"/>
    <w:semiHidden/>
    <w:unhideWhenUsed/>
    <w:rsid w:val="000351AD"/>
  </w:style>
  <w:style w:type="paragraph" w:styleId="a3">
    <w:name w:val="header"/>
    <w:basedOn w:val="a"/>
    <w:link w:val="Char"/>
    <w:rsid w:val="000351AD"/>
    <w:pPr>
      <w:tabs>
        <w:tab w:val="center" w:pos="4153"/>
        <w:tab w:val="right" w:pos="8306"/>
      </w:tabs>
      <w:spacing w:after="120" w:line="300" w:lineRule="auto"/>
      <w:jc w:val="both"/>
    </w:pPr>
    <w:rPr>
      <w:rFonts w:ascii="Arial" w:eastAsia="Times New Roman" w:hAnsi="Arial" w:cs="Times New Roman"/>
      <w:sz w:val="20"/>
      <w:szCs w:val="24"/>
      <w:lang w:eastAsia="el-GR"/>
    </w:rPr>
  </w:style>
  <w:style w:type="character" w:customStyle="1" w:styleId="Char">
    <w:name w:val="Κεφαλίδα Char"/>
    <w:basedOn w:val="a0"/>
    <w:link w:val="a3"/>
    <w:rsid w:val="000351AD"/>
    <w:rPr>
      <w:rFonts w:ascii="Arial" w:eastAsia="Times New Roman" w:hAnsi="Arial" w:cs="Times New Roman"/>
      <w:kern w:val="0"/>
      <w:sz w:val="20"/>
      <w:szCs w:val="24"/>
      <w:lang w:val="el-GR" w:eastAsia="el-GR"/>
      <w14:ligatures w14:val="none"/>
    </w:rPr>
  </w:style>
  <w:style w:type="paragraph" w:styleId="a4">
    <w:name w:val="footer"/>
    <w:basedOn w:val="a"/>
    <w:link w:val="Char0"/>
    <w:rsid w:val="000351AD"/>
    <w:pPr>
      <w:tabs>
        <w:tab w:val="center" w:pos="4153"/>
        <w:tab w:val="right" w:pos="8306"/>
      </w:tabs>
      <w:spacing w:after="120" w:line="300" w:lineRule="auto"/>
      <w:jc w:val="both"/>
    </w:pPr>
    <w:rPr>
      <w:rFonts w:ascii="Arial" w:eastAsia="Times New Roman" w:hAnsi="Arial" w:cs="Times New Roman"/>
      <w:sz w:val="20"/>
      <w:szCs w:val="24"/>
      <w:lang w:eastAsia="el-GR"/>
    </w:rPr>
  </w:style>
  <w:style w:type="character" w:customStyle="1" w:styleId="Char0">
    <w:name w:val="Υποσέλιδο Char"/>
    <w:basedOn w:val="a0"/>
    <w:link w:val="a4"/>
    <w:rsid w:val="000351AD"/>
    <w:rPr>
      <w:rFonts w:ascii="Arial" w:eastAsia="Times New Roman" w:hAnsi="Arial" w:cs="Times New Roman"/>
      <w:kern w:val="0"/>
      <w:sz w:val="20"/>
      <w:szCs w:val="24"/>
      <w:lang w:val="el-GR" w:eastAsia="el-GR"/>
      <w14:ligatures w14:val="none"/>
    </w:rPr>
  </w:style>
  <w:style w:type="character" w:styleId="a5">
    <w:name w:val="page number"/>
    <w:basedOn w:val="a0"/>
    <w:rsid w:val="000351AD"/>
  </w:style>
  <w:style w:type="paragraph" w:styleId="a6">
    <w:name w:val="Balloon Text"/>
    <w:basedOn w:val="a"/>
    <w:link w:val="Char1"/>
    <w:uiPriority w:val="99"/>
    <w:semiHidden/>
    <w:rsid w:val="000351AD"/>
    <w:pPr>
      <w:spacing w:after="120" w:line="300" w:lineRule="auto"/>
      <w:jc w:val="both"/>
    </w:pPr>
    <w:rPr>
      <w:rFonts w:ascii="Tahoma" w:eastAsia="Times New Roman" w:hAnsi="Tahoma" w:cs="Times New Roman"/>
      <w:sz w:val="16"/>
      <w:szCs w:val="16"/>
      <w:lang w:eastAsia="el-GR"/>
    </w:rPr>
  </w:style>
  <w:style w:type="character" w:customStyle="1" w:styleId="Char1">
    <w:name w:val="Κείμενο πλαισίου Char"/>
    <w:basedOn w:val="a0"/>
    <w:link w:val="a6"/>
    <w:uiPriority w:val="99"/>
    <w:semiHidden/>
    <w:rsid w:val="000351AD"/>
    <w:rPr>
      <w:rFonts w:ascii="Tahoma" w:eastAsia="Times New Roman" w:hAnsi="Tahoma" w:cs="Times New Roman"/>
      <w:kern w:val="0"/>
      <w:sz w:val="16"/>
      <w:szCs w:val="16"/>
      <w:lang w:val="el-GR" w:eastAsia="el-GR"/>
      <w14:ligatures w14:val="none"/>
    </w:rPr>
  </w:style>
  <w:style w:type="paragraph" w:styleId="a7">
    <w:name w:val="Body Text Indent"/>
    <w:basedOn w:val="a"/>
    <w:link w:val="Char2"/>
    <w:rsid w:val="000351AD"/>
    <w:pPr>
      <w:spacing w:after="120" w:line="300" w:lineRule="auto"/>
      <w:ind w:left="720" w:hanging="720"/>
      <w:jc w:val="both"/>
    </w:pPr>
    <w:rPr>
      <w:rFonts w:ascii="Arial" w:eastAsia="Times New Roman" w:hAnsi="Arial" w:cs="Times New Roman"/>
      <w:lang w:eastAsia="el-GR"/>
    </w:rPr>
  </w:style>
  <w:style w:type="character" w:customStyle="1" w:styleId="Char2">
    <w:name w:val="Σώμα κείμενου με εσοχή Char"/>
    <w:basedOn w:val="a0"/>
    <w:link w:val="a7"/>
    <w:rsid w:val="000351AD"/>
    <w:rPr>
      <w:rFonts w:ascii="Arial" w:eastAsia="Times New Roman" w:hAnsi="Arial" w:cs="Times New Roman"/>
      <w:kern w:val="0"/>
      <w:lang w:val="el-GR" w:eastAsia="el-GR"/>
      <w14:ligatures w14:val="none"/>
    </w:rPr>
  </w:style>
  <w:style w:type="paragraph" w:styleId="a8">
    <w:name w:val="Body Text"/>
    <w:basedOn w:val="a"/>
    <w:link w:val="Char3"/>
    <w:rsid w:val="000351AD"/>
    <w:pPr>
      <w:spacing w:after="120" w:line="300" w:lineRule="auto"/>
      <w:jc w:val="both"/>
    </w:pPr>
    <w:rPr>
      <w:rFonts w:ascii="Arial" w:eastAsia="Times New Roman" w:hAnsi="Arial" w:cs="Times New Roman"/>
      <w:lang w:eastAsia="el-GR"/>
    </w:rPr>
  </w:style>
  <w:style w:type="character" w:customStyle="1" w:styleId="Char3">
    <w:name w:val="Σώμα κειμένου Char"/>
    <w:basedOn w:val="a0"/>
    <w:link w:val="a8"/>
    <w:rsid w:val="000351AD"/>
    <w:rPr>
      <w:rFonts w:ascii="Arial" w:eastAsia="Times New Roman" w:hAnsi="Arial" w:cs="Times New Roman"/>
      <w:kern w:val="0"/>
      <w:lang w:val="el-GR" w:eastAsia="el-GR"/>
      <w14:ligatures w14:val="none"/>
    </w:rPr>
  </w:style>
  <w:style w:type="paragraph" w:styleId="20">
    <w:name w:val="Body Text Indent 2"/>
    <w:basedOn w:val="a"/>
    <w:link w:val="2Char0"/>
    <w:rsid w:val="000351AD"/>
    <w:pPr>
      <w:spacing w:after="120" w:line="300" w:lineRule="auto"/>
      <w:ind w:left="284"/>
      <w:jc w:val="both"/>
    </w:pPr>
    <w:rPr>
      <w:rFonts w:ascii="Arial" w:eastAsia="Times New Roman" w:hAnsi="Arial" w:cs="Times New Roman"/>
      <w:lang w:eastAsia="el-GR"/>
    </w:rPr>
  </w:style>
  <w:style w:type="character" w:customStyle="1" w:styleId="2Char0">
    <w:name w:val="Σώμα κείμενου με εσοχή 2 Char"/>
    <w:basedOn w:val="a0"/>
    <w:link w:val="20"/>
    <w:rsid w:val="000351AD"/>
    <w:rPr>
      <w:rFonts w:ascii="Arial" w:eastAsia="Times New Roman" w:hAnsi="Arial" w:cs="Times New Roman"/>
      <w:kern w:val="0"/>
      <w:lang w:val="el-GR" w:eastAsia="el-GR"/>
      <w14:ligatures w14:val="none"/>
    </w:rPr>
  </w:style>
  <w:style w:type="paragraph" w:styleId="a9">
    <w:name w:val="Plain Text"/>
    <w:basedOn w:val="a"/>
    <w:link w:val="Char4"/>
    <w:rsid w:val="000351AD"/>
    <w:pPr>
      <w:spacing w:after="120" w:line="300" w:lineRule="auto"/>
      <w:jc w:val="both"/>
    </w:pPr>
    <w:rPr>
      <w:rFonts w:ascii="Courier New" w:eastAsia="Times New Roman" w:hAnsi="Courier New" w:cs="Times New Roman"/>
      <w:sz w:val="20"/>
      <w:szCs w:val="20"/>
      <w:lang w:eastAsia="el-GR"/>
    </w:rPr>
  </w:style>
  <w:style w:type="character" w:customStyle="1" w:styleId="Char4">
    <w:name w:val="Απλό κείμενο Char"/>
    <w:basedOn w:val="a0"/>
    <w:link w:val="a9"/>
    <w:rsid w:val="000351AD"/>
    <w:rPr>
      <w:rFonts w:ascii="Courier New" w:eastAsia="Times New Roman" w:hAnsi="Courier New" w:cs="Times New Roman"/>
      <w:kern w:val="0"/>
      <w:sz w:val="20"/>
      <w:szCs w:val="20"/>
      <w:lang w:val="el-GR" w:eastAsia="el-GR"/>
      <w14:ligatures w14:val="none"/>
    </w:rPr>
  </w:style>
  <w:style w:type="paragraph" w:styleId="21">
    <w:name w:val="Body Text 2"/>
    <w:basedOn w:val="a"/>
    <w:link w:val="2Char1"/>
    <w:rsid w:val="000351AD"/>
    <w:pPr>
      <w:spacing w:after="120" w:line="480" w:lineRule="auto"/>
      <w:jc w:val="both"/>
    </w:pPr>
    <w:rPr>
      <w:rFonts w:ascii="Arial" w:eastAsia="Times New Roman" w:hAnsi="Arial" w:cs="Times New Roman"/>
      <w:sz w:val="20"/>
      <w:szCs w:val="24"/>
      <w:lang w:eastAsia="el-GR"/>
    </w:rPr>
  </w:style>
  <w:style w:type="character" w:customStyle="1" w:styleId="2Char1">
    <w:name w:val="Σώμα κείμενου 2 Char"/>
    <w:basedOn w:val="a0"/>
    <w:link w:val="21"/>
    <w:rsid w:val="000351AD"/>
    <w:rPr>
      <w:rFonts w:ascii="Arial" w:eastAsia="Times New Roman" w:hAnsi="Arial" w:cs="Times New Roman"/>
      <w:kern w:val="0"/>
      <w:sz w:val="20"/>
      <w:szCs w:val="24"/>
      <w:lang w:val="el-GR" w:eastAsia="el-GR"/>
      <w14:ligatures w14:val="none"/>
    </w:rPr>
  </w:style>
  <w:style w:type="paragraph" w:styleId="aa">
    <w:name w:val="footnote text"/>
    <w:aliases w:val="Footnote,Fußnote,Fodnotetekst Tegn Tegn Tegn Tegn Tegn Tegn Tegn Char Char,Fodnotetekst Tegn Tegn Tegn Tegn Tegn Tegn Tegn Char Char Char Char,Fodnotetekst Tegn Tegn Tegn Tegn Tegn Tegn Tegn,lábléc,C26 Footnote body, Char,Char"/>
    <w:basedOn w:val="a"/>
    <w:link w:val="Char5"/>
    <w:qFormat/>
    <w:rsid w:val="000351AD"/>
    <w:pPr>
      <w:spacing w:after="120" w:line="300" w:lineRule="auto"/>
      <w:jc w:val="both"/>
    </w:pPr>
    <w:rPr>
      <w:rFonts w:ascii="Arial" w:eastAsia="Times New Roman" w:hAnsi="Arial" w:cs="Times New Roman"/>
      <w:sz w:val="20"/>
      <w:szCs w:val="20"/>
      <w:lang w:val="en-GB" w:eastAsia="el-GR"/>
    </w:rPr>
  </w:style>
  <w:style w:type="character" w:customStyle="1" w:styleId="Char5">
    <w:name w:val="Κείμενο υποσημείωσης Char"/>
    <w:aliases w:val="Footnote Char,Fußnote Char,Fodnotetekst Tegn Tegn Tegn Tegn Tegn Tegn Tegn Char Char Char,Fodnotetekst Tegn Tegn Tegn Tegn Tegn Tegn Tegn Char Char Char Char Char,Fodnotetekst Tegn Tegn Tegn Tegn Tegn Tegn Tegn Char,lábléc Char"/>
    <w:basedOn w:val="a0"/>
    <w:link w:val="aa"/>
    <w:rsid w:val="000351AD"/>
    <w:rPr>
      <w:rFonts w:ascii="Arial" w:eastAsia="Times New Roman" w:hAnsi="Arial" w:cs="Times New Roman"/>
      <w:kern w:val="0"/>
      <w:sz w:val="20"/>
      <w:szCs w:val="20"/>
      <w:lang w:val="en-GB" w:eastAsia="el-GR"/>
      <w14:ligatures w14:val="none"/>
    </w:rPr>
  </w:style>
  <w:style w:type="character" w:styleId="ab">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qFormat/>
    <w:rsid w:val="000351AD"/>
    <w:rPr>
      <w:vertAlign w:val="superscript"/>
    </w:rPr>
  </w:style>
  <w:style w:type="table" w:styleId="ac">
    <w:name w:val="Table Grid"/>
    <w:basedOn w:val="a1"/>
    <w:uiPriority w:val="59"/>
    <w:rsid w:val="000351A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351AD"/>
    <w:rPr>
      <w:sz w:val="16"/>
      <w:szCs w:val="16"/>
    </w:rPr>
  </w:style>
  <w:style w:type="paragraph" w:styleId="ae">
    <w:name w:val="annotation text"/>
    <w:basedOn w:val="a"/>
    <w:link w:val="Char6"/>
    <w:uiPriority w:val="99"/>
    <w:rsid w:val="000351AD"/>
    <w:pPr>
      <w:spacing w:after="120" w:line="300" w:lineRule="auto"/>
      <w:jc w:val="both"/>
    </w:pPr>
    <w:rPr>
      <w:rFonts w:ascii="Arial" w:eastAsia="Times New Roman" w:hAnsi="Arial" w:cs="Times New Roman"/>
      <w:sz w:val="20"/>
      <w:szCs w:val="20"/>
      <w:lang w:eastAsia="el-GR"/>
    </w:rPr>
  </w:style>
  <w:style w:type="character" w:customStyle="1" w:styleId="Char6">
    <w:name w:val="Κείμενο σχολίου Char"/>
    <w:basedOn w:val="a0"/>
    <w:link w:val="ae"/>
    <w:uiPriority w:val="99"/>
    <w:rsid w:val="000351AD"/>
    <w:rPr>
      <w:rFonts w:ascii="Arial" w:eastAsia="Times New Roman" w:hAnsi="Arial" w:cs="Times New Roman"/>
      <w:kern w:val="0"/>
      <w:sz w:val="20"/>
      <w:szCs w:val="20"/>
      <w:lang w:val="el-GR" w:eastAsia="el-GR"/>
      <w14:ligatures w14:val="none"/>
    </w:rPr>
  </w:style>
  <w:style w:type="paragraph" w:styleId="af">
    <w:name w:val="annotation subject"/>
    <w:basedOn w:val="ae"/>
    <w:next w:val="ae"/>
    <w:link w:val="Char7"/>
    <w:uiPriority w:val="99"/>
    <w:semiHidden/>
    <w:rsid w:val="000351AD"/>
    <w:rPr>
      <w:b/>
      <w:bCs/>
    </w:rPr>
  </w:style>
  <w:style w:type="character" w:customStyle="1" w:styleId="Char7">
    <w:name w:val="Θέμα σχολίου Char"/>
    <w:basedOn w:val="Char6"/>
    <w:link w:val="af"/>
    <w:uiPriority w:val="99"/>
    <w:semiHidden/>
    <w:rsid w:val="000351AD"/>
    <w:rPr>
      <w:rFonts w:ascii="Arial" w:eastAsia="Times New Roman" w:hAnsi="Arial" w:cs="Times New Roman"/>
      <w:b/>
      <w:bCs/>
      <w:kern w:val="0"/>
      <w:sz w:val="20"/>
      <w:szCs w:val="20"/>
      <w:lang w:val="el-GR" w:eastAsia="el-GR"/>
      <w14:ligatures w14:val="none"/>
    </w:rPr>
  </w:style>
  <w:style w:type="paragraph" w:styleId="af0">
    <w:name w:val="List Paragraph"/>
    <w:aliases w:val="1st level - Bullet List Paragraph,Bullet EY,Bullet list,Lettre d'introduction,List L1,List Paragraph compact,List Paragraph1,List Paragraph11,Normal bullet 2,Normal bullet 21,Numbered List,Paragraph,Paragraphe de liste 2,Reference list"/>
    <w:basedOn w:val="a"/>
    <w:link w:val="Char8"/>
    <w:uiPriority w:val="34"/>
    <w:qFormat/>
    <w:rsid w:val="000351AD"/>
    <w:pPr>
      <w:ind w:left="720"/>
      <w:contextualSpacing/>
      <w:jc w:val="both"/>
    </w:pPr>
    <w:rPr>
      <w:rFonts w:ascii="Calibri" w:eastAsia="Calibri" w:hAnsi="Calibri" w:cs="Times New Roman"/>
    </w:rPr>
  </w:style>
  <w:style w:type="paragraph" w:customStyle="1" w:styleId="CharCharCharCharCharCharCharCharCharCharCharCharChar">
    <w:name w:val="Char Char Char Char Char Char Char Char Char Char Char Char Char"/>
    <w:basedOn w:val="a"/>
    <w:rsid w:val="000351AD"/>
    <w:pPr>
      <w:spacing w:after="160" w:line="240" w:lineRule="exact"/>
      <w:jc w:val="both"/>
    </w:pPr>
    <w:rPr>
      <w:rFonts w:ascii="Verdana" w:eastAsia="Times New Roman" w:hAnsi="Verdana" w:cs="Times New Roman"/>
      <w:sz w:val="20"/>
      <w:szCs w:val="20"/>
      <w:lang w:val="en-US"/>
    </w:rPr>
  </w:style>
  <w:style w:type="paragraph" w:styleId="Web">
    <w:name w:val="Normal (Web)"/>
    <w:basedOn w:val="a"/>
    <w:uiPriority w:val="99"/>
    <w:unhideWhenUsed/>
    <w:rsid w:val="000351AD"/>
    <w:pPr>
      <w:spacing w:before="100" w:beforeAutospacing="1" w:after="100" w:afterAutospacing="1" w:line="300" w:lineRule="auto"/>
      <w:jc w:val="both"/>
    </w:pPr>
    <w:rPr>
      <w:rFonts w:ascii="Arial" w:eastAsia="Times New Roman" w:hAnsi="Arial" w:cs="Times New Roman"/>
      <w:sz w:val="20"/>
      <w:szCs w:val="24"/>
      <w:lang w:val="en-US" w:eastAsia="el-GR" w:bidi="en-US"/>
    </w:rPr>
  </w:style>
  <w:style w:type="character" w:styleId="af1">
    <w:name w:val="line number"/>
    <w:basedOn w:val="a0"/>
    <w:rsid w:val="000351AD"/>
  </w:style>
  <w:style w:type="paragraph" w:styleId="af2">
    <w:name w:val="No Spacing"/>
    <w:link w:val="Char9"/>
    <w:uiPriority w:val="1"/>
    <w:qFormat/>
    <w:rsid w:val="000351AD"/>
    <w:pPr>
      <w:spacing w:after="0" w:line="240" w:lineRule="auto"/>
    </w:pPr>
    <w:rPr>
      <w:rFonts w:ascii="Calibri" w:eastAsia="Calibri" w:hAnsi="Calibri" w:cs="Times New Roman"/>
      <w:kern w:val="0"/>
      <w:lang w:val="el-GR"/>
      <w14:ligatures w14:val="none"/>
    </w:rPr>
  </w:style>
  <w:style w:type="character" w:customStyle="1" w:styleId="af3">
    <w:name w:val="Σύμβολο υποσημείωσης"/>
    <w:rsid w:val="000351AD"/>
    <w:rPr>
      <w:vertAlign w:val="superscript"/>
    </w:rPr>
  </w:style>
  <w:style w:type="character" w:customStyle="1" w:styleId="10">
    <w:name w:val="Παραπομπή υποσημείωσης1"/>
    <w:rsid w:val="000351AD"/>
    <w:rPr>
      <w:vertAlign w:val="superscript"/>
    </w:rPr>
  </w:style>
  <w:style w:type="paragraph" w:styleId="af4">
    <w:name w:val="Revision"/>
    <w:hidden/>
    <w:uiPriority w:val="99"/>
    <w:semiHidden/>
    <w:rsid w:val="000351AD"/>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af5">
    <w:name w:val="endnote text"/>
    <w:basedOn w:val="a"/>
    <w:link w:val="Chara"/>
    <w:semiHidden/>
    <w:unhideWhenUsed/>
    <w:rsid w:val="000351AD"/>
    <w:pPr>
      <w:spacing w:after="120" w:line="300" w:lineRule="auto"/>
      <w:jc w:val="both"/>
    </w:pPr>
    <w:rPr>
      <w:rFonts w:ascii="Arial" w:eastAsia="Times New Roman" w:hAnsi="Arial" w:cs="Times New Roman"/>
      <w:sz w:val="20"/>
      <w:szCs w:val="20"/>
      <w:lang w:eastAsia="el-GR"/>
    </w:rPr>
  </w:style>
  <w:style w:type="character" w:customStyle="1" w:styleId="Chara">
    <w:name w:val="Κείμενο σημείωσης τέλους Char"/>
    <w:basedOn w:val="a0"/>
    <w:link w:val="af5"/>
    <w:semiHidden/>
    <w:rsid w:val="000351AD"/>
    <w:rPr>
      <w:rFonts w:ascii="Arial" w:eastAsia="Times New Roman" w:hAnsi="Arial" w:cs="Times New Roman"/>
      <w:kern w:val="0"/>
      <w:sz w:val="20"/>
      <w:szCs w:val="20"/>
      <w:lang w:val="el-GR" w:eastAsia="el-GR"/>
      <w14:ligatures w14:val="none"/>
    </w:rPr>
  </w:style>
  <w:style w:type="character" w:styleId="af6">
    <w:name w:val="endnote reference"/>
    <w:semiHidden/>
    <w:unhideWhenUsed/>
    <w:rsid w:val="000351AD"/>
    <w:rPr>
      <w:vertAlign w:val="superscript"/>
    </w:rPr>
  </w:style>
  <w:style w:type="paragraph" w:customStyle="1" w:styleId="aplo">
    <w:name w:val="aplo"/>
    <w:basedOn w:val="a"/>
    <w:rsid w:val="000351AD"/>
    <w:pPr>
      <w:tabs>
        <w:tab w:val="left" w:pos="567"/>
      </w:tabs>
      <w:spacing w:before="120" w:after="120" w:line="300" w:lineRule="auto"/>
      <w:jc w:val="both"/>
    </w:pPr>
    <w:rPr>
      <w:rFonts w:ascii="Arial" w:eastAsia="Times New Roman" w:hAnsi="Arial" w:cs="Times New Roman"/>
      <w:szCs w:val="20"/>
      <w:lang w:val="en-GB" w:eastAsia="el-GR"/>
    </w:rPr>
  </w:style>
  <w:style w:type="paragraph" w:styleId="af7">
    <w:name w:val="Title"/>
    <w:basedOn w:val="a"/>
    <w:link w:val="Charb"/>
    <w:qFormat/>
    <w:rsid w:val="000351AD"/>
    <w:pPr>
      <w:spacing w:after="120" w:line="300" w:lineRule="auto"/>
      <w:jc w:val="center"/>
    </w:pPr>
    <w:rPr>
      <w:rFonts w:ascii="Arial" w:eastAsia="Times New Roman" w:hAnsi="Arial" w:cs="Times New Roman"/>
      <w:b/>
      <w:bCs/>
      <w:sz w:val="20"/>
      <w:szCs w:val="24"/>
    </w:rPr>
  </w:style>
  <w:style w:type="character" w:customStyle="1" w:styleId="Charb">
    <w:name w:val="Τίτλος Char"/>
    <w:basedOn w:val="a0"/>
    <w:link w:val="af7"/>
    <w:rsid w:val="000351AD"/>
    <w:rPr>
      <w:rFonts w:ascii="Arial" w:eastAsia="Times New Roman" w:hAnsi="Arial" w:cs="Times New Roman"/>
      <w:b/>
      <w:bCs/>
      <w:kern w:val="0"/>
      <w:sz w:val="20"/>
      <w:szCs w:val="24"/>
      <w:lang w:val="el-GR"/>
      <w14:ligatures w14:val="none"/>
    </w:rPr>
  </w:style>
  <w:style w:type="numbering" w:customStyle="1" w:styleId="11">
    <w:name w:val="Χωρίς λίστα1"/>
    <w:next w:val="a2"/>
    <w:semiHidden/>
    <w:rsid w:val="000351AD"/>
  </w:style>
  <w:style w:type="paragraph" w:customStyle="1" w:styleId="keimeno">
    <w:name w:val="keimeno"/>
    <w:basedOn w:val="a"/>
    <w:rsid w:val="000351AD"/>
    <w:pPr>
      <w:spacing w:after="120" w:line="300" w:lineRule="auto"/>
      <w:jc w:val="both"/>
    </w:pPr>
    <w:rPr>
      <w:rFonts w:ascii="Arial" w:eastAsia="Times New Roman" w:hAnsi="Arial" w:cs="Times New Roman"/>
      <w:szCs w:val="20"/>
      <w:lang w:eastAsia="el-GR"/>
    </w:rPr>
  </w:style>
  <w:style w:type="paragraph" w:styleId="30">
    <w:name w:val="Body Text 3"/>
    <w:basedOn w:val="a"/>
    <w:link w:val="3Char0"/>
    <w:rsid w:val="000351AD"/>
    <w:pPr>
      <w:spacing w:after="120" w:line="300" w:lineRule="auto"/>
      <w:jc w:val="both"/>
    </w:pPr>
    <w:rPr>
      <w:rFonts w:ascii="Arial" w:eastAsia="Times New Roman" w:hAnsi="Arial" w:cs="Times New Roman"/>
      <w:szCs w:val="20"/>
      <w:lang w:eastAsia="el-GR"/>
    </w:rPr>
  </w:style>
  <w:style w:type="character" w:customStyle="1" w:styleId="3Char0">
    <w:name w:val="Σώμα κείμενου 3 Char"/>
    <w:basedOn w:val="a0"/>
    <w:link w:val="30"/>
    <w:rsid w:val="000351AD"/>
    <w:rPr>
      <w:rFonts w:ascii="Arial" w:eastAsia="Times New Roman" w:hAnsi="Arial" w:cs="Times New Roman"/>
      <w:kern w:val="0"/>
      <w:szCs w:val="20"/>
      <w:lang w:val="el-GR" w:eastAsia="el-GR"/>
      <w14:ligatures w14:val="none"/>
    </w:rPr>
  </w:style>
  <w:style w:type="paragraph" w:customStyle="1" w:styleId="Giota">
    <w:name w:val="Giota"/>
    <w:basedOn w:val="a"/>
    <w:rsid w:val="000351AD"/>
    <w:pPr>
      <w:tabs>
        <w:tab w:val="left" w:pos="567"/>
        <w:tab w:val="left" w:pos="1134"/>
        <w:tab w:val="left" w:pos="1701"/>
      </w:tabs>
      <w:spacing w:after="120" w:line="300" w:lineRule="auto"/>
      <w:jc w:val="both"/>
    </w:pPr>
    <w:rPr>
      <w:rFonts w:ascii="Arial" w:eastAsia="Times New Roman" w:hAnsi="Arial" w:cs="Times New Roman"/>
      <w:sz w:val="18"/>
      <w:szCs w:val="20"/>
      <w:lang w:eastAsia="el-GR"/>
    </w:rPr>
  </w:style>
  <w:style w:type="paragraph" w:customStyle="1" w:styleId="12">
    <w:name w:val="Στυλ1"/>
    <w:basedOn w:val="a"/>
    <w:rsid w:val="000351AD"/>
    <w:pPr>
      <w:spacing w:before="120" w:after="120" w:line="300" w:lineRule="auto"/>
      <w:ind w:firstLine="567"/>
      <w:jc w:val="both"/>
    </w:pPr>
    <w:rPr>
      <w:rFonts w:ascii="Arial" w:eastAsia="Times New Roman" w:hAnsi="Arial" w:cs="Times New Roman"/>
      <w:sz w:val="20"/>
      <w:szCs w:val="20"/>
      <w:lang w:eastAsia="el-GR"/>
    </w:rPr>
  </w:style>
  <w:style w:type="paragraph" w:styleId="31">
    <w:name w:val="Body Text Indent 3"/>
    <w:basedOn w:val="a"/>
    <w:link w:val="3Char1"/>
    <w:rsid w:val="000351AD"/>
    <w:pPr>
      <w:tabs>
        <w:tab w:val="num" w:pos="652"/>
      </w:tabs>
      <w:spacing w:after="120" w:line="300" w:lineRule="auto"/>
      <w:ind w:left="652" w:hanging="652"/>
      <w:jc w:val="both"/>
    </w:pPr>
    <w:rPr>
      <w:rFonts w:ascii="Arial" w:eastAsia="Times New Roman" w:hAnsi="Arial" w:cs="Times New Roman"/>
      <w:szCs w:val="20"/>
      <w:lang w:eastAsia="el-GR"/>
    </w:rPr>
  </w:style>
  <w:style w:type="character" w:customStyle="1" w:styleId="3Char1">
    <w:name w:val="Σώμα κείμενου με εσοχή 3 Char"/>
    <w:basedOn w:val="a0"/>
    <w:link w:val="31"/>
    <w:rsid w:val="000351AD"/>
    <w:rPr>
      <w:rFonts w:ascii="Arial" w:eastAsia="Times New Roman" w:hAnsi="Arial" w:cs="Times New Roman"/>
      <w:kern w:val="0"/>
      <w:szCs w:val="20"/>
      <w:lang w:val="el-GR" w:eastAsia="el-GR"/>
      <w14:ligatures w14:val="none"/>
    </w:rPr>
  </w:style>
  <w:style w:type="character" w:styleId="-">
    <w:name w:val="Hyperlink"/>
    <w:uiPriority w:val="99"/>
    <w:rsid w:val="000351AD"/>
    <w:rPr>
      <w:color w:val="0000FF"/>
      <w:u w:val="single"/>
    </w:rPr>
  </w:style>
  <w:style w:type="paragraph" w:customStyle="1" w:styleId="CharCharCharChar">
    <w:name w:val="Char Char Char Char"/>
    <w:basedOn w:val="a"/>
    <w:rsid w:val="000351AD"/>
    <w:pPr>
      <w:spacing w:after="160" w:line="240" w:lineRule="exact"/>
      <w:jc w:val="both"/>
    </w:pPr>
    <w:rPr>
      <w:rFonts w:ascii="Verdana" w:eastAsia="Times New Roman" w:hAnsi="Verdana" w:cs="Times New Roman"/>
      <w:sz w:val="20"/>
      <w:szCs w:val="20"/>
      <w:lang w:val="en-US"/>
    </w:rPr>
  </w:style>
  <w:style w:type="character" w:styleId="af8">
    <w:name w:val="Strong"/>
    <w:uiPriority w:val="22"/>
    <w:qFormat/>
    <w:rsid w:val="000351AD"/>
    <w:rPr>
      <w:b/>
      <w:bCs/>
    </w:rPr>
  </w:style>
  <w:style w:type="paragraph" w:customStyle="1" w:styleId="Default">
    <w:name w:val="Default"/>
    <w:rsid w:val="000351AD"/>
    <w:pPr>
      <w:autoSpaceDE w:val="0"/>
      <w:autoSpaceDN w:val="0"/>
      <w:adjustRightInd w:val="0"/>
      <w:spacing w:after="0" w:line="240" w:lineRule="auto"/>
    </w:pPr>
    <w:rPr>
      <w:rFonts w:ascii="Times New Roman" w:eastAsia="Calibri" w:hAnsi="Times New Roman" w:cs="Times New Roman"/>
      <w:color w:val="000000"/>
      <w:kern w:val="0"/>
      <w:sz w:val="24"/>
      <w:szCs w:val="24"/>
      <w:lang w:val="el-GR"/>
      <w14:ligatures w14:val="none"/>
    </w:rPr>
  </w:style>
  <w:style w:type="paragraph" w:styleId="-HTML">
    <w:name w:val="HTML Preformatted"/>
    <w:basedOn w:val="a"/>
    <w:link w:val="-HTMLChar"/>
    <w:uiPriority w:val="99"/>
    <w:unhideWhenUsed/>
    <w:rsid w:val="00035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pPr>
    <w:rPr>
      <w:rFonts w:ascii="Courier New" w:eastAsia="Times New Roman" w:hAnsi="Courier New" w:cs="Times New Roman"/>
      <w:sz w:val="20"/>
      <w:szCs w:val="20"/>
      <w:lang w:eastAsia="el-GR"/>
    </w:rPr>
  </w:style>
  <w:style w:type="character" w:customStyle="1" w:styleId="-HTMLChar">
    <w:name w:val="Προ-διαμορφωμένο HTML Char"/>
    <w:basedOn w:val="a0"/>
    <w:link w:val="-HTML"/>
    <w:uiPriority w:val="99"/>
    <w:rsid w:val="000351AD"/>
    <w:rPr>
      <w:rFonts w:ascii="Courier New" w:eastAsia="Times New Roman" w:hAnsi="Courier New" w:cs="Times New Roman"/>
      <w:kern w:val="0"/>
      <w:sz w:val="20"/>
      <w:szCs w:val="20"/>
      <w:lang w:val="el-GR" w:eastAsia="el-GR"/>
      <w14:ligatures w14:val="none"/>
    </w:rPr>
  </w:style>
  <w:style w:type="character" w:styleId="-0">
    <w:name w:val="FollowedHyperlink"/>
    <w:uiPriority w:val="99"/>
    <w:unhideWhenUsed/>
    <w:rsid w:val="000351AD"/>
    <w:rPr>
      <w:color w:val="800080"/>
      <w:u w:val="single"/>
    </w:rPr>
  </w:style>
  <w:style w:type="paragraph" w:customStyle="1" w:styleId="font5">
    <w:name w:val="font5"/>
    <w:basedOn w:val="a"/>
    <w:rsid w:val="000351AD"/>
    <w:pPr>
      <w:spacing w:before="100" w:beforeAutospacing="1" w:after="100" w:afterAutospacing="1" w:line="300" w:lineRule="auto"/>
      <w:jc w:val="both"/>
    </w:pPr>
    <w:rPr>
      <w:rFonts w:ascii="Tahoma" w:eastAsia="Times New Roman" w:hAnsi="Tahoma" w:cs="Tahoma"/>
      <w:b/>
      <w:bCs/>
      <w:color w:val="000000"/>
      <w:sz w:val="18"/>
      <w:szCs w:val="18"/>
      <w:lang w:eastAsia="el-GR"/>
    </w:rPr>
  </w:style>
  <w:style w:type="paragraph" w:customStyle="1" w:styleId="font6">
    <w:name w:val="font6"/>
    <w:basedOn w:val="a"/>
    <w:rsid w:val="000351AD"/>
    <w:pPr>
      <w:spacing w:before="100" w:beforeAutospacing="1" w:after="100" w:afterAutospacing="1" w:line="300" w:lineRule="auto"/>
      <w:jc w:val="both"/>
    </w:pPr>
    <w:rPr>
      <w:rFonts w:ascii="Tahoma" w:eastAsia="Times New Roman" w:hAnsi="Tahoma" w:cs="Tahoma"/>
      <w:color w:val="000000"/>
      <w:sz w:val="18"/>
      <w:szCs w:val="18"/>
      <w:lang w:eastAsia="el-GR"/>
    </w:rPr>
  </w:style>
  <w:style w:type="paragraph" w:customStyle="1" w:styleId="font7">
    <w:name w:val="font7"/>
    <w:basedOn w:val="a"/>
    <w:rsid w:val="000351AD"/>
    <w:pPr>
      <w:spacing w:before="100" w:beforeAutospacing="1" w:after="100" w:afterAutospacing="1" w:line="300" w:lineRule="auto"/>
      <w:jc w:val="both"/>
    </w:pPr>
    <w:rPr>
      <w:rFonts w:ascii="Segoe UI" w:eastAsia="Times New Roman" w:hAnsi="Segoe UI" w:cs="Segoe UI"/>
      <w:b/>
      <w:bCs/>
      <w:i/>
      <w:iCs/>
      <w:sz w:val="16"/>
      <w:szCs w:val="16"/>
      <w:lang w:eastAsia="el-GR"/>
    </w:rPr>
  </w:style>
  <w:style w:type="paragraph" w:customStyle="1" w:styleId="xl52827">
    <w:name w:val="xl52827"/>
    <w:basedOn w:val="a"/>
    <w:rsid w:val="000351AD"/>
    <w:pP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28">
    <w:name w:val="xl52828"/>
    <w:basedOn w:val="a"/>
    <w:rsid w:val="000351AD"/>
    <w:pPr>
      <w:shd w:val="clear" w:color="000000" w:fill="BFBFBF"/>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29">
    <w:name w:val="xl52829"/>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30">
    <w:name w:val="xl52830"/>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31">
    <w:name w:val="xl52831"/>
    <w:basedOn w:val="a"/>
    <w:rsid w:val="000351AD"/>
    <w:pPr>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32">
    <w:name w:val="xl52832"/>
    <w:basedOn w:val="a"/>
    <w:rsid w:val="000351AD"/>
    <w:pPr>
      <w:shd w:val="clear" w:color="000000" w:fill="BFBFBF"/>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33">
    <w:name w:val="xl52833"/>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4">
    <w:name w:val="xl52834"/>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35">
    <w:name w:val="xl52835"/>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6">
    <w:name w:val="xl52836"/>
    <w:basedOn w:val="a"/>
    <w:rsid w:val="000351AD"/>
    <w:pPr>
      <w:spacing w:before="100" w:beforeAutospacing="1" w:after="100" w:afterAutospacing="1" w:line="300" w:lineRule="auto"/>
      <w:jc w:val="both"/>
      <w:textAlignment w:val="center"/>
    </w:pPr>
    <w:rPr>
      <w:rFonts w:ascii="Segoe UI" w:eastAsia="Times New Roman" w:hAnsi="Segoe UI" w:cs="Segoe UI"/>
      <w:color w:val="C00000"/>
      <w:sz w:val="16"/>
      <w:szCs w:val="16"/>
      <w:lang w:eastAsia="el-GR"/>
    </w:rPr>
  </w:style>
  <w:style w:type="paragraph" w:customStyle="1" w:styleId="xl52837">
    <w:name w:val="xl52837"/>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8">
    <w:name w:val="xl52838"/>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9">
    <w:name w:val="xl52839"/>
    <w:basedOn w:val="a"/>
    <w:rsid w:val="000351AD"/>
    <w:pPr>
      <w:shd w:val="clear" w:color="000000" w:fill="FFFFFF"/>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40">
    <w:name w:val="xl52840"/>
    <w:basedOn w:val="a"/>
    <w:rsid w:val="000351AD"/>
    <w:pP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41">
    <w:name w:val="xl52841"/>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2">
    <w:name w:val="xl52842"/>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3">
    <w:name w:val="xl52843"/>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4">
    <w:name w:val="xl52844"/>
    <w:basedOn w:val="a"/>
    <w:rsid w:val="000351AD"/>
    <w:pP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5">
    <w:name w:val="xl52845"/>
    <w:basedOn w:val="a"/>
    <w:rsid w:val="000351AD"/>
    <w:pPr>
      <w:pBdr>
        <w:left w:val="single" w:sz="4" w:space="0" w:color="auto"/>
        <w:righ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46">
    <w:name w:val="xl52846"/>
    <w:basedOn w:val="a"/>
    <w:rsid w:val="000351AD"/>
    <w:pPr>
      <w:pBdr>
        <w:left w:val="single" w:sz="4" w:space="0" w:color="auto"/>
        <w:right w:val="single" w:sz="8"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47">
    <w:name w:val="xl52847"/>
    <w:basedOn w:val="a"/>
    <w:rsid w:val="000351AD"/>
    <w:pPr>
      <w:pBdr>
        <w:left w:val="single" w:sz="4" w:space="0" w:color="auto"/>
        <w:righ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48">
    <w:name w:val="xl52848"/>
    <w:basedOn w:val="a"/>
    <w:rsid w:val="000351AD"/>
    <w:pPr>
      <w:pBdr>
        <w:left w:val="single" w:sz="4" w:space="0" w:color="auto"/>
        <w:right w:val="single" w:sz="8"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49">
    <w:name w:val="xl52849"/>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0">
    <w:name w:val="xl52850"/>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1">
    <w:name w:val="xl52851"/>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2">
    <w:name w:val="xl52852"/>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3">
    <w:name w:val="xl52853"/>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54">
    <w:name w:val="xl52854"/>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55">
    <w:name w:val="xl52855"/>
    <w:basedOn w:val="a"/>
    <w:rsid w:val="000351AD"/>
    <w:pPr>
      <w:pBdr>
        <w:lef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56">
    <w:name w:val="xl52856"/>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57">
    <w:name w:val="xl52857"/>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58">
    <w:name w:val="xl52858"/>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59">
    <w:name w:val="xl52859"/>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60">
    <w:name w:val="xl52860"/>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61">
    <w:name w:val="xl52861"/>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2">
    <w:name w:val="xl52862"/>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3">
    <w:name w:val="xl52863"/>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64">
    <w:name w:val="xl52864"/>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5">
    <w:name w:val="xl52865"/>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6">
    <w:name w:val="xl52866"/>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7">
    <w:name w:val="xl52867"/>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8">
    <w:name w:val="xl52868"/>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9">
    <w:name w:val="xl52869"/>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color w:val="C00000"/>
      <w:sz w:val="16"/>
      <w:szCs w:val="16"/>
      <w:lang w:eastAsia="el-GR"/>
    </w:rPr>
  </w:style>
  <w:style w:type="paragraph" w:customStyle="1" w:styleId="xl52870">
    <w:name w:val="xl52870"/>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871">
    <w:name w:val="xl52871"/>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2">
    <w:name w:val="xl52872"/>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3">
    <w:name w:val="xl52873"/>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4">
    <w:name w:val="xl52874"/>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5">
    <w:name w:val="xl52875"/>
    <w:basedOn w:val="a"/>
    <w:rsid w:val="000351AD"/>
    <w:pPr>
      <w:pBdr>
        <w:left w:val="single" w:sz="8" w:space="0" w:color="auto"/>
      </w:pBdr>
      <w:shd w:val="clear" w:color="000000" w:fill="FFFFFF"/>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6">
    <w:name w:val="xl52876"/>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7">
    <w:name w:val="xl52877"/>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8">
    <w:name w:val="xl52878"/>
    <w:basedOn w:val="a"/>
    <w:rsid w:val="000351AD"/>
    <w:pPr>
      <w:pBdr>
        <w:left w:val="single" w:sz="8" w:space="0" w:color="auto"/>
      </w:pBdr>
      <w:shd w:val="clear" w:color="000000" w:fill="FFFFFF"/>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9">
    <w:name w:val="xl52879"/>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80">
    <w:name w:val="xl52880"/>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81">
    <w:name w:val="xl52881"/>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i/>
      <w:iCs/>
      <w:sz w:val="16"/>
      <w:szCs w:val="16"/>
      <w:lang w:eastAsia="el-GR"/>
    </w:rPr>
  </w:style>
  <w:style w:type="paragraph" w:customStyle="1" w:styleId="xl52882">
    <w:name w:val="xl52882"/>
    <w:basedOn w:val="a"/>
    <w:rsid w:val="000351AD"/>
    <w:pPr>
      <w:pBdr>
        <w:left w:val="single" w:sz="8" w:space="0" w:color="auto"/>
      </w:pBdr>
      <w:spacing w:before="100" w:beforeAutospacing="1" w:after="100" w:afterAutospacing="1" w:line="300" w:lineRule="auto"/>
      <w:jc w:val="both"/>
    </w:pPr>
    <w:rPr>
      <w:rFonts w:ascii="Segoe UI" w:eastAsia="Times New Roman" w:hAnsi="Segoe UI" w:cs="Segoe UI"/>
      <w:sz w:val="16"/>
      <w:szCs w:val="16"/>
      <w:lang w:eastAsia="el-GR"/>
    </w:rPr>
  </w:style>
  <w:style w:type="paragraph" w:customStyle="1" w:styleId="xl52883">
    <w:name w:val="xl52883"/>
    <w:basedOn w:val="a"/>
    <w:rsid w:val="000351AD"/>
    <w:pPr>
      <w:pBdr>
        <w:left w:val="single" w:sz="8" w:space="0" w:color="auto"/>
      </w:pBdr>
      <w:spacing w:before="100" w:beforeAutospacing="1" w:after="100" w:afterAutospacing="1" w:line="300" w:lineRule="auto"/>
      <w:jc w:val="both"/>
    </w:pPr>
    <w:rPr>
      <w:rFonts w:ascii="Segoe UI" w:eastAsia="Times New Roman" w:hAnsi="Segoe UI" w:cs="Segoe UI"/>
      <w:b/>
      <w:bCs/>
      <w:sz w:val="16"/>
      <w:szCs w:val="16"/>
      <w:lang w:eastAsia="el-GR"/>
    </w:rPr>
  </w:style>
  <w:style w:type="paragraph" w:customStyle="1" w:styleId="xl52884">
    <w:name w:val="xl52884"/>
    <w:basedOn w:val="a"/>
    <w:rsid w:val="000351AD"/>
    <w:pPr>
      <w:pBdr>
        <w:left w:val="single" w:sz="8" w:space="0" w:color="auto"/>
      </w:pBdr>
      <w:spacing w:before="100" w:beforeAutospacing="1" w:after="100" w:afterAutospacing="1" w:line="300" w:lineRule="auto"/>
      <w:jc w:val="both"/>
    </w:pPr>
    <w:rPr>
      <w:rFonts w:ascii="Segoe UI" w:eastAsia="Times New Roman" w:hAnsi="Segoe UI" w:cs="Segoe UI"/>
      <w:sz w:val="16"/>
      <w:szCs w:val="16"/>
      <w:lang w:eastAsia="el-GR"/>
    </w:rPr>
  </w:style>
  <w:style w:type="paragraph" w:customStyle="1" w:styleId="xl52885">
    <w:name w:val="xl52885"/>
    <w:basedOn w:val="a"/>
    <w:rsid w:val="000351AD"/>
    <w:pPr>
      <w:pBdr>
        <w:left w:val="single" w:sz="8" w:space="0" w:color="auto"/>
      </w:pBdr>
      <w:shd w:val="clear" w:color="000000" w:fill="FFFFFF"/>
      <w:spacing w:before="100" w:beforeAutospacing="1" w:after="100" w:afterAutospacing="1" w:line="300" w:lineRule="auto"/>
      <w:jc w:val="both"/>
    </w:pPr>
    <w:rPr>
      <w:rFonts w:ascii="Segoe UI" w:eastAsia="Times New Roman" w:hAnsi="Segoe UI" w:cs="Segoe UI"/>
      <w:b/>
      <w:bCs/>
      <w:i/>
      <w:iCs/>
      <w:sz w:val="16"/>
      <w:szCs w:val="16"/>
      <w:lang w:eastAsia="el-GR"/>
    </w:rPr>
  </w:style>
  <w:style w:type="paragraph" w:customStyle="1" w:styleId="xl52886">
    <w:name w:val="xl52886"/>
    <w:basedOn w:val="a"/>
    <w:rsid w:val="000351AD"/>
    <w:pPr>
      <w:pBdr>
        <w:left w:val="single" w:sz="8" w:space="0" w:color="auto"/>
      </w:pBdr>
      <w:shd w:val="clear" w:color="000000" w:fill="FFFFFF"/>
      <w:spacing w:before="100" w:beforeAutospacing="1" w:after="100" w:afterAutospacing="1" w:line="300" w:lineRule="auto"/>
      <w:jc w:val="both"/>
    </w:pPr>
    <w:rPr>
      <w:rFonts w:ascii="Segoe UI" w:eastAsia="Times New Roman" w:hAnsi="Segoe UI" w:cs="Segoe UI"/>
      <w:b/>
      <w:bCs/>
      <w:sz w:val="16"/>
      <w:szCs w:val="16"/>
      <w:lang w:eastAsia="el-GR"/>
    </w:rPr>
  </w:style>
  <w:style w:type="paragraph" w:customStyle="1" w:styleId="xl52887">
    <w:name w:val="xl52887"/>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88">
    <w:name w:val="xl52888"/>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89">
    <w:name w:val="xl52889"/>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0">
    <w:name w:val="xl52890"/>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1">
    <w:name w:val="xl52891"/>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2">
    <w:name w:val="xl52892"/>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93">
    <w:name w:val="xl52893"/>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4">
    <w:name w:val="xl52894"/>
    <w:basedOn w:val="a"/>
    <w:rsid w:val="000351AD"/>
    <w:pPr>
      <w:pBdr>
        <w:righ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5">
    <w:name w:val="xl52895"/>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896">
    <w:name w:val="xl52896"/>
    <w:basedOn w:val="a"/>
    <w:rsid w:val="000351AD"/>
    <w:pPr>
      <w:pBdr>
        <w:righ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97">
    <w:name w:val="xl52897"/>
    <w:basedOn w:val="a"/>
    <w:rsid w:val="000351AD"/>
    <w:pPr>
      <w:pBdr>
        <w:righ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98">
    <w:name w:val="xl52898"/>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99">
    <w:name w:val="xl52899"/>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00">
    <w:name w:val="xl52900"/>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01">
    <w:name w:val="xl52901"/>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02">
    <w:name w:val="xl52902"/>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03">
    <w:name w:val="xl52903"/>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04">
    <w:name w:val="xl52904"/>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5">
    <w:name w:val="xl52905"/>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6">
    <w:name w:val="xl52906"/>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7">
    <w:name w:val="xl52907"/>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08">
    <w:name w:val="xl52908"/>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9">
    <w:name w:val="xl52909"/>
    <w:basedOn w:val="a"/>
    <w:rsid w:val="000351AD"/>
    <w:pPr>
      <w:pBdr>
        <w:left w:val="single" w:sz="8"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10">
    <w:name w:val="xl52910"/>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11">
    <w:name w:val="xl52911"/>
    <w:basedOn w:val="a"/>
    <w:rsid w:val="000351AD"/>
    <w:pPr>
      <w:pBdr>
        <w:left w:val="single" w:sz="8"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12">
    <w:name w:val="xl52912"/>
    <w:basedOn w:val="a"/>
    <w:rsid w:val="000351AD"/>
    <w:pPr>
      <w:pBdr>
        <w:left w:val="single" w:sz="8"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13">
    <w:name w:val="xl52913"/>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14">
    <w:name w:val="xl52914"/>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15">
    <w:name w:val="xl52915"/>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16">
    <w:name w:val="xl52916"/>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17">
    <w:name w:val="xl52917"/>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18">
    <w:name w:val="xl52918"/>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19">
    <w:name w:val="xl52919"/>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0">
    <w:name w:val="xl52920"/>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1">
    <w:name w:val="xl52921"/>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22">
    <w:name w:val="xl52922"/>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3">
    <w:name w:val="xl52923"/>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4">
    <w:name w:val="xl52924"/>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25">
    <w:name w:val="xl52925"/>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26">
    <w:name w:val="xl52926"/>
    <w:basedOn w:val="a"/>
    <w:rsid w:val="000351AD"/>
    <w:pPr>
      <w:pBdr>
        <w:left w:val="single" w:sz="8" w:space="0" w:color="auto"/>
        <w:righ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27">
    <w:name w:val="xl52927"/>
    <w:basedOn w:val="a"/>
    <w:rsid w:val="000351AD"/>
    <w:pPr>
      <w:pBdr>
        <w:left w:val="single" w:sz="8" w:space="0" w:color="auto"/>
        <w:righ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28">
    <w:name w:val="xl52928"/>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29">
    <w:name w:val="xl52929"/>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30">
    <w:name w:val="xl52930"/>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31">
    <w:name w:val="xl52931"/>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32">
    <w:name w:val="xl52932"/>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33">
    <w:name w:val="xl52933"/>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34">
    <w:name w:val="xl52934"/>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35">
    <w:name w:val="xl52935"/>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36">
    <w:name w:val="xl52936"/>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37">
    <w:name w:val="xl52937"/>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38">
    <w:name w:val="xl52938"/>
    <w:basedOn w:val="a"/>
    <w:rsid w:val="000351AD"/>
    <w:pPr>
      <w:pBdr>
        <w:lef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39">
    <w:name w:val="xl52939"/>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40">
    <w:name w:val="xl52940"/>
    <w:basedOn w:val="a"/>
    <w:rsid w:val="000351AD"/>
    <w:pPr>
      <w:pBdr>
        <w:lef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41">
    <w:name w:val="xl52941"/>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42">
    <w:name w:val="xl52942"/>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43">
    <w:name w:val="xl52943"/>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44">
    <w:name w:val="xl52944"/>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45">
    <w:name w:val="xl52945"/>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46">
    <w:name w:val="xl52946"/>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47">
    <w:name w:val="xl52947"/>
    <w:basedOn w:val="a"/>
    <w:rsid w:val="000351AD"/>
    <w:pP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48">
    <w:name w:val="xl52948"/>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49">
    <w:name w:val="xl52949"/>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0">
    <w:name w:val="xl52950"/>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1">
    <w:name w:val="xl52951"/>
    <w:basedOn w:val="a"/>
    <w:rsid w:val="000351AD"/>
    <w:pPr>
      <w:pBdr>
        <w:right w:val="single" w:sz="8"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2">
    <w:name w:val="xl52952"/>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3">
    <w:name w:val="xl52953"/>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4">
    <w:name w:val="xl52954"/>
    <w:basedOn w:val="a"/>
    <w:rsid w:val="000351AD"/>
    <w:pP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5">
    <w:name w:val="xl52955"/>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56">
    <w:name w:val="xl52956"/>
    <w:basedOn w:val="a"/>
    <w:rsid w:val="000351AD"/>
    <w:pPr>
      <w:pBdr>
        <w:right w:val="single" w:sz="8"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57">
    <w:name w:val="xl52957"/>
    <w:basedOn w:val="a"/>
    <w:rsid w:val="000351AD"/>
    <w:pP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58">
    <w:name w:val="xl52958"/>
    <w:basedOn w:val="a"/>
    <w:rsid w:val="000351AD"/>
    <w:pPr>
      <w:pBdr>
        <w:right w:val="single" w:sz="8"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59">
    <w:name w:val="xl52959"/>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60">
    <w:name w:val="xl52960"/>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61">
    <w:name w:val="xl52961"/>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62">
    <w:name w:val="xl52962"/>
    <w:basedOn w:val="a"/>
    <w:rsid w:val="000351AD"/>
    <w:pPr>
      <w:pBdr>
        <w:top w:val="single" w:sz="8" w:space="0" w:color="auto"/>
        <w:bottom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963">
    <w:name w:val="xl52963"/>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64">
    <w:name w:val="xl52964"/>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65">
    <w:name w:val="xl52965"/>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66">
    <w:name w:val="xl52966"/>
    <w:basedOn w:val="a"/>
    <w:rsid w:val="000351AD"/>
    <w:pP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67">
    <w:name w:val="xl52967"/>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68">
    <w:name w:val="xl52968"/>
    <w:basedOn w:val="a"/>
    <w:rsid w:val="000351AD"/>
    <w:pP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69">
    <w:name w:val="xl52969"/>
    <w:basedOn w:val="a"/>
    <w:rsid w:val="000351AD"/>
    <w:pP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70">
    <w:name w:val="xl52970"/>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71">
    <w:name w:val="xl52971"/>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72">
    <w:name w:val="xl52972"/>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73">
    <w:name w:val="xl52973"/>
    <w:basedOn w:val="a"/>
    <w:rsid w:val="000351AD"/>
    <w:pPr>
      <w:pBdr>
        <w:bottom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974">
    <w:name w:val="xl52974"/>
    <w:basedOn w:val="a"/>
    <w:rsid w:val="000351AD"/>
    <w:pP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75">
    <w:name w:val="xl52975"/>
    <w:basedOn w:val="a"/>
    <w:rsid w:val="000351AD"/>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76">
    <w:name w:val="xl52976"/>
    <w:basedOn w:val="a"/>
    <w:rsid w:val="000351AD"/>
    <w:pPr>
      <w:pBdr>
        <w:top w:val="single" w:sz="8" w:space="0" w:color="auto"/>
        <w:left w:val="single" w:sz="4"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77">
    <w:name w:val="xl52977"/>
    <w:basedOn w:val="a"/>
    <w:rsid w:val="000351AD"/>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78">
    <w:name w:val="xl52978"/>
    <w:basedOn w:val="a"/>
    <w:rsid w:val="000351AD"/>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79">
    <w:name w:val="xl52979"/>
    <w:basedOn w:val="a"/>
    <w:rsid w:val="000351AD"/>
    <w:pPr>
      <w:pBdr>
        <w:top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80">
    <w:name w:val="xl52980"/>
    <w:basedOn w:val="a"/>
    <w:rsid w:val="000351AD"/>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81">
    <w:name w:val="xl52981"/>
    <w:basedOn w:val="a"/>
    <w:rsid w:val="000351AD"/>
    <w:pPr>
      <w:pBdr>
        <w:top w:val="single" w:sz="8"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82">
    <w:name w:val="xl52982"/>
    <w:basedOn w:val="a"/>
    <w:rsid w:val="000351AD"/>
    <w:pPr>
      <w:pBdr>
        <w:top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83">
    <w:name w:val="xl52983"/>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84">
    <w:name w:val="xl52984"/>
    <w:basedOn w:val="a"/>
    <w:rsid w:val="000351AD"/>
    <w:pPr>
      <w:pBdr>
        <w:left w:val="single" w:sz="8" w:space="0" w:color="auto"/>
      </w:pBdr>
      <w:shd w:val="clear" w:color="000000" w:fill="A5A5A5"/>
      <w:spacing w:before="100" w:beforeAutospacing="1" w:after="100" w:afterAutospacing="1" w:line="300" w:lineRule="auto"/>
      <w:jc w:val="both"/>
    </w:pPr>
    <w:rPr>
      <w:rFonts w:ascii="Segoe UI" w:eastAsia="Times New Roman" w:hAnsi="Segoe UI" w:cs="Segoe UI"/>
      <w:b/>
      <w:bCs/>
      <w:sz w:val="16"/>
      <w:szCs w:val="16"/>
      <w:lang w:eastAsia="el-GR"/>
    </w:rPr>
  </w:style>
  <w:style w:type="paragraph" w:customStyle="1" w:styleId="xl52985">
    <w:name w:val="xl52985"/>
    <w:basedOn w:val="a"/>
    <w:rsid w:val="000351AD"/>
    <w:pPr>
      <w:pBdr>
        <w:lef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6">
    <w:name w:val="xl52986"/>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7">
    <w:name w:val="xl52987"/>
    <w:basedOn w:val="a"/>
    <w:rsid w:val="000351AD"/>
    <w:pPr>
      <w:pBdr>
        <w:lef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8">
    <w:name w:val="xl52988"/>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9">
    <w:name w:val="xl52989"/>
    <w:basedOn w:val="a"/>
    <w:rsid w:val="000351AD"/>
    <w:pPr>
      <w:pBdr>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0">
    <w:name w:val="xl52990"/>
    <w:basedOn w:val="a"/>
    <w:rsid w:val="000351AD"/>
    <w:pPr>
      <w:pBdr>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1">
    <w:name w:val="xl52991"/>
    <w:basedOn w:val="a"/>
    <w:rsid w:val="000351AD"/>
    <w:pP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2">
    <w:name w:val="xl52992"/>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3">
    <w:name w:val="xl52993"/>
    <w:basedOn w:val="a"/>
    <w:rsid w:val="000351AD"/>
    <w:pPr>
      <w:pBdr>
        <w:lef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4">
    <w:name w:val="xl52994"/>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5">
    <w:name w:val="xl52995"/>
    <w:basedOn w:val="a"/>
    <w:rsid w:val="000351AD"/>
    <w:pPr>
      <w:pBdr>
        <w:lef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6">
    <w:name w:val="xl52996"/>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7">
    <w:name w:val="xl52997"/>
    <w:basedOn w:val="a"/>
    <w:rsid w:val="000351AD"/>
    <w:pPr>
      <w:pBdr>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8">
    <w:name w:val="xl52998"/>
    <w:basedOn w:val="a"/>
    <w:rsid w:val="000351AD"/>
    <w:pPr>
      <w:pBdr>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9">
    <w:name w:val="xl52999"/>
    <w:basedOn w:val="a"/>
    <w:rsid w:val="000351AD"/>
    <w:pP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0">
    <w:name w:val="xl53000"/>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1">
    <w:name w:val="xl53001"/>
    <w:basedOn w:val="a"/>
    <w:rsid w:val="000351AD"/>
    <w:pPr>
      <w:pBdr>
        <w:lef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2">
    <w:name w:val="xl53002"/>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3">
    <w:name w:val="xl53003"/>
    <w:basedOn w:val="a"/>
    <w:rsid w:val="000351AD"/>
    <w:pPr>
      <w:pBdr>
        <w:lef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4">
    <w:name w:val="xl53004"/>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5">
    <w:name w:val="xl53005"/>
    <w:basedOn w:val="a"/>
    <w:rsid w:val="000351AD"/>
    <w:pPr>
      <w:pBdr>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6">
    <w:name w:val="xl53006"/>
    <w:basedOn w:val="a"/>
    <w:rsid w:val="000351AD"/>
    <w:pPr>
      <w:pBdr>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7">
    <w:name w:val="xl53007"/>
    <w:basedOn w:val="a"/>
    <w:rsid w:val="000351AD"/>
    <w:pP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8">
    <w:name w:val="xl53008"/>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9">
    <w:name w:val="xl53009"/>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0">
    <w:name w:val="xl53010"/>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1">
    <w:name w:val="xl53011"/>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2">
    <w:name w:val="xl53012"/>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3">
    <w:name w:val="xl53013"/>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4">
    <w:name w:val="xl53014"/>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5">
    <w:name w:val="xl53015"/>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6">
    <w:name w:val="xl53016"/>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7">
    <w:name w:val="xl53017"/>
    <w:basedOn w:val="a"/>
    <w:rsid w:val="000351AD"/>
    <w:pPr>
      <w:pBdr>
        <w:left w:val="single" w:sz="8" w:space="0" w:color="auto"/>
        <w:bottom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3018">
    <w:name w:val="xl53018"/>
    <w:basedOn w:val="a"/>
    <w:rsid w:val="000351AD"/>
    <w:pPr>
      <w:pBdr>
        <w:left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9">
    <w:name w:val="xl53019"/>
    <w:basedOn w:val="a"/>
    <w:rsid w:val="000351AD"/>
    <w:pPr>
      <w:pBdr>
        <w:left w:val="single" w:sz="8"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0">
    <w:name w:val="xl53020"/>
    <w:basedOn w:val="a"/>
    <w:rsid w:val="000351AD"/>
    <w:pPr>
      <w:pBdr>
        <w:left w:val="single" w:sz="4"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1">
    <w:name w:val="xl53021"/>
    <w:basedOn w:val="a"/>
    <w:rsid w:val="000351AD"/>
    <w:pPr>
      <w:pBdr>
        <w:left w:val="single" w:sz="4"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2">
    <w:name w:val="xl53022"/>
    <w:basedOn w:val="a"/>
    <w:rsid w:val="000351AD"/>
    <w:pPr>
      <w:pBdr>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3">
    <w:name w:val="xl53023"/>
    <w:basedOn w:val="a"/>
    <w:rsid w:val="000351AD"/>
    <w:pPr>
      <w:pBdr>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4">
    <w:name w:val="xl53024"/>
    <w:basedOn w:val="a"/>
    <w:rsid w:val="000351AD"/>
    <w:pPr>
      <w:pBdr>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5">
    <w:name w:val="xl53025"/>
    <w:basedOn w:val="a"/>
    <w:rsid w:val="000351AD"/>
    <w:pPr>
      <w:pBdr>
        <w:left w:val="single" w:sz="4"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6">
    <w:name w:val="xl53026"/>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3027">
    <w:name w:val="xl53027"/>
    <w:basedOn w:val="a"/>
    <w:rsid w:val="000351AD"/>
    <w:pPr>
      <w:pBdr>
        <w:left w:val="single" w:sz="4" w:space="0" w:color="auto"/>
        <w:right w:val="single" w:sz="4"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3028">
    <w:name w:val="xl53028"/>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color w:val="FFFFFF"/>
      <w:sz w:val="16"/>
      <w:szCs w:val="16"/>
      <w:lang w:eastAsia="el-GR"/>
    </w:rPr>
  </w:style>
  <w:style w:type="paragraph" w:customStyle="1" w:styleId="xl53029">
    <w:name w:val="xl53029"/>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3030">
    <w:name w:val="xl53030"/>
    <w:basedOn w:val="a"/>
    <w:rsid w:val="000351AD"/>
    <w:pPr>
      <w:spacing w:before="100" w:beforeAutospacing="1" w:after="100" w:afterAutospacing="1" w:line="300" w:lineRule="auto"/>
      <w:jc w:val="both"/>
      <w:textAlignment w:val="center"/>
    </w:pPr>
    <w:rPr>
      <w:rFonts w:ascii="Segoe UI" w:eastAsia="Times New Roman" w:hAnsi="Segoe UI" w:cs="Segoe UI"/>
      <w:color w:val="FFFFFF"/>
      <w:sz w:val="16"/>
      <w:szCs w:val="16"/>
      <w:lang w:eastAsia="el-GR"/>
    </w:rPr>
  </w:style>
  <w:style w:type="paragraph" w:customStyle="1" w:styleId="xl53031">
    <w:name w:val="xl53031"/>
    <w:basedOn w:val="a"/>
    <w:rsid w:val="000351AD"/>
    <w:pPr>
      <w:pBdr>
        <w:top w:val="single" w:sz="8" w:space="0" w:color="auto"/>
        <w:left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32">
    <w:name w:val="xl53032"/>
    <w:basedOn w:val="a"/>
    <w:rsid w:val="000351AD"/>
    <w:pPr>
      <w:pBdr>
        <w:top w:val="single" w:sz="8" w:space="0" w:color="auto"/>
        <w:left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33">
    <w:name w:val="xl53033"/>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0000"/>
      <w:sz w:val="16"/>
      <w:szCs w:val="16"/>
      <w:lang w:eastAsia="el-GR"/>
    </w:rPr>
  </w:style>
  <w:style w:type="paragraph" w:customStyle="1" w:styleId="xl53034">
    <w:name w:val="xl53034"/>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color w:val="FF0000"/>
      <w:sz w:val="16"/>
      <w:szCs w:val="16"/>
      <w:lang w:eastAsia="el-GR"/>
    </w:rPr>
  </w:style>
  <w:style w:type="paragraph" w:customStyle="1" w:styleId="xl53035">
    <w:name w:val="xl53035"/>
    <w:basedOn w:val="a"/>
    <w:rsid w:val="000351AD"/>
    <w:pPr>
      <w:pBdr>
        <w:top w:val="single" w:sz="8" w:space="0" w:color="auto"/>
      </w:pBdr>
      <w:shd w:val="clear" w:color="000000" w:fill="272727"/>
      <w:spacing w:before="100" w:beforeAutospacing="1" w:after="100" w:afterAutospacing="1" w:line="300" w:lineRule="auto"/>
      <w:jc w:val="both"/>
      <w:textAlignment w:val="center"/>
    </w:pPr>
    <w:rPr>
      <w:rFonts w:ascii="Segoe UI" w:eastAsia="Times New Roman" w:hAnsi="Segoe UI" w:cs="Segoe UI"/>
      <w:b/>
      <w:bCs/>
      <w:color w:val="FFFFFF"/>
      <w:sz w:val="16"/>
      <w:szCs w:val="16"/>
      <w:lang w:eastAsia="el-GR"/>
    </w:rPr>
  </w:style>
  <w:style w:type="paragraph" w:customStyle="1" w:styleId="xl53036">
    <w:name w:val="xl53036"/>
    <w:basedOn w:val="a"/>
    <w:rsid w:val="000351AD"/>
    <w:pPr>
      <w:shd w:val="clear" w:color="000000" w:fill="272727"/>
      <w:spacing w:before="100" w:beforeAutospacing="1" w:after="100" w:afterAutospacing="1" w:line="300" w:lineRule="auto"/>
      <w:jc w:val="both"/>
      <w:textAlignment w:val="center"/>
    </w:pPr>
    <w:rPr>
      <w:rFonts w:ascii="Segoe UI" w:eastAsia="Times New Roman" w:hAnsi="Segoe UI" w:cs="Segoe UI"/>
      <w:b/>
      <w:bCs/>
      <w:color w:val="FFFFFF"/>
      <w:sz w:val="16"/>
      <w:szCs w:val="16"/>
      <w:lang w:eastAsia="el-GR"/>
    </w:rPr>
  </w:style>
  <w:style w:type="paragraph" w:customStyle="1" w:styleId="xl53037">
    <w:name w:val="xl53037"/>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3038">
    <w:name w:val="xl53038"/>
    <w:basedOn w:val="a"/>
    <w:rsid w:val="000351AD"/>
    <w:pPr>
      <w:pBdr>
        <w:top w:val="single" w:sz="8" w:space="0" w:color="auto"/>
        <w:left w:val="single" w:sz="8" w:space="0" w:color="auto"/>
      </w:pBd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39">
    <w:name w:val="xl53039"/>
    <w:basedOn w:val="a"/>
    <w:rsid w:val="000351AD"/>
    <w:pPr>
      <w:pBdr>
        <w:top w:val="single" w:sz="8" w:space="0" w:color="auto"/>
      </w:pBd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40">
    <w:name w:val="xl53040"/>
    <w:basedOn w:val="a"/>
    <w:rsid w:val="000351AD"/>
    <w:pPr>
      <w:pBdr>
        <w:left w:val="single" w:sz="8" w:space="0" w:color="auto"/>
      </w:pBd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41">
    <w:name w:val="xl53041"/>
    <w:basedOn w:val="a"/>
    <w:rsid w:val="000351AD"/>
    <w:pP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42">
    <w:name w:val="xl53042"/>
    <w:basedOn w:val="a"/>
    <w:rsid w:val="000351AD"/>
    <w:pPr>
      <w:pBdr>
        <w:top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43">
    <w:name w:val="xl53043"/>
    <w:basedOn w:val="a"/>
    <w:rsid w:val="000351AD"/>
    <w:pPr>
      <w:pBdr>
        <w:top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44">
    <w:name w:val="xl53044"/>
    <w:basedOn w:val="a"/>
    <w:rsid w:val="000351AD"/>
    <w:pPr>
      <w:pBdr>
        <w:top w:val="single" w:sz="8" w:space="0" w:color="auto"/>
        <w:left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3045">
    <w:name w:val="xl53045"/>
    <w:basedOn w:val="a"/>
    <w:rsid w:val="000351AD"/>
    <w:pPr>
      <w:pBdr>
        <w:left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3046">
    <w:name w:val="xl53046"/>
    <w:basedOn w:val="a"/>
    <w:rsid w:val="000351AD"/>
    <w:pPr>
      <w:pBdr>
        <w:bottom w:val="single" w:sz="8" w:space="0" w:color="auto"/>
      </w:pBdr>
      <w:spacing w:before="100" w:beforeAutospacing="1" w:after="100" w:afterAutospacing="1" w:line="300" w:lineRule="auto"/>
      <w:jc w:val="both"/>
      <w:textAlignment w:val="center"/>
    </w:pPr>
    <w:rPr>
      <w:rFonts w:ascii="Segoe UI" w:eastAsia="Times New Roman" w:hAnsi="Segoe UI" w:cs="Segoe UI"/>
      <w:i/>
      <w:iCs/>
      <w:sz w:val="16"/>
      <w:szCs w:val="16"/>
      <w:lang w:eastAsia="el-GR"/>
    </w:rPr>
  </w:style>
  <w:style w:type="paragraph" w:customStyle="1" w:styleId="xl53047">
    <w:name w:val="xl53047"/>
    <w:basedOn w:val="a"/>
    <w:rsid w:val="000351AD"/>
    <w:pPr>
      <w:pBdr>
        <w:bottom w:val="single" w:sz="8" w:space="0" w:color="auto"/>
      </w:pBdr>
      <w:spacing w:before="100" w:beforeAutospacing="1" w:after="100" w:afterAutospacing="1" w:line="300" w:lineRule="auto"/>
      <w:jc w:val="center"/>
      <w:textAlignment w:val="center"/>
    </w:pPr>
    <w:rPr>
      <w:rFonts w:ascii="Segoe UI" w:eastAsia="Times New Roman" w:hAnsi="Segoe UI" w:cs="Segoe UI"/>
      <w:i/>
      <w:iCs/>
      <w:sz w:val="16"/>
      <w:szCs w:val="16"/>
      <w:lang w:eastAsia="el-GR"/>
    </w:rPr>
  </w:style>
  <w:style w:type="paragraph" w:customStyle="1" w:styleId="af9">
    <w:name w:val="Τ"/>
    <w:basedOn w:val="a"/>
    <w:rsid w:val="000351AD"/>
    <w:pPr>
      <w:spacing w:before="120" w:after="120" w:line="360" w:lineRule="auto"/>
      <w:jc w:val="both"/>
    </w:pPr>
    <w:rPr>
      <w:rFonts w:ascii="Arial" w:eastAsia="Times New Roman" w:hAnsi="Arial" w:cs="Arial"/>
      <w:lang w:eastAsia="el-GR"/>
    </w:rPr>
  </w:style>
  <w:style w:type="character" w:customStyle="1" w:styleId="Char9">
    <w:name w:val="Χωρίς διάστιχο Char"/>
    <w:link w:val="af2"/>
    <w:uiPriority w:val="1"/>
    <w:rsid w:val="000351AD"/>
    <w:rPr>
      <w:rFonts w:ascii="Calibri" w:eastAsia="Calibri" w:hAnsi="Calibri" w:cs="Times New Roman"/>
      <w:kern w:val="0"/>
      <w:lang w:val="el-GR"/>
      <w14:ligatures w14:val="none"/>
    </w:rPr>
  </w:style>
  <w:style w:type="paragraph" w:customStyle="1" w:styleId="Body">
    <w:name w:val="Body"/>
    <w:rsid w:val="000351AD"/>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14:ligatures w14:val="none"/>
    </w:rPr>
  </w:style>
  <w:style w:type="character" w:styleId="afa">
    <w:name w:val="Emphasis"/>
    <w:uiPriority w:val="20"/>
    <w:qFormat/>
    <w:rsid w:val="000351AD"/>
    <w:rPr>
      <w:i/>
      <w:iCs/>
    </w:rPr>
  </w:style>
  <w:style w:type="character" w:customStyle="1" w:styleId="Char8">
    <w:name w:val="Παράγραφος λίστας Char"/>
    <w:aliases w:val="1st level - Bullet List Paragraph Char,Bullet EY Char,Bullet list Char,Lettre d'introduction Char,List L1 Char,List Paragraph compact Char,List Paragraph1 Char,List Paragraph11 Char,Normal bullet 2 Char,Normal bullet 21 Char"/>
    <w:link w:val="af0"/>
    <w:uiPriority w:val="34"/>
    <w:qFormat/>
    <w:locked/>
    <w:rsid w:val="000351AD"/>
    <w:rPr>
      <w:rFonts w:ascii="Calibri" w:eastAsia="Calibri" w:hAnsi="Calibri" w:cs="Times New Roman"/>
      <w:kern w:val="0"/>
      <w:lang w:val="el-GR"/>
      <w14:ligatures w14:val="none"/>
    </w:rPr>
  </w:style>
  <w:style w:type="paragraph" w:styleId="afb">
    <w:name w:val="TOC Heading"/>
    <w:basedOn w:val="1"/>
    <w:next w:val="a"/>
    <w:uiPriority w:val="39"/>
    <w:unhideWhenUsed/>
    <w:qFormat/>
    <w:rsid w:val="000351AD"/>
    <w:pPr>
      <w:keepLines/>
      <w:spacing w:before="240" w:after="0" w:line="259" w:lineRule="auto"/>
      <w:jc w:val="left"/>
      <w:outlineLvl w:val="9"/>
    </w:pPr>
    <w:rPr>
      <w:rFonts w:ascii="Calibri Light" w:hAnsi="Calibri Light"/>
      <w:b w:val="0"/>
      <w:bCs w:val="0"/>
      <w:kern w:val="0"/>
    </w:rPr>
  </w:style>
  <w:style w:type="paragraph" w:styleId="13">
    <w:name w:val="toc 1"/>
    <w:basedOn w:val="a"/>
    <w:next w:val="a"/>
    <w:autoRedefine/>
    <w:uiPriority w:val="39"/>
    <w:unhideWhenUsed/>
    <w:rsid w:val="000351AD"/>
    <w:pPr>
      <w:tabs>
        <w:tab w:val="right" w:pos="9060"/>
      </w:tabs>
      <w:spacing w:before="240" w:after="240" w:line="300" w:lineRule="auto"/>
    </w:pPr>
    <w:rPr>
      <w:rFonts w:ascii="Arial" w:eastAsia="Times New Roman" w:hAnsi="Arial" w:cs="Arial"/>
      <w:b/>
      <w:noProof/>
      <w:color w:val="2F5496"/>
      <w:lang w:eastAsia="el-GR"/>
    </w:rPr>
  </w:style>
  <w:style w:type="paragraph" w:styleId="22">
    <w:name w:val="toc 2"/>
    <w:basedOn w:val="a"/>
    <w:next w:val="a"/>
    <w:autoRedefine/>
    <w:uiPriority w:val="39"/>
    <w:unhideWhenUsed/>
    <w:rsid w:val="000351AD"/>
    <w:pPr>
      <w:tabs>
        <w:tab w:val="right" w:pos="9072"/>
      </w:tabs>
      <w:spacing w:before="240" w:after="0" w:line="300" w:lineRule="auto"/>
    </w:pPr>
    <w:rPr>
      <w:rFonts w:ascii="Calibri" w:eastAsia="Times New Roman" w:hAnsi="Calibri" w:cs="Times New Roman"/>
      <w:b/>
      <w:bCs/>
      <w:sz w:val="20"/>
      <w:szCs w:val="20"/>
      <w:lang w:eastAsia="el-GR"/>
    </w:rPr>
  </w:style>
  <w:style w:type="paragraph" w:styleId="32">
    <w:name w:val="toc 3"/>
    <w:basedOn w:val="a"/>
    <w:next w:val="a"/>
    <w:autoRedefine/>
    <w:uiPriority w:val="39"/>
    <w:unhideWhenUsed/>
    <w:rsid w:val="000351AD"/>
    <w:pPr>
      <w:tabs>
        <w:tab w:val="left" w:pos="1560"/>
        <w:tab w:val="right" w:pos="8222"/>
      </w:tabs>
      <w:spacing w:after="120" w:line="300" w:lineRule="auto"/>
      <w:ind w:left="1559" w:hanging="1559"/>
    </w:pPr>
    <w:rPr>
      <w:rFonts w:ascii="Arial" w:eastAsia="Times New Roman" w:hAnsi="Arial" w:cs="Arial"/>
      <w:b/>
      <w:noProof/>
      <w:sz w:val="18"/>
      <w:szCs w:val="18"/>
      <w:lang w:eastAsia="el-GR"/>
    </w:rPr>
  </w:style>
  <w:style w:type="paragraph" w:styleId="afc">
    <w:name w:val="caption"/>
    <w:basedOn w:val="a"/>
    <w:next w:val="a"/>
    <w:uiPriority w:val="35"/>
    <w:unhideWhenUsed/>
    <w:qFormat/>
    <w:rsid w:val="000351AD"/>
    <w:pPr>
      <w:spacing w:after="120" w:line="300" w:lineRule="auto"/>
      <w:jc w:val="both"/>
    </w:pPr>
    <w:rPr>
      <w:rFonts w:ascii="Arial" w:eastAsia="Times New Roman" w:hAnsi="Arial" w:cs="Times New Roman"/>
      <w:b/>
      <w:bCs/>
      <w:sz w:val="20"/>
      <w:szCs w:val="20"/>
      <w:lang w:eastAsia="el-GR"/>
    </w:rPr>
  </w:style>
  <w:style w:type="paragraph" w:styleId="40">
    <w:name w:val="toc 4"/>
    <w:basedOn w:val="a"/>
    <w:next w:val="a"/>
    <w:autoRedefine/>
    <w:uiPriority w:val="39"/>
    <w:unhideWhenUsed/>
    <w:rsid w:val="000351AD"/>
    <w:pPr>
      <w:tabs>
        <w:tab w:val="left" w:pos="0"/>
        <w:tab w:val="right" w:pos="9060"/>
      </w:tabs>
      <w:spacing w:after="0" w:line="300" w:lineRule="auto"/>
      <w:ind w:left="709" w:hanging="709"/>
    </w:pPr>
    <w:rPr>
      <w:rFonts w:ascii="Calibri" w:eastAsia="Times New Roman" w:hAnsi="Calibri" w:cs="Times New Roman"/>
      <w:sz w:val="20"/>
      <w:szCs w:val="20"/>
      <w:lang w:eastAsia="el-GR"/>
    </w:rPr>
  </w:style>
  <w:style w:type="paragraph" w:styleId="afd">
    <w:name w:val="table of figures"/>
    <w:basedOn w:val="a"/>
    <w:next w:val="a"/>
    <w:uiPriority w:val="99"/>
    <w:unhideWhenUsed/>
    <w:rsid w:val="000351AD"/>
    <w:pPr>
      <w:spacing w:after="120" w:line="300" w:lineRule="auto"/>
      <w:jc w:val="both"/>
    </w:pPr>
    <w:rPr>
      <w:rFonts w:ascii="Arial" w:eastAsia="Times New Roman" w:hAnsi="Arial" w:cs="Times New Roman"/>
      <w:sz w:val="20"/>
      <w:szCs w:val="24"/>
      <w:lang w:eastAsia="el-GR"/>
    </w:rPr>
  </w:style>
  <w:style w:type="paragraph" w:styleId="50">
    <w:name w:val="toc 5"/>
    <w:basedOn w:val="a"/>
    <w:next w:val="a"/>
    <w:autoRedefine/>
    <w:uiPriority w:val="39"/>
    <w:unhideWhenUsed/>
    <w:rsid w:val="000351AD"/>
    <w:pPr>
      <w:tabs>
        <w:tab w:val="left" w:pos="709"/>
        <w:tab w:val="right" w:pos="9060"/>
      </w:tabs>
      <w:spacing w:after="0" w:line="300" w:lineRule="auto"/>
    </w:pPr>
    <w:rPr>
      <w:rFonts w:ascii="Calibri" w:eastAsia="Times New Roman" w:hAnsi="Calibri" w:cs="Times New Roman"/>
      <w:sz w:val="20"/>
      <w:szCs w:val="20"/>
      <w:lang w:eastAsia="el-GR"/>
    </w:rPr>
  </w:style>
  <w:style w:type="paragraph" w:styleId="60">
    <w:name w:val="toc 6"/>
    <w:basedOn w:val="a"/>
    <w:next w:val="a"/>
    <w:autoRedefine/>
    <w:uiPriority w:val="39"/>
    <w:unhideWhenUsed/>
    <w:rsid w:val="000351AD"/>
    <w:pPr>
      <w:spacing w:after="0" w:line="300" w:lineRule="auto"/>
      <w:ind w:left="880"/>
    </w:pPr>
    <w:rPr>
      <w:rFonts w:ascii="Calibri" w:eastAsia="Times New Roman" w:hAnsi="Calibri" w:cs="Times New Roman"/>
      <w:sz w:val="20"/>
      <w:szCs w:val="20"/>
      <w:lang w:eastAsia="el-GR"/>
    </w:rPr>
  </w:style>
  <w:style w:type="paragraph" w:styleId="70">
    <w:name w:val="toc 7"/>
    <w:basedOn w:val="a"/>
    <w:next w:val="a"/>
    <w:autoRedefine/>
    <w:uiPriority w:val="39"/>
    <w:unhideWhenUsed/>
    <w:rsid w:val="000351AD"/>
    <w:pPr>
      <w:spacing w:after="0" w:line="300" w:lineRule="auto"/>
      <w:ind w:left="1100"/>
    </w:pPr>
    <w:rPr>
      <w:rFonts w:ascii="Calibri" w:eastAsia="Times New Roman" w:hAnsi="Calibri" w:cs="Times New Roman"/>
      <w:sz w:val="20"/>
      <w:szCs w:val="20"/>
      <w:lang w:eastAsia="el-GR"/>
    </w:rPr>
  </w:style>
  <w:style w:type="paragraph" w:styleId="80">
    <w:name w:val="toc 8"/>
    <w:basedOn w:val="a"/>
    <w:next w:val="a"/>
    <w:autoRedefine/>
    <w:uiPriority w:val="39"/>
    <w:unhideWhenUsed/>
    <w:rsid w:val="000351AD"/>
    <w:pPr>
      <w:spacing w:after="0" w:line="300" w:lineRule="auto"/>
      <w:ind w:left="1320"/>
    </w:pPr>
    <w:rPr>
      <w:rFonts w:ascii="Calibri" w:eastAsia="Times New Roman" w:hAnsi="Calibri" w:cs="Times New Roman"/>
      <w:sz w:val="20"/>
      <w:szCs w:val="20"/>
      <w:lang w:eastAsia="el-GR"/>
    </w:rPr>
  </w:style>
  <w:style w:type="paragraph" w:styleId="90">
    <w:name w:val="toc 9"/>
    <w:basedOn w:val="a"/>
    <w:next w:val="a"/>
    <w:autoRedefine/>
    <w:uiPriority w:val="39"/>
    <w:unhideWhenUsed/>
    <w:rsid w:val="000351AD"/>
    <w:pPr>
      <w:spacing w:after="0" w:line="300" w:lineRule="auto"/>
      <w:ind w:left="1540"/>
    </w:pPr>
    <w:rPr>
      <w:rFonts w:ascii="Calibri" w:eastAsia="Times New Roman" w:hAnsi="Calibri" w:cs="Times New Roman"/>
      <w:sz w:val="20"/>
      <w:szCs w:val="20"/>
      <w:lang w:eastAsia="el-GR"/>
    </w:rPr>
  </w:style>
  <w:style w:type="character" w:customStyle="1" w:styleId="14">
    <w:name w:val="Ανεπίλυτη αναφορά1"/>
    <w:uiPriority w:val="99"/>
    <w:semiHidden/>
    <w:unhideWhenUsed/>
    <w:rsid w:val="000351AD"/>
    <w:rPr>
      <w:color w:val="605E5C"/>
      <w:shd w:val="clear" w:color="auto" w:fill="E1DFDD"/>
    </w:rPr>
  </w:style>
  <w:style w:type="table" w:customStyle="1" w:styleId="15">
    <w:name w:val="Πλέγμα πίνακα1"/>
    <w:basedOn w:val="a1"/>
    <w:next w:val="ac"/>
    <w:uiPriority w:val="59"/>
    <w:rsid w:val="000351A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Βασικό1"/>
    <w:rsid w:val="000351AD"/>
    <w:pPr>
      <w:spacing w:after="0" w:line="240" w:lineRule="auto"/>
    </w:pPr>
    <w:rPr>
      <w:rFonts w:ascii="Times New Roman" w:eastAsia="Times New Roman" w:hAnsi="Times New Roman" w:cs="Times New Roman"/>
      <w:color w:val="000000"/>
      <w:kern w:val="0"/>
      <w:sz w:val="24"/>
      <w:szCs w:val="24"/>
      <w:lang w:val="el-GR" w:eastAsia="el-GR"/>
      <w14:ligatures w14:val="none"/>
    </w:rPr>
  </w:style>
  <w:style w:type="character" w:customStyle="1" w:styleId="UnresolvedMention1">
    <w:name w:val="Unresolved Mention1"/>
    <w:uiPriority w:val="99"/>
    <w:semiHidden/>
    <w:unhideWhenUsed/>
    <w:rsid w:val="000351AD"/>
    <w:rPr>
      <w:color w:val="605E5C"/>
      <w:shd w:val="clear" w:color="auto" w:fill="E1DFDD"/>
    </w:rPr>
  </w:style>
  <w:style w:type="character" w:customStyle="1" w:styleId="markedcontent">
    <w:name w:val="markedcontent"/>
    <w:basedOn w:val="a0"/>
    <w:rsid w:val="000351AD"/>
  </w:style>
  <w:style w:type="numbering" w:customStyle="1" w:styleId="23">
    <w:name w:val="Χωρίς λίστα2"/>
    <w:next w:val="a2"/>
    <w:uiPriority w:val="99"/>
    <w:semiHidden/>
    <w:rsid w:val="000351AD"/>
  </w:style>
  <w:style w:type="paragraph" w:styleId="afe">
    <w:name w:val="Block Text"/>
    <w:basedOn w:val="a"/>
    <w:rsid w:val="000351AD"/>
    <w:pPr>
      <w:spacing w:after="0" w:line="240" w:lineRule="auto"/>
      <w:ind w:left="360" w:right="70" w:hanging="360"/>
      <w:jc w:val="both"/>
    </w:pPr>
    <w:rPr>
      <w:rFonts w:ascii="Times New Roman" w:eastAsia="Times New Roman" w:hAnsi="Times New Roman" w:cs="Times New Roman"/>
      <w:sz w:val="16"/>
      <w:lang w:eastAsia="el-GR"/>
    </w:rPr>
  </w:style>
  <w:style w:type="paragraph" w:customStyle="1" w:styleId="xl70">
    <w:name w:val="xl70"/>
    <w:basedOn w:val="a"/>
    <w:rsid w:val="000351AD"/>
    <w:pPr>
      <w:spacing w:before="100" w:beforeAutospacing="1" w:after="100" w:afterAutospacing="1" w:line="240" w:lineRule="auto"/>
      <w:textAlignment w:val="center"/>
    </w:pPr>
    <w:rPr>
      <w:rFonts w:ascii="Arial" w:eastAsia="Times New Roman" w:hAnsi="Arial" w:cs="Arial"/>
      <w:lang w:eastAsia="el-GR"/>
    </w:rPr>
  </w:style>
  <w:style w:type="paragraph" w:customStyle="1" w:styleId="xl71">
    <w:name w:val="xl71"/>
    <w:basedOn w:val="a"/>
    <w:rsid w:val="000351AD"/>
    <w:pPr>
      <w:pBdr>
        <w:left w:val="single" w:sz="8" w:space="0" w:color="auto"/>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2">
    <w:name w:val="xl72"/>
    <w:basedOn w:val="a"/>
    <w:rsid w:val="000351A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3">
    <w:name w:val="xl73"/>
    <w:basedOn w:val="a"/>
    <w:rsid w:val="000351AD"/>
    <w:pPr>
      <w:pBdr>
        <w:left w:val="single" w:sz="4" w:space="0" w:color="000000"/>
        <w:right w:val="single" w:sz="8" w:space="0" w:color="auto"/>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4">
    <w:name w:val="xl74"/>
    <w:basedOn w:val="a"/>
    <w:rsid w:val="000351AD"/>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xl75">
    <w:name w:val="xl75"/>
    <w:basedOn w:val="a"/>
    <w:rsid w:val="000351AD"/>
    <w:pPr>
      <w:pBdr>
        <w:left w:val="single" w:sz="4" w:space="0" w:color="000000"/>
        <w:right w:val="single" w:sz="8" w:space="0" w:color="auto"/>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Titlos1">
    <w:name w:val="Titlos_1"/>
    <w:basedOn w:val="a"/>
    <w:link w:val="Titlos1Char"/>
    <w:qFormat/>
    <w:rsid w:val="000351AD"/>
    <w:pPr>
      <w:shd w:val="clear" w:color="auto" w:fill="595959"/>
      <w:spacing w:after="0" w:line="240" w:lineRule="auto"/>
      <w:jc w:val="both"/>
    </w:pPr>
    <w:rPr>
      <w:rFonts w:ascii="Arial Narrow" w:eastAsia="Times New Roman" w:hAnsi="Arial Narrow" w:cs="Times New Roman"/>
      <w:b/>
      <w:color w:val="FFFFFF"/>
      <w:sz w:val="26"/>
      <w:szCs w:val="26"/>
      <w:lang w:eastAsia="el-GR"/>
    </w:rPr>
  </w:style>
  <w:style w:type="character" w:customStyle="1" w:styleId="Titlos1Char">
    <w:name w:val="Titlos_1 Char"/>
    <w:link w:val="Titlos1"/>
    <w:rsid w:val="000351AD"/>
    <w:rPr>
      <w:rFonts w:ascii="Arial Narrow" w:eastAsia="Times New Roman" w:hAnsi="Arial Narrow" w:cs="Times New Roman"/>
      <w:b/>
      <w:color w:val="FFFFFF"/>
      <w:kern w:val="0"/>
      <w:sz w:val="26"/>
      <w:szCs w:val="26"/>
      <w:shd w:val="clear" w:color="auto" w:fill="595959"/>
      <w:lang w:val="el-GR" w:eastAsia="el-GR"/>
      <w14:ligatures w14:val="none"/>
    </w:rPr>
  </w:style>
  <w:style w:type="paragraph" w:customStyle="1" w:styleId="msonormal0">
    <w:name w:val="msonormal"/>
    <w:basedOn w:val="a"/>
    <w:rsid w:val="000351AD"/>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33">
    <w:name w:val="Χωρίς λίστα3"/>
    <w:next w:val="a2"/>
    <w:uiPriority w:val="99"/>
    <w:semiHidden/>
    <w:unhideWhenUsed/>
    <w:rsid w:val="000351AD"/>
  </w:style>
  <w:style w:type="numbering" w:customStyle="1" w:styleId="110">
    <w:name w:val="Χωρίς λίστα11"/>
    <w:next w:val="a2"/>
    <w:semiHidden/>
    <w:rsid w:val="000351AD"/>
  </w:style>
  <w:style w:type="numbering" w:customStyle="1" w:styleId="210">
    <w:name w:val="Χωρίς λίστα21"/>
    <w:next w:val="a2"/>
    <w:semiHidden/>
    <w:rsid w:val="000351AD"/>
  </w:style>
  <w:style w:type="table" w:customStyle="1" w:styleId="111">
    <w:name w:val="Μεσαία λίστα 11"/>
    <w:basedOn w:val="a1"/>
    <w:next w:val="17"/>
    <w:uiPriority w:val="65"/>
    <w:rsid w:val="000351A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NewRoman,Bold" w:eastAsia="Times New Roman" w:hAnsi="TimesNewRoman,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7">
    <w:name w:val="Medium List 1"/>
    <w:basedOn w:val="a1"/>
    <w:uiPriority w:val="65"/>
    <w:semiHidden/>
    <w:unhideWhenUsed/>
    <w:rsid w:val="000351A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CharCharCharCharCharCharCharCharCharChar11pt">
    <w:name w:val="Char Char Char Char Char Char Char Char Char Char Βασικό+11pt"/>
    <w:basedOn w:val="a"/>
    <w:rsid w:val="000351AD"/>
    <w:pPr>
      <w:spacing w:after="0" w:line="240" w:lineRule="auto"/>
      <w:jc w:val="both"/>
    </w:pPr>
    <w:rPr>
      <w:rFonts w:ascii="Times New Roman" w:eastAsia="Times New Roman" w:hAnsi="Times New Roman" w:cs="Times New Roman"/>
      <w:b/>
      <w:szCs w:val="24"/>
      <w:lang w:eastAsia="el-GR"/>
    </w:rPr>
  </w:style>
  <w:style w:type="paragraph" w:customStyle="1" w:styleId="Pinakastitlos">
    <w:name w:val="Pinakas_titlos"/>
    <w:basedOn w:val="a"/>
    <w:qFormat/>
    <w:rsid w:val="000351AD"/>
    <w:pPr>
      <w:spacing w:before="120" w:after="0" w:line="240" w:lineRule="auto"/>
      <w:ind w:right="-1"/>
      <w:jc w:val="center"/>
    </w:pPr>
    <w:rPr>
      <w:rFonts w:ascii="Arial Narrow" w:eastAsia="Times New Roman" w:hAnsi="Arial Narrow" w:cs="Times New Roman"/>
      <w:b/>
      <w:color w:val="FFFFFF"/>
      <w:sz w:val="24"/>
      <w:szCs w:val="24"/>
      <w:lang w:eastAsia="el-GR"/>
    </w:rPr>
  </w:style>
  <w:style w:type="paragraph" w:customStyle="1" w:styleId="18">
    <w:name w:val="Παράγραφος λίστας1"/>
    <w:basedOn w:val="a"/>
    <w:rsid w:val="000351AD"/>
    <w:pPr>
      <w:ind w:left="720"/>
    </w:pPr>
    <w:rPr>
      <w:rFonts w:ascii="Calibri" w:eastAsia="Times New Roman" w:hAnsi="Calibri" w:cs="Calibri"/>
    </w:rPr>
  </w:style>
  <w:style w:type="paragraph" w:customStyle="1" w:styleId="24">
    <w:name w:val="Παράγραφος λίστας2"/>
    <w:basedOn w:val="a"/>
    <w:rsid w:val="000351AD"/>
    <w:pPr>
      <w:ind w:left="720"/>
    </w:pPr>
    <w:rPr>
      <w:rFonts w:ascii="Calibri" w:eastAsia="Times New Roman" w:hAnsi="Calibri" w:cs="Calibri"/>
    </w:rPr>
  </w:style>
  <w:style w:type="paragraph" w:customStyle="1" w:styleId="xl76">
    <w:name w:val="xl76"/>
    <w:basedOn w:val="a"/>
    <w:rsid w:val="000351AD"/>
    <w:pP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77">
    <w:name w:val="xl77"/>
    <w:basedOn w:val="a"/>
    <w:rsid w:val="000351AD"/>
    <w:pP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78">
    <w:name w:val="xl78"/>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79">
    <w:name w:val="xl79"/>
    <w:basedOn w:val="a"/>
    <w:rsid w:val="000351AD"/>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0">
    <w:name w:val="xl80"/>
    <w:basedOn w:val="a"/>
    <w:rsid w:val="000351AD"/>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1">
    <w:name w:val="xl81"/>
    <w:basedOn w:val="a"/>
    <w:rsid w:val="000351AD"/>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2">
    <w:name w:val="xl82"/>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3">
    <w:name w:val="xl83"/>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4">
    <w:name w:val="xl84"/>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85">
    <w:name w:val="xl85"/>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6">
    <w:name w:val="xl86"/>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7">
    <w:name w:val="xl87"/>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88">
    <w:name w:val="xl88"/>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9">
    <w:name w:val="xl89"/>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0">
    <w:name w:val="xl90"/>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1">
    <w:name w:val="xl91"/>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2">
    <w:name w:val="xl92"/>
    <w:basedOn w:val="a"/>
    <w:rsid w:val="000351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3">
    <w:name w:val="xl93"/>
    <w:basedOn w:val="a"/>
    <w:rsid w:val="000351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4">
    <w:name w:val="xl94"/>
    <w:basedOn w:val="a"/>
    <w:rsid w:val="000351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5">
    <w:name w:val="xl95"/>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6">
    <w:name w:val="xl96"/>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7">
    <w:name w:val="xl97"/>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8">
    <w:name w:val="xl98"/>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99">
    <w:name w:val="xl99"/>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0">
    <w:name w:val="xl100"/>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1">
    <w:name w:val="xl101"/>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2">
    <w:name w:val="xl102"/>
    <w:basedOn w:val="a"/>
    <w:rsid w:val="000351A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3">
    <w:name w:val="xl103"/>
    <w:basedOn w:val="a"/>
    <w:rsid w:val="0003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4">
    <w:name w:val="xl10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05">
    <w:name w:val="xl105"/>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6">
    <w:name w:val="xl106"/>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7">
    <w:name w:val="xl107"/>
    <w:basedOn w:val="a"/>
    <w:rsid w:val="000351AD"/>
    <w:pPr>
      <w:pBdr>
        <w:top w:val="single" w:sz="4" w:space="0" w:color="auto"/>
        <w:left w:val="single" w:sz="4" w:space="0" w:color="auto"/>
        <w:bottom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8">
    <w:name w:val="xl108"/>
    <w:basedOn w:val="a"/>
    <w:rsid w:val="000351AD"/>
    <w:pPr>
      <w:pBdr>
        <w:top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9">
    <w:name w:val="xl109"/>
    <w:basedOn w:val="a"/>
    <w:rsid w:val="000351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0">
    <w:name w:val="xl110"/>
    <w:basedOn w:val="a"/>
    <w:rsid w:val="000351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1">
    <w:name w:val="xl111"/>
    <w:basedOn w:val="a"/>
    <w:rsid w:val="000351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2">
    <w:name w:val="xl112"/>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3">
    <w:name w:val="xl113"/>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4">
    <w:name w:val="xl11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5">
    <w:name w:val="xl115"/>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6">
    <w:name w:val="xl116"/>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7">
    <w:name w:val="xl117"/>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18">
    <w:name w:val="xl118"/>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19">
    <w:name w:val="xl119"/>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0">
    <w:name w:val="xl120"/>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21">
    <w:name w:val="xl121"/>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22">
    <w:name w:val="xl122"/>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styleId="aff">
    <w:name w:val="Body Text First Indent"/>
    <w:basedOn w:val="a8"/>
    <w:link w:val="Charc"/>
    <w:uiPriority w:val="99"/>
    <w:rsid w:val="000351AD"/>
    <w:pPr>
      <w:spacing w:line="240" w:lineRule="auto"/>
      <w:ind w:firstLine="210"/>
      <w:jc w:val="left"/>
    </w:pPr>
    <w:rPr>
      <w:rFonts w:ascii="Times New Roman" w:hAnsi="Times New Roman"/>
      <w:sz w:val="20"/>
      <w:szCs w:val="20"/>
      <w:lang w:eastAsia="en-US"/>
    </w:rPr>
  </w:style>
  <w:style w:type="character" w:customStyle="1" w:styleId="Charc">
    <w:name w:val="Σώμα κείμενου Πρώτη Εσοχή Char"/>
    <w:basedOn w:val="Char3"/>
    <w:link w:val="aff"/>
    <w:uiPriority w:val="99"/>
    <w:rsid w:val="000351AD"/>
    <w:rPr>
      <w:rFonts w:ascii="Times New Roman" w:eastAsia="Times New Roman" w:hAnsi="Times New Roman" w:cs="Times New Roman"/>
      <w:kern w:val="0"/>
      <w:sz w:val="20"/>
      <w:szCs w:val="20"/>
      <w:lang w:val="el-GR" w:eastAsia="el-GR"/>
      <w14:ligatures w14:val="none"/>
    </w:rPr>
  </w:style>
  <w:style w:type="paragraph" w:customStyle="1" w:styleId="xl123">
    <w:name w:val="xl123"/>
    <w:basedOn w:val="a"/>
    <w:rsid w:val="000351AD"/>
    <w:pPr>
      <w:shd w:val="clear" w:color="000000" w:fill="FFFFFF"/>
      <w:spacing w:before="100" w:beforeAutospacing="1" w:after="100" w:afterAutospacing="1" w:line="240" w:lineRule="auto"/>
    </w:pPr>
    <w:rPr>
      <w:rFonts w:ascii="Arial Narrow" w:eastAsia="Times New Roman" w:hAnsi="Arial Narrow" w:cs="Times New Roman"/>
      <w:sz w:val="24"/>
      <w:szCs w:val="24"/>
      <w:lang w:eastAsia="el-GR"/>
    </w:rPr>
  </w:style>
  <w:style w:type="paragraph" w:customStyle="1" w:styleId="xl124">
    <w:name w:val="xl12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5">
    <w:name w:val="xl125"/>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26">
    <w:name w:val="xl126"/>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7">
    <w:name w:val="xl127"/>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28">
    <w:name w:val="xl128"/>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9">
    <w:name w:val="xl129"/>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30">
    <w:name w:val="xl130"/>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31">
    <w:name w:val="xl131"/>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1">
    <w:name w:val="xl53071"/>
    <w:basedOn w:val="a"/>
    <w:rsid w:val="000351AD"/>
    <w:pPr>
      <w:spacing w:before="100" w:beforeAutospacing="1" w:after="100" w:afterAutospacing="1" w:line="240" w:lineRule="auto"/>
    </w:pPr>
    <w:rPr>
      <w:rFonts w:ascii="Calibri" w:eastAsia="Times New Roman" w:hAnsi="Calibri" w:cs="Times New Roman"/>
      <w:color w:val="000000"/>
      <w:sz w:val="24"/>
      <w:szCs w:val="24"/>
      <w:lang w:eastAsia="el-GR"/>
    </w:rPr>
  </w:style>
  <w:style w:type="paragraph" w:customStyle="1" w:styleId="xl53072">
    <w:name w:val="xl53072"/>
    <w:basedOn w:val="a"/>
    <w:rsid w:val="000351AD"/>
    <w:pPr>
      <w:spacing w:before="100" w:beforeAutospacing="1" w:after="100" w:afterAutospacing="1" w:line="240" w:lineRule="auto"/>
    </w:pPr>
    <w:rPr>
      <w:rFonts w:ascii="Calibri" w:eastAsia="Times New Roman" w:hAnsi="Calibri" w:cs="Times New Roman"/>
      <w:b/>
      <w:bCs/>
      <w:color w:val="000000"/>
      <w:sz w:val="24"/>
      <w:szCs w:val="24"/>
      <w:lang w:eastAsia="el-GR"/>
    </w:rPr>
  </w:style>
  <w:style w:type="paragraph" w:customStyle="1" w:styleId="xl53073">
    <w:name w:val="xl53073"/>
    <w:basedOn w:val="a"/>
    <w:rsid w:val="000351AD"/>
    <w:pPr>
      <w:spacing w:before="100" w:beforeAutospacing="1" w:after="100" w:afterAutospacing="1" w:line="240" w:lineRule="auto"/>
      <w:textAlignment w:val="center"/>
    </w:pPr>
    <w:rPr>
      <w:rFonts w:ascii="Calibri" w:eastAsia="Times New Roman" w:hAnsi="Calibri" w:cs="Times New Roman"/>
      <w:color w:val="000000"/>
      <w:sz w:val="24"/>
      <w:szCs w:val="24"/>
      <w:lang w:eastAsia="el-GR"/>
    </w:rPr>
  </w:style>
  <w:style w:type="paragraph" w:customStyle="1" w:styleId="xl53074">
    <w:name w:val="xl53074"/>
    <w:basedOn w:val="a"/>
    <w:rsid w:val="000351AD"/>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5">
    <w:name w:val="xl53075"/>
    <w:basedOn w:val="a"/>
    <w:rsid w:val="000351AD"/>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6">
    <w:name w:val="xl53076"/>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color w:val="0000FF"/>
      <w:sz w:val="16"/>
      <w:szCs w:val="16"/>
      <w:lang w:eastAsia="el-GR"/>
    </w:rPr>
  </w:style>
  <w:style w:type="paragraph" w:customStyle="1" w:styleId="xl53077">
    <w:name w:val="xl53077"/>
    <w:basedOn w:val="a"/>
    <w:rsid w:val="000351AD"/>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78">
    <w:name w:val="xl53078"/>
    <w:basedOn w:val="a"/>
    <w:rsid w:val="000351AD"/>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9">
    <w:name w:val="xl53079"/>
    <w:basedOn w:val="a"/>
    <w:rsid w:val="000351AD"/>
    <w:pPr>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80">
    <w:name w:val="xl53080"/>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1">
    <w:name w:val="xl53081"/>
    <w:basedOn w:val="a"/>
    <w:rsid w:val="000351AD"/>
    <w:pPr>
      <w:spacing w:before="100" w:beforeAutospacing="1" w:after="100" w:afterAutospacing="1" w:line="240" w:lineRule="auto"/>
      <w:textAlignment w:val="center"/>
    </w:pPr>
    <w:rPr>
      <w:rFonts w:ascii="Arial Narrow" w:eastAsia="Times New Roman" w:hAnsi="Arial Narrow" w:cs="Times New Roman"/>
      <w:sz w:val="16"/>
      <w:szCs w:val="16"/>
      <w:lang w:eastAsia="el-GR"/>
    </w:rPr>
  </w:style>
  <w:style w:type="paragraph" w:customStyle="1" w:styleId="xl53082">
    <w:name w:val="xl53082"/>
    <w:basedOn w:val="a"/>
    <w:rsid w:val="000351AD"/>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83">
    <w:name w:val="xl53083"/>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4">
    <w:name w:val="xl53084"/>
    <w:basedOn w:val="a"/>
    <w:rsid w:val="000351AD"/>
    <w:pP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53085">
    <w:name w:val="xl53085"/>
    <w:basedOn w:val="a"/>
    <w:rsid w:val="000351AD"/>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6">
    <w:name w:val="xl53086"/>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7">
    <w:name w:val="xl53087"/>
    <w:basedOn w:val="a"/>
    <w:rsid w:val="000351AD"/>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8">
    <w:name w:val="xl53088"/>
    <w:basedOn w:val="a"/>
    <w:rsid w:val="000351AD"/>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89">
    <w:name w:val="xl53089"/>
    <w:basedOn w:val="a"/>
    <w:rsid w:val="000351AD"/>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0">
    <w:name w:val="xl53090"/>
    <w:basedOn w:val="a"/>
    <w:rsid w:val="000351AD"/>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91">
    <w:name w:val="xl53091"/>
    <w:basedOn w:val="a"/>
    <w:rsid w:val="000351AD"/>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2">
    <w:name w:val="xl53092"/>
    <w:basedOn w:val="a"/>
    <w:rsid w:val="000351AD"/>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3">
    <w:name w:val="xl53093"/>
    <w:basedOn w:val="a"/>
    <w:rsid w:val="000351AD"/>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94">
    <w:name w:val="xl53094"/>
    <w:basedOn w:val="a"/>
    <w:rsid w:val="000351AD"/>
    <w:pPr>
      <w:shd w:val="clear" w:color="000000" w:fill="C5BE97"/>
      <w:spacing w:before="100" w:beforeAutospacing="1" w:after="100" w:afterAutospacing="1" w:line="240" w:lineRule="auto"/>
    </w:pPr>
    <w:rPr>
      <w:rFonts w:ascii="Arial Narrow" w:eastAsia="Times New Roman" w:hAnsi="Arial Narrow" w:cs="Times New Roman"/>
      <w:i/>
      <w:iCs/>
      <w:sz w:val="16"/>
      <w:szCs w:val="16"/>
      <w:lang w:eastAsia="el-GR"/>
    </w:rPr>
  </w:style>
  <w:style w:type="paragraph" w:customStyle="1" w:styleId="xl53095">
    <w:name w:val="xl53095"/>
    <w:basedOn w:val="a"/>
    <w:rsid w:val="000351AD"/>
    <w:pP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6">
    <w:name w:val="xl53096"/>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7">
    <w:name w:val="xl53097"/>
    <w:basedOn w:val="a"/>
    <w:rsid w:val="000351AD"/>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8">
    <w:name w:val="xl53098"/>
    <w:basedOn w:val="a"/>
    <w:rsid w:val="000351AD"/>
    <w:pPr>
      <w:pBdr>
        <w:top w:val="single" w:sz="8" w:space="0" w:color="auto"/>
        <w:left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9">
    <w:name w:val="xl53099"/>
    <w:basedOn w:val="a"/>
    <w:rsid w:val="000351AD"/>
    <w:pPr>
      <w:pBdr>
        <w:top w:val="single" w:sz="8" w:space="0" w:color="auto"/>
        <w:left w:val="single" w:sz="8" w:space="0" w:color="auto"/>
        <w:bottom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0">
    <w:name w:val="xl53100"/>
    <w:basedOn w:val="a"/>
    <w:rsid w:val="000351AD"/>
    <w:pPr>
      <w:pBdr>
        <w:top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1">
    <w:name w:val="xl53101"/>
    <w:basedOn w:val="a"/>
    <w:rsid w:val="000351AD"/>
    <w:pPr>
      <w:pBdr>
        <w:top w:val="single" w:sz="8" w:space="0" w:color="auto"/>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2">
    <w:name w:val="xl53102"/>
    <w:basedOn w:val="a"/>
    <w:rsid w:val="000351AD"/>
    <w:pPr>
      <w:pBdr>
        <w:top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3">
    <w:name w:val="xl53103"/>
    <w:basedOn w:val="a"/>
    <w:rsid w:val="000351AD"/>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lang w:eastAsia="el-GR"/>
    </w:rPr>
  </w:style>
  <w:style w:type="paragraph" w:customStyle="1" w:styleId="xl53104">
    <w:name w:val="xl53104"/>
    <w:basedOn w:val="a"/>
    <w:rsid w:val="000351AD"/>
    <w:pPr>
      <w:pBdr>
        <w:top w:val="single" w:sz="8" w:space="0" w:color="auto"/>
        <w:left w:val="single" w:sz="8" w:space="0" w:color="auto"/>
        <w:bottom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5">
    <w:name w:val="xl53105"/>
    <w:basedOn w:val="a"/>
    <w:rsid w:val="000351AD"/>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6">
    <w:name w:val="xl53106"/>
    <w:basedOn w:val="a"/>
    <w:rsid w:val="000351AD"/>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7">
    <w:name w:val="xl53107"/>
    <w:basedOn w:val="a"/>
    <w:rsid w:val="000351AD"/>
    <w:pPr>
      <w:spacing w:before="100" w:beforeAutospacing="1" w:after="100" w:afterAutospacing="1" w:line="240" w:lineRule="auto"/>
    </w:pPr>
    <w:rPr>
      <w:rFonts w:ascii="Arial Narrow" w:eastAsia="Times New Roman" w:hAnsi="Arial Narrow" w:cs="Times New Roman"/>
      <w:color w:val="000000"/>
      <w:sz w:val="16"/>
      <w:szCs w:val="16"/>
      <w:lang w:eastAsia="el-GR"/>
    </w:rPr>
  </w:style>
  <w:style w:type="paragraph" w:customStyle="1" w:styleId="xl53108">
    <w:name w:val="xl53108"/>
    <w:basedOn w:val="a"/>
    <w:rsid w:val="000351AD"/>
    <w:pPr>
      <w:spacing w:before="100" w:beforeAutospacing="1" w:after="100" w:afterAutospacing="1" w:line="240" w:lineRule="auto"/>
    </w:pPr>
    <w:rPr>
      <w:rFonts w:ascii="Arial Narrow" w:eastAsia="Times New Roman" w:hAnsi="Arial Narrow" w:cs="Times New Roman"/>
      <w:sz w:val="16"/>
      <w:szCs w:val="16"/>
      <w:lang w:eastAsia="el-GR"/>
    </w:rPr>
  </w:style>
  <w:style w:type="paragraph" w:customStyle="1" w:styleId="xl53109">
    <w:name w:val="xl53109"/>
    <w:basedOn w:val="a"/>
    <w:rsid w:val="000351AD"/>
    <w:pPr>
      <w:spacing w:before="100" w:beforeAutospacing="1" w:after="100" w:afterAutospacing="1" w:line="240" w:lineRule="auto"/>
      <w:ind w:firstLineChars="200" w:firstLine="200"/>
      <w:textAlignment w:val="center"/>
    </w:pPr>
    <w:rPr>
      <w:rFonts w:ascii="Arial Narrow" w:eastAsia="Times New Roman" w:hAnsi="Arial Narrow" w:cs="Times New Roman"/>
      <w:sz w:val="16"/>
      <w:szCs w:val="16"/>
      <w:lang w:eastAsia="el-GR"/>
    </w:rPr>
  </w:style>
  <w:style w:type="table" w:customStyle="1" w:styleId="2-21">
    <w:name w:val="Μεσαία σκίαση 2 - ΄Εμφαση 21"/>
    <w:basedOn w:val="a1"/>
    <w:next w:val="2-2"/>
    <w:uiPriority w:val="64"/>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translate">
    <w:name w:val="notranslate"/>
    <w:rsid w:val="000351AD"/>
  </w:style>
  <w:style w:type="character" w:customStyle="1" w:styleId="tlid-translation">
    <w:name w:val="tlid-translation"/>
    <w:rsid w:val="000351AD"/>
  </w:style>
  <w:style w:type="table" w:customStyle="1" w:styleId="GridTable4-Accent11">
    <w:name w:val="Grid Table 4 - Accent 11"/>
    <w:basedOn w:val="a1"/>
    <w:uiPriority w:val="49"/>
    <w:rsid w:val="000351AD"/>
    <w:pPr>
      <w:spacing w:after="0" w:line="240" w:lineRule="auto"/>
    </w:pPr>
    <w:rPr>
      <w:rFonts w:ascii="Calibri" w:eastAsia="Calibri" w:hAnsi="Calibri" w:cs="Times New Roman"/>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11">
    <w:name w:val="List Table 6 Colorful - Accent 11"/>
    <w:basedOn w:val="a1"/>
    <w:uiPriority w:val="51"/>
    <w:rsid w:val="000351AD"/>
    <w:pPr>
      <w:spacing w:after="0" w:line="240" w:lineRule="auto"/>
    </w:pPr>
    <w:rPr>
      <w:rFonts w:ascii="Calibri" w:eastAsia="Calibri" w:hAnsi="Calibri" w:cs="Times New Roman"/>
      <w:color w:val="365F91"/>
      <w:kern w:val="0"/>
      <w14:ligatures w14:val="none"/>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leParagraph">
    <w:name w:val="Table Paragraph"/>
    <w:basedOn w:val="a"/>
    <w:uiPriority w:val="1"/>
    <w:qFormat/>
    <w:rsid w:val="000351AD"/>
    <w:pPr>
      <w:widowControl w:val="0"/>
      <w:autoSpaceDE w:val="0"/>
      <w:autoSpaceDN w:val="0"/>
    </w:pPr>
    <w:rPr>
      <w:rFonts w:ascii="Arial" w:eastAsia="Arial" w:hAnsi="Arial" w:cs="Arial"/>
      <w:lang w:val="en-US"/>
    </w:rPr>
  </w:style>
  <w:style w:type="paragraph" w:customStyle="1" w:styleId="xl65">
    <w:name w:val="xl65"/>
    <w:basedOn w:val="a"/>
    <w:rsid w:val="000351AD"/>
    <w:pP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66">
    <w:name w:val="xl66"/>
    <w:basedOn w:val="a"/>
    <w:rsid w:val="000351AD"/>
    <w:pPr>
      <w:shd w:val="clear" w:color="000000" w:fill="A0A0A0"/>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67">
    <w:name w:val="xl67"/>
    <w:basedOn w:val="a"/>
    <w:rsid w:val="000351AD"/>
    <w:pPr>
      <w:shd w:val="clear" w:color="000000" w:fill="A0A0A0"/>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68">
    <w:name w:val="xl68"/>
    <w:basedOn w:val="a"/>
    <w:rsid w:val="000351AD"/>
    <w:pPr>
      <w:shd w:val="clear" w:color="000000" w:fill="A0A0A0"/>
      <w:spacing w:before="100" w:beforeAutospacing="1" w:after="100" w:afterAutospacing="1" w:line="240" w:lineRule="auto"/>
      <w:jc w:val="right"/>
    </w:pPr>
    <w:rPr>
      <w:rFonts w:ascii="Arial Narrow" w:eastAsia="Times New Roman" w:hAnsi="Arial Narrow" w:cs="Times New Roman"/>
      <w:sz w:val="14"/>
      <w:szCs w:val="14"/>
      <w:lang w:eastAsia="el-GR"/>
    </w:rPr>
  </w:style>
  <w:style w:type="paragraph" w:customStyle="1" w:styleId="xl69">
    <w:name w:val="xl69"/>
    <w:basedOn w:val="a"/>
    <w:rsid w:val="000351AD"/>
    <w:pPr>
      <w:shd w:val="clear" w:color="000000" w:fill="BEBEBE"/>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Style3">
    <w:name w:val="Style3"/>
    <w:basedOn w:val="a"/>
    <w:uiPriority w:val="99"/>
    <w:rsid w:val="000351AD"/>
    <w:pPr>
      <w:spacing w:before="120" w:after="120" w:line="240" w:lineRule="auto"/>
      <w:jc w:val="center"/>
    </w:pPr>
    <w:rPr>
      <w:rFonts w:ascii="Arial" w:eastAsia="Times New Roman" w:hAnsi="Arial" w:cs="Arial"/>
      <w:b/>
      <w:bCs/>
      <w:kern w:val="32"/>
      <w:sz w:val="28"/>
      <w:szCs w:val="32"/>
      <w:u w:val="single"/>
      <w:lang w:eastAsia="el-GR"/>
    </w:rPr>
  </w:style>
  <w:style w:type="table" w:customStyle="1" w:styleId="-11">
    <w:name w:val="Ανοιχτόχρωμη σκίαση - Έμφαση 11"/>
    <w:basedOn w:val="a1"/>
    <w:uiPriority w:val="60"/>
    <w:rsid w:val="000351AD"/>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v1msolistparagraph">
    <w:name w:val="v1msolistparagraph"/>
    <w:basedOn w:val="a"/>
    <w:rsid w:val="000351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1msonormal">
    <w:name w:val="v1msonormal"/>
    <w:basedOn w:val="a"/>
    <w:rsid w:val="000351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lead">
    <w:name w:val="g-lead"/>
    <w:rsid w:val="000351AD"/>
  </w:style>
  <w:style w:type="table" w:customStyle="1" w:styleId="112">
    <w:name w:val="Μεσαία σκίαση 11"/>
    <w:basedOn w:val="a1"/>
    <w:next w:val="19"/>
    <w:uiPriority w:val="63"/>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20">
    <w:name w:val="Μεσαία λίστα 12"/>
    <w:basedOn w:val="a1"/>
    <w:next w:val="17"/>
    <w:uiPriority w:val="65"/>
    <w:rsid w:val="000351A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NewRoman,Bold" w:eastAsia="Times New Roman" w:hAnsi="TimesNewRoman,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TableCell">
    <w:name w:val="Table Cell"/>
    <w:basedOn w:val="a"/>
    <w:uiPriority w:val="9"/>
    <w:qFormat/>
    <w:rsid w:val="000351AD"/>
    <w:pPr>
      <w:widowControl w:val="0"/>
      <w:spacing w:before="10" w:after="20" w:line="200" w:lineRule="exact"/>
      <w:jc w:val="right"/>
    </w:pPr>
    <w:rPr>
      <w:rFonts w:ascii="Arial Narrow" w:eastAsia="Calibri" w:hAnsi="Arial Narrow" w:cs="Times New Roman"/>
      <w:color w:val="000000"/>
      <w:sz w:val="17"/>
      <w:lang w:val="en-GB"/>
    </w:rPr>
  </w:style>
  <w:style w:type="paragraph" w:customStyle="1" w:styleId="TableRow">
    <w:name w:val="Table Row"/>
    <w:qFormat/>
    <w:rsid w:val="000351AD"/>
    <w:pPr>
      <w:spacing w:before="10" w:after="20" w:line="200" w:lineRule="exact"/>
    </w:pPr>
    <w:rPr>
      <w:rFonts w:ascii="Arial Narrow" w:eastAsia="Calibri" w:hAnsi="Arial Narrow" w:cs="Times New Roman"/>
      <w:color w:val="000000"/>
      <w:kern w:val="0"/>
      <w:sz w:val="17"/>
      <w:lang w:val="en-GB"/>
      <w14:ligatures w14:val="none"/>
    </w:rPr>
  </w:style>
  <w:style w:type="paragraph" w:customStyle="1" w:styleId="TableColumn">
    <w:name w:val="Table Column"/>
    <w:qFormat/>
    <w:rsid w:val="000351AD"/>
    <w:pPr>
      <w:spacing w:before="20" w:after="0" w:line="220" w:lineRule="exact"/>
      <w:jc w:val="center"/>
    </w:pPr>
    <w:rPr>
      <w:rFonts w:ascii="Arial Narrow" w:eastAsia="Calibri" w:hAnsi="Arial Narrow" w:cs="Times New Roman"/>
      <w:color w:val="000000"/>
      <w:kern w:val="0"/>
      <w:sz w:val="18"/>
      <w:lang w:val="en-GB"/>
      <w14:ligatures w14:val="none"/>
    </w:rPr>
  </w:style>
  <w:style w:type="table" w:customStyle="1" w:styleId="OECD">
    <w:name w:val="OECD"/>
    <w:basedOn w:val="1a"/>
    <w:uiPriority w:val="99"/>
    <w:rsid w:val="000351AD"/>
    <w:pPr>
      <w:spacing w:before="10" w:after="20" w:line="200" w:lineRule="exact"/>
      <w:jc w:val="both"/>
    </w:pPr>
    <w:rPr>
      <w:rFonts w:ascii="Arial Narrow" w:eastAsia="Calibri" w:hAnsi="Arial Narrow"/>
      <w:sz w:val="17"/>
      <w:lang w:val="el-GR" w:eastAsia="en-GB"/>
    </w:rPr>
    <w:tblPr>
      <w:tblBorders>
        <w:top w:val="single" w:sz="12" w:space="0" w:color="4F81BD"/>
        <w:bottom w:val="single" w:sz="12" w:space="0" w:color="4F81BD"/>
        <w:insideH w:val="single" w:sz="6" w:space="0" w:color="BFBFBF"/>
        <w:insideV w:val="single" w:sz="6" w:space="0" w:color="BFBFBF"/>
      </w:tblBorders>
    </w:tblPr>
    <w:tcPr>
      <w:shd w:val="clear" w:color="auto" w:fill="auto"/>
    </w:tcPr>
    <w:tblStylePr w:type="firstRow">
      <w:tblPr/>
      <w:tcPr>
        <w:tcBorders>
          <w:bottom w:val="single" w:sz="6" w:space="0" w:color="4F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a">
    <w:name w:val="Table Simple 1"/>
    <w:basedOn w:val="a1"/>
    <w:semiHidden/>
    <w:unhideWhenUsed/>
    <w:rsid w:val="000351A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2">
    <w:name w:val="Medium Shading 2 Accent 2"/>
    <w:basedOn w:val="a1"/>
    <w:uiPriority w:val="64"/>
    <w:semiHidden/>
    <w:unhideWhenUsed/>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19">
    <w:name w:val="Medium Shading 1"/>
    <w:basedOn w:val="a1"/>
    <w:uiPriority w:val="63"/>
    <w:semiHidden/>
    <w:unhideWhenUsed/>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ECD1">
    <w:name w:val="OECD1"/>
    <w:basedOn w:val="1a"/>
    <w:uiPriority w:val="99"/>
    <w:rsid w:val="000351AD"/>
    <w:pPr>
      <w:spacing w:before="10" w:after="20" w:line="200" w:lineRule="exact"/>
      <w:jc w:val="both"/>
    </w:pPr>
    <w:rPr>
      <w:rFonts w:ascii="Arial Narrow" w:eastAsia="Calibri" w:hAnsi="Arial Narrow"/>
      <w:sz w:val="17"/>
      <w:lang w:eastAsia="en-GB"/>
    </w:rPr>
    <w:tblPr>
      <w:tblBorders>
        <w:top w:val="single" w:sz="12" w:space="0" w:color="4F81BD"/>
        <w:bottom w:val="single" w:sz="12" w:space="0" w:color="4F81BD"/>
        <w:insideH w:val="single" w:sz="6" w:space="0" w:color="BFBFBF"/>
        <w:insideV w:val="single" w:sz="6" w:space="0" w:color="BFBFBF"/>
      </w:tblBorders>
    </w:tblPr>
    <w:tcPr>
      <w:shd w:val="clear" w:color="auto" w:fill="auto"/>
    </w:tcPr>
    <w:tblStylePr w:type="firstRow">
      <w:tblPr/>
      <w:tcPr>
        <w:tcBorders>
          <w:bottom w:val="single" w:sz="6" w:space="0" w:color="4F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paragraph" w:customStyle="1" w:styleId="Para">
    <w:name w:val="Para"/>
    <w:link w:val="ParaChar"/>
    <w:uiPriority w:val="4"/>
    <w:qFormat/>
    <w:rsid w:val="000351AD"/>
    <w:pPr>
      <w:spacing w:before="120" w:after="120" w:line="260" w:lineRule="atLeast"/>
      <w:jc w:val="both"/>
    </w:pPr>
    <w:rPr>
      <w:rFonts w:ascii="Calibri" w:eastAsia="Times New Roman" w:hAnsi="Calibri" w:cs="Times New Roman"/>
      <w:color w:val="000000"/>
      <w:kern w:val="0"/>
      <w:sz w:val="20"/>
      <w:lang w:val="en-GB"/>
      <w14:ligatures w14:val="none"/>
    </w:rPr>
  </w:style>
  <w:style w:type="character" w:customStyle="1" w:styleId="ParaChar">
    <w:name w:val="Para Char"/>
    <w:link w:val="Para"/>
    <w:uiPriority w:val="4"/>
    <w:locked/>
    <w:rsid w:val="000351AD"/>
    <w:rPr>
      <w:rFonts w:ascii="Calibri" w:eastAsia="Times New Roman" w:hAnsi="Calibri" w:cs="Times New Roman"/>
      <w:color w:val="000000"/>
      <w:kern w:val="0"/>
      <w:sz w:val="20"/>
      <w:lang w:val="en-GB"/>
      <w14:ligatures w14:val="none"/>
    </w:rPr>
  </w:style>
  <w:style w:type="paragraph" w:customStyle="1" w:styleId="xl63">
    <w:name w:val="xl63"/>
    <w:basedOn w:val="a"/>
    <w:rsid w:val="000351AD"/>
    <w:pPr>
      <w:spacing w:before="100" w:beforeAutospacing="1" w:after="100" w:afterAutospacing="1" w:line="240" w:lineRule="auto"/>
    </w:pPr>
    <w:rPr>
      <w:rFonts w:ascii="Arial" w:eastAsia="Times New Roman" w:hAnsi="Arial" w:cs="Arial"/>
      <w:sz w:val="16"/>
      <w:szCs w:val="16"/>
      <w:lang w:eastAsia="el-GR"/>
    </w:rPr>
  </w:style>
  <w:style w:type="paragraph" w:customStyle="1" w:styleId="xl64">
    <w:name w:val="xl64"/>
    <w:basedOn w:val="a"/>
    <w:rsid w:val="000351AD"/>
    <w:pPr>
      <w:pBdr>
        <w:top w:val="dotted" w:sz="4" w:space="0" w:color="000000"/>
        <w:left w:val="single" w:sz="8" w:space="0" w:color="000000"/>
        <w:bottom w:val="dotted" w:sz="4" w:space="0" w:color="000000"/>
        <w:right w:val="dotted" w:sz="4" w:space="0" w:color="000000"/>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32">
    <w:name w:val="xl132"/>
    <w:basedOn w:val="a"/>
    <w:rsid w:val="000351A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133">
    <w:name w:val="xl133"/>
    <w:basedOn w:val="a"/>
    <w:rsid w:val="000351AD"/>
    <w:pPr>
      <w:pBdr>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134">
    <w:name w:val="xl134"/>
    <w:basedOn w:val="a"/>
    <w:rsid w:val="000351AD"/>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el-GR"/>
    </w:rPr>
  </w:style>
  <w:style w:type="paragraph" w:customStyle="1" w:styleId="xl135">
    <w:name w:val="xl135"/>
    <w:basedOn w:val="a"/>
    <w:rsid w:val="000351AD"/>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8"/>
      <w:szCs w:val="28"/>
      <w:lang w:eastAsia="el-GR"/>
    </w:rPr>
  </w:style>
  <w:style w:type="paragraph" w:customStyle="1" w:styleId="xl136">
    <w:name w:val="xl136"/>
    <w:basedOn w:val="a"/>
    <w:rsid w:val="000351AD"/>
    <w:pPr>
      <w:pBdr>
        <w:top w:val="single" w:sz="8" w:space="0" w:color="auto"/>
        <w:left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l-GR"/>
    </w:rPr>
  </w:style>
  <w:style w:type="paragraph" w:customStyle="1" w:styleId="xl137">
    <w:name w:val="xl137"/>
    <w:basedOn w:val="a"/>
    <w:rsid w:val="000351AD"/>
    <w:pPr>
      <w:pBdr>
        <w:left w:val="single" w:sz="8" w:space="0" w:color="auto"/>
        <w:bottom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l-GR"/>
    </w:rPr>
  </w:style>
  <w:style w:type="paragraph" w:customStyle="1" w:styleId="xl138">
    <w:name w:val="xl138"/>
    <w:basedOn w:val="a"/>
    <w:rsid w:val="000351A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39">
    <w:name w:val="xl139"/>
    <w:basedOn w:val="a"/>
    <w:rsid w:val="000351AD"/>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40">
    <w:name w:val="xl140"/>
    <w:basedOn w:val="a"/>
    <w:rsid w:val="000351AD"/>
    <w:pPr>
      <w:pBdr>
        <w:left w:val="single" w:sz="8" w:space="0" w:color="auto"/>
        <w:bottom w:val="single" w:sz="8" w:space="0" w:color="auto"/>
      </w:pBdr>
      <w:shd w:val="clear" w:color="000000" w:fill="538DD5"/>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41">
    <w:name w:val="xl141"/>
    <w:basedOn w:val="a"/>
    <w:rsid w:val="000351AD"/>
    <w:pPr>
      <w:pBdr>
        <w:bottom w:val="single" w:sz="8" w:space="0" w:color="auto"/>
      </w:pBdr>
      <w:shd w:val="clear" w:color="000000" w:fill="538DD5"/>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42">
    <w:name w:val="xl142"/>
    <w:basedOn w:val="a"/>
    <w:rsid w:val="000351AD"/>
    <w:pPr>
      <w:pBdr>
        <w:bottom w:val="single" w:sz="8" w:space="0" w:color="auto"/>
      </w:pBdr>
      <w:shd w:val="clear" w:color="000000" w:fill="1F497D"/>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l-GR"/>
    </w:rPr>
  </w:style>
  <w:style w:type="paragraph" w:customStyle="1" w:styleId="xl143">
    <w:name w:val="xl143"/>
    <w:basedOn w:val="a"/>
    <w:rsid w:val="000351AD"/>
    <w:pPr>
      <w:pBdr>
        <w:top w:val="single" w:sz="12"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44">
    <w:name w:val="xl144"/>
    <w:basedOn w:val="a"/>
    <w:rsid w:val="000351AD"/>
    <w:pPr>
      <w:pBdr>
        <w:top w:val="single" w:sz="12"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45">
    <w:name w:val="xl145"/>
    <w:basedOn w:val="a"/>
    <w:rsid w:val="000351AD"/>
    <w:pPr>
      <w:pBdr>
        <w:top w:val="single" w:sz="8" w:space="0" w:color="auto"/>
        <w:left w:val="single" w:sz="8" w:space="0" w:color="auto"/>
        <w:right w:val="single" w:sz="8" w:space="0" w:color="auto"/>
      </w:pBdr>
      <w:shd w:val="clear" w:color="000000" w:fill="1F497D"/>
      <w:spacing w:before="100" w:beforeAutospacing="1" w:after="100" w:afterAutospacing="1" w:line="240" w:lineRule="auto"/>
      <w:textAlignment w:val="center"/>
    </w:pPr>
    <w:rPr>
      <w:rFonts w:ascii="Calibri" w:eastAsia="Times New Roman" w:hAnsi="Calibri" w:cs="Calibri"/>
      <w:b/>
      <w:bCs/>
      <w:color w:val="FFFFFF"/>
      <w:sz w:val="24"/>
      <w:szCs w:val="24"/>
      <w:lang w:eastAsia="el-GR"/>
    </w:rPr>
  </w:style>
  <w:style w:type="numbering" w:customStyle="1" w:styleId="41">
    <w:name w:val="Χωρίς λίστα4"/>
    <w:next w:val="a2"/>
    <w:uiPriority w:val="99"/>
    <w:semiHidden/>
    <w:unhideWhenUsed/>
    <w:rsid w:val="000351AD"/>
  </w:style>
  <w:style w:type="paragraph" w:customStyle="1" w:styleId="xl146">
    <w:name w:val="xl146"/>
    <w:basedOn w:val="a"/>
    <w:rsid w:val="000351AD"/>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147">
    <w:name w:val="xl147"/>
    <w:basedOn w:val="a"/>
    <w:rsid w:val="000351AD"/>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148">
    <w:name w:val="xl148"/>
    <w:basedOn w:val="a"/>
    <w:rsid w:val="000351AD"/>
    <w:pPr>
      <w:pBdr>
        <w:top w:val="single" w:sz="8" w:space="0" w:color="auto"/>
      </w:pBdr>
      <w:spacing w:before="100" w:beforeAutospacing="1" w:after="100" w:afterAutospacing="1" w:line="240" w:lineRule="auto"/>
    </w:pPr>
    <w:rPr>
      <w:rFonts w:ascii="Calibri" w:eastAsia="Times New Roman" w:hAnsi="Calibri" w:cs="Calibri"/>
      <w:lang w:eastAsia="el-GR"/>
    </w:rPr>
  </w:style>
  <w:style w:type="paragraph" w:customStyle="1" w:styleId="xl149">
    <w:name w:val="xl149"/>
    <w:basedOn w:val="a"/>
    <w:rsid w:val="000351A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150">
    <w:name w:val="xl150"/>
    <w:basedOn w:val="a"/>
    <w:rsid w:val="000351AD"/>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151">
    <w:name w:val="xl151"/>
    <w:basedOn w:val="a"/>
    <w:rsid w:val="000351AD"/>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152">
    <w:name w:val="xl152"/>
    <w:basedOn w:val="a"/>
    <w:rsid w:val="000351A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Calibri" w:eastAsia="Times New Roman" w:hAnsi="Calibri" w:cs="Calibri"/>
      <w:lang w:eastAsia="el-GR"/>
    </w:rPr>
  </w:style>
  <w:style w:type="paragraph" w:customStyle="1" w:styleId="xl153">
    <w:name w:val="xl153"/>
    <w:basedOn w:val="a"/>
    <w:rsid w:val="000351AD"/>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lang w:eastAsia="el-GR"/>
    </w:rPr>
  </w:style>
  <w:style w:type="paragraph" w:customStyle="1" w:styleId="xl154">
    <w:name w:val="xl154"/>
    <w:basedOn w:val="a"/>
    <w:rsid w:val="000351AD"/>
    <w:pPr>
      <w:pBdr>
        <w:top w:val="single" w:sz="4" w:space="0" w:color="auto"/>
        <w:left w:val="single" w:sz="4" w:space="0" w:color="auto"/>
        <w:right w:val="single" w:sz="8" w:space="0" w:color="auto"/>
      </w:pBdr>
      <w:shd w:val="clear" w:color="000000" w:fill="99CCFF"/>
      <w:spacing w:before="100" w:beforeAutospacing="1" w:after="100" w:afterAutospacing="1" w:line="240" w:lineRule="auto"/>
      <w:jc w:val="right"/>
    </w:pPr>
    <w:rPr>
      <w:rFonts w:ascii="Calibri" w:eastAsia="Times New Roman" w:hAnsi="Calibri" w:cs="Calibri"/>
      <w:lang w:eastAsia="el-GR"/>
    </w:rPr>
  </w:style>
  <w:style w:type="paragraph" w:customStyle="1" w:styleId="xl155">
    <w:name w:val="xl155"/>
    <w:basedOn w:val="a"/>
    <w:rsid w:val="000351AD"/>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156">
    <w:name w:val="xl156"/>
    <w:basedOn w:val="a"/>
    <w:rsid w:val="000351AD"/>
    <w:pPr>
      <w:pBdr>
        <w:left w:val="single" w:sz="8"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157">
    <w:name w:val="xl157"/>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58">
    <w:name w:val="xl158"/>
    <w:basedOn w:val="a"/>
    <w:rsid w:val="000351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59">
    <w:name w:val="xl159"/>
    <w:basedOn w:val="a"/>
    <w:rsid w:val="000351A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60">
    <w:name w:val="xl160"/>
    <w:basedOn w:val="a"/>
    <w:rsid w:val="000351AD"/>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161">
    <w:name w:val="xl161"/>
    <w:basedOn w:val="a"/>
    <w:rsid w:val="000351AD"/>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62">
    <w:name w:val="xl162"/>
    <w:basedOn w:val="a"/>
    <w:rsid w:val="000351AD"/>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163">
    <w:name w:val="xl163"/>
    <w:basedOn w:val="a"/>
    <w:rsid w:val="000351AD"/>
    <w:pP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64">
    <w:name w:val="xl164"/>
    <w:basedOn w:val="a"/>
    <w:rsid w:val="000351AD"/>
    <w:pPr>
      <w:pBdr>
        <w:top w:val="single" w:sz="4"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165">
    <w:name w:val="xl165"/>
    <w:basedOn w:val="a"/>
    <w:rsid w:val="000351AD"/>
    <w:pPr>
      <w:shd w:val="clear" w:color="000000" w:fill="CC99FF"/>
      <w:spacing w:before="100" w:beforeAutospacing="1" w:after="100" w:afterAutospacing="1" w:line="240" w:lineRule="auto"/>
      <w:jc w:val="center"/>
    </w:pPr>
    <w:rPr>
      <w:rFonts w:ascii="Calibri" w:eastAsia="Times New Roman" w:hAnsi="Calibri" w:cs="Calibri"/>
      <w:b/>
      <w:bCs/>
      <w:sz w:val="28"/>
      <w:szCs w:val="28"/>
      <w:lang w:eastAsia="el-GR"/>
    </w:rPr>
  </w:style>
  <w:style w:type="paragraph" w:customStyle="1" w:styleId="xl166">
    <w:name w:val="xl166"/>
    <w:basedOn w:val="a"/>
    <w:rsid w:val="000351AD"/>
    <w:pPr>
      <w:shd w:val="clear" w:color="000000" w:fill="CC99FF"/>
      <w:spacing w:before="100" w:beforeAutospacing="1" w:after="100" w:afterAutospacing="1" w:line="240" w:lineRule="auto"/>
      <w:jc w:val="center"/>
    </w:pPr>
    <w:rPr>
      <w:rFonts w:ascii="Calibri" w:eastAsia="Times New Roman" w:hAnsi="Calibri" w:cs="Calibri"/>
      <w:b/>
      <w:bCs/>
      <w:sz w:val="28"/>
      <w:szCs w:val="28"/>
      <w:u w:val="single"/>
      <w:lang w:eastAsia="el-GR"/>
    </w:rPr>
  </w:style>
  <w:style w:type="paragraph" w:customStyle="1" w:styleId="xl167">
    <w:name w:val="xl167"/>
    <w:basedOn w:val="a"/>
    <w:rsid w:val="000351AD"/>
    <w:pPr>
      <w:pBdr>
        <w:top w:val="single" w:sz="4" w:space="0" w:color="auto"/>
        <w:bottom w:val="single" w:sz="4" w:space="0" w:color="auto"/>
      </w:pBdr>
      <w:shd w:val="clear" w:color="000000" w:fill="00B050"/>
      <w:spacing w:before="100" w:beforeAutospacing="1" w:after="100" w:afterAutospacing="1" w:line="240" w:lineRule="auto"/>
    </w:pPr>
    <w:rPr>
      <w:rFonts w:ascii="Calibri" w:eastAsia="Times New Roman" w:hAnsi="Calibri" w:cs="Calibri"/>
      <w:lang w:eastAsia="el-GR"/>
    </w:rPr>
  </w:style>
  <w:style w:type="paragraph" w:customStyle="1" w:styleId="xl168">
    <w:name w:val="xl168"/>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169">
    <w:name w:val="xl169"/>
    <w:basedOn w:val="a"/>
    <w:rsid w:val="000351A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u w:val="single"/>
      <w:lang w:eastAsia="el-GR"/>
    </w:rPr>
  </w:style>
  <w:style w:type="paragraph" w:customStyle="1" w:styleId="xl170">
    <w:name w:val="xl170"/>
    <w:basedOn w:val="a"/>
    <w:rsid w:val="000351AD"/>
    <w:pPr>
      <w:pBdr>
        <w:bottom w:val="single" w:sz="8"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171">
    <w:name w:val="xl171"/>
    <w:basedOn w:val="a"/>
    <w:rsid w:val="000351A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2">
    <w:name w:val="xl172"/>
    <w:basedOn w:val="a"/>
    <w:rsid w:val="000351A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3">
    <w:name w:val="xl173"/>
    <w:basedOn w:val="a"/>
    <w:rsid w:val="000351AD"/>
    <w:pP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174">
    <w:name w:val="xl174"/>
    <w:basedOn w:val="a"/>
    <w:rsid w:val="000351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175">
    <w:name w:val="xl175"/>
    <w:basedOn w:val="a"/>
    <w:rsid w:val="000351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6">
    <w:name w:val="xl176"/>
    <w:basedOn w:val="a"/>
    <w:rsid w:val="000351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7">
    <w:name w:val="xl177"/>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8">
    <w:name w:val="xl178"/>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179">
    <w:name w:val="xl179"/>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0">
    <w:name w:val="xl180"/>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181">
    <w:name w:val="xl181"/>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2">
    <w:name w:val="xl182"/>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83">
    <w:name w:val="xl183"/>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84">
    <w:name w:val="xl184"/>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5">
    <w:name w:val="xl185"/>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6">
    <w:name w:val="xl186"/>
    <w:basedOn w:val="a"/>
    <w:rsid w:val="000351A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7">
    <w:name w:val="xl187"/>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8">
    <w:name w:val="xl188"/>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lang w:eastAsia="el-GR"/>
    </w:rPr>
  </w:style>
  <w:style w:type="paragraph" w:customStyle="1" w:styleId="xl189">
    <w:name w:val="xl189"/>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190">
    <w:name w:val="xl190"/>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18"/>
      <w:szCs w:val="18"/>
      <w:lang w:eastAsia="el-GR"/>
    </w:rPr>
  </w:style>
  <w:style w:type="paragraph" w:customStyle="1" w:styleId="xl191">
    <w:name w:val="xl191"/>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18"/>
      <w:szCs w:val="18"/>
      <w:lang w:eastAsia="el-GR"/>
    </w:rPr>
  </w:style>
  <w:style w:type="paragraph" w:customStyle="1" w:styleId="xl192">
    <w:name w:val="xl192"/>
    <w:basedOn w:val="a"/>
    <w:rsid w:val="000351AD"/>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Calibri" w:eastAsia="Times New Roman" w:hAnsi="Calibri" w:cs="Calibri"/>
      <w:sz w:val="18"/>
      <w:szCs w:val="18"/>
      <w:lang w:eastAsia="el-GR"/>
    </w:rPr>
  </w:style>
  <w:style w:type="paragraph" w:customStyle="1" w:styleId="xl193">
    <w:name w:val="xl193"/>
    <w:basedOn w:val="a"/>
    <w:rsid w:val="000351AD"/>
    <w:pPr>
      <w:pBdr>
        <w:bottom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u w:val="single"/>
      <w:lang w:eastAsia="el-GR"/>
    </w:rPr>
  </w:style>
  <w:style w:type="paragraph" w:customStyle="1" w:styleId="xl194">
    <w:name w:val="xl194"/>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95">
    <w:name w:val="xl195"/>
    <w:basedOn w:val="a"/>
    <w:rsid w:val="000351A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96">
    <w:name w:val="xl196"/>
    <w:basedOn w:val="a"/>
    <w:rsid w:val="000351AD"/>
    <w:pPr>
      <w:pBdr>
        <w:top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97">
    <w:name w:val="xl197"/>
    <w:basedOn w:val="a"/>
    <w:rsid w:val="000351AD"/>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98">
    <w:name w:val="xl198"/>
    <w:basedOn w:val="a"/>
    <w:rsid w:val="000351AD"/>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99">
    <w:name w:val="xl199"/>
    <w:basedOn w:val="a"/>
    <w:rsid w:val="000351AD"/>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00">
    <w:name w:val="xl200"/>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01">
    <w:name w:val="xl201"/>
    <w:basedOn w:val="a"/>
    <w:rsid w:val="000351AD"/>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202">
    <w:name w:val="xl202"/>
    <w:basedOn w:val="a"/>
    <w:rsid w:val="000351AD"/>
    <w:pP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03">
    <w:name w:val="xl203"/>
    <w:basedOn w:val="a"/>
    <w:rsid w:val="000351AD"/>
    <w:pPr>
      <w:pBdr>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04">
    <w:name w:val="xl204"/>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05">
    <w:name w:val="xl205"/>
    <w:basedOn w:val="a"/>
    <w:rsid w:val="000351A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06">
    <w:name w:val="xl206"/>
    <w:basedOn w:val="a"/>
    <w:rsid w:val="00035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207">
    <w:name w:val="xl207"/>
    <w:basedOn w:val="a"/>
    <w:rsid w:val="000351A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08">
    <w:name w:val="xl208"/>
    <w:basedOn w:val="a"/>
    <w:rsid w:val="000351AD"/>
    <w:pPr>
      <w:pBdr>
        <w:top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Calibri" w:eastAsia="Times New Roman" w:hAnsi="Calibri" w:cs="Calibri"/>
      <w:lang w:eastAsia="el-GR"/>
    </w:rPr>
  </w:style>
  <w:style w:type="paragraph" w:customStyle="1" w:styleId="xl209">
    <w:name w:val="xl209"/>
    <w:basedOn w:val="a"/>
    <w:rsid w:val="000351A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210">
    <w:name w:val="xl210"/>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11">
    <w:name w:val="xl211"/>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212">
    <w:name w:val="xl212"/>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213">
    <w:name w:val="xl213"/>
    <w:basedOn w:val="a"/>
    <w:rsid w:val="000351AD"/>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4">
    <w:name w:val="xl214"/>
    <w:basedOn w:val="a"/>
    <w:rsid w:val="000351AD"/>
    <w:pPr>
      <w:pBdr>
        <w:left w:val="single" w:sz="8"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5">
    <w:name w:val="xl215"/>
    <w:basedOn w:val="a"/>
    <w:rsid w:val="000351AD"/>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6">
    <w:name w:val="xl216"/>
    <w:basedOn w:val="a"/>
    <w:rsid w:val="000351AD"/>
    <w:pPr>
      <w:pBdr>
        <w:top w:val="single" w:sz="4"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7">
    <w:name w:val="xl217"/>
    <w:basedOn w:val="a"/>
    <w:rsid w:val="000351AD"/>
    <w:pPr>
      <w:pBdr>
        <w:top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8">
    <w:name w:val="xl218"/>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9">
    <w:name w:val="xl219"/>
    <w:basedOn w:val="a"/>
    <w:rsid w:val="000351AD"/>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0">
    <w:name w:val="xl220"/>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1">
    <w:name w:val="xl221"/>
    <w:basedOn w:val="a"/>
    <w:rsid w:val="000351AD"/>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2">
    <w:name w:val="xl222"/>
    <w:basedOn w:val="a"/>
    <w:rsid w:val="000351AD"/>
    <w:pPr>
      <w:pBdr>
        <w:top w:val="single" w:sz="4"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3">
    <w:name w:val="xl223"/>
    <w:basedOn w:val="a"/>
    <w:rsid w:val="000351AD"/>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24">
    <w:name w:val="xl224"/>
    <w:basedOn w:val="a"/>
    <w:rsid w:val="000351AD"/>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25">
    <w:name w:val="xl225"/>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26">
    <w:name w:val="xl226"/>
    <w:basedOn w:val="a"/>
    <w:rsid w:val="000351AD"/>
    <w:pPr>
      <w:pBdr>
        <w:top w:val="single" w:sz="4" w:space="0" w:color="auto"/>
        <w:left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7">
    <w:name w:val="xl227"/>
    <w:basedOn w:val="a"/>
    <w:rsid w:val="000351AD"/>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Calibri" w:eastAsia="Times New Roman" w:hAnsi="Calibri" w:cs="Calibri"/>
      <w:b/>
      <w:bCs/>
      <w:lang w:eastAsia="el-GR"/>
    </w:rPr>
  </w:style>
  <w:style w:type="paragraph" w:customStyle="1" w:styleId="xl228">
    <w:name w:val="xl228"/>
    <w:basedOn w:val="a"/>
    <w:rsid w:val="000351AD"/>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b/>
      <w:bCs/>
      <w:lang w:eastAsia="el-GR"/>
    </w:rPr>
  </w:style>
  <w:style w:type="paragraph" w:customStyle="1" w:styleId="xl229">
    <w:name w:val="xl229"/>
    <w:basedOn w:val="a"/>
    <w:rsid w:val="00035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28"/>
      <w:szCs w:val="28"/>
      <w:u w:val="single"/>
      <w:lang w:eastAsia="el-GR"/>
    </w:rPr>
  </w:style>
  <w:style w:type="paragraph" w:customStyle="1" w:styleId="xl230">
    <w:name w:val="xl230"/>
    <w:basedOn w:val="a"/>
    <w:rsid w:val="000351AD"/>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Calibri" w:eastAsia="Times New Roman" w:hAnsi="Calibri" w:cs="Calibri"/>
      <w:b/>
      <w:bCs/>
      <w:lang w:eastAsia="el-GR"/>
    </w:rPr>
  </w:style>
  <w:style w:type="paragraph" w:customStyle="1" w:styleId="xl231">
    <w:name w:val="xl231"/>
    <w:basedOn w:val="a"/>
    <w:rsid w:val="000351AD"/>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Calibri" w:eastAsia="Times New Roman" w:hAnsi="Calibri" w:cs="Calibri"/>
      <w:b/>
      <w:bCs/>
      <w:lang w:eastAsia="el-GR"/>
    </w:rPr>
  </w:style>
  <w:style w:type="paragraph" w:customStyle="1" w:styleId="xl232">
    <w:name w:val="xl232"/>
    <w:basedOn w:val="a"/>
    <w:rsid w:val="000351AD"/>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b/>
      <w:bCs/>
      <w:lang w:eastAsia="el-GR"/>
    </w:rPr>
  </w:style>
  <w:style w:type="paragraph" w:customStyle="1" w:styleId="xl233">
    <w:name w:val="xl233"/>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l-GR"/>
    </w:rPr>
  </w:style>
  <w:style w:type="paragraph" w:customStyle="1" w:styleId="xl234">
    <w:name w:val="xl234"/>
    <w:basedOn w:val="a"/>
    <w:rsid w:val="000351AD"/>
    <w:pPr>
      <w:spacing w:before="100" w:beforeAutospacing="1" w:after="100" w:afterAutospacing="1" w:line="240" w:lineRule="auto"/>
    </w:pPr>
    <w:rPr>
      <w:rFonts w:ascii="Calibri" w:eastAsia="Times New Roman" w:hAnsi="Calibri" w:cs="Calibri"/>
      <w:color w:val="FF0000"/>
      <w:lang w:eastAsia="el-GR"/>
    </w:rPr>
  </w:style>
  <w:style w:type="paragraph" w:customStyle="1" w:styleId="xl235">
    <w:name w:val="xl235"/>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36">
    <w:name w:val="xl236"/>
    <w:basedOn w:val="a"/>
    <w:rsid w:val="000351AD"/>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37">
    <w:name w:val="xl237"/>
    <w:basedOn w:val="a"/>
    <w:rsid w:val="000351A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color w:val="000000"/>
      <w:lang w:eastAsia="el-GR"/>
    </w:rPr>
  </w:style>
  <w:style w:type="paragraph" w:customStyle="1" w:styleId="xl238">
    <w:name w:val="xl238"/>
    <w:basedOn w:val="a"/>
    <w:rsid w:val="000351AD"/>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line="240" w:lineRule="auto"/>
    </w:pPr>
    <w:rPr>
      <w:rFonts w:ascii="Calibri" w:eastAsia="Times New Roman" w:hAnsi="Calibri" w:cs="Calibri"/>
      <w:color w:val="000000"/>
      <w:lang w:eastAsia="el-GR"/>
    </w:rPr>
  </w:style>
  <w:style w:type="paragraph" w:customStyle="1" w:styleId="xl239">
    <w:name w:val="xl239"/>
    <w:basedOn w:val="a"/>
    <w:rsid w:val="000351AD"/>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40">
    <w:name w:val="xl240"/>
    <w:basedOn w:val="a"/>
    <w:rsid w:val="000351AD"/>
    <w:pPr>
      <w:pBdr>
        <w:top w:val="single" w:sz="4" w:space="0" w:color="auto"/>
        <w:bottom w:val="single" w:sz="4" w:space="0" w:color="auto"/>
      </w:pBdr>
      <w:spacing w:before="100" w:beforeAutospacing="1" w:after="100" w:afterAutospacing="1" w:line="240" w:lineRule="auto"/>
    </w:pPr>
    <w:rPr>
      <w:rFonts w:ascii="Calibri" w:eastAsia="Times New Roman" w:hAnsi="Calibri" w:cs="Calibri"/>
      <w:color w:val="000000"/>
      <w:lang w:eastAsia="el-GR"/>
    </w:rPr>
  </w:style>
  <w:style w:type="paragraph" w:customStyle="1" w:styleId="xl241">
    <w:name w:val="xl241"/>
    <w:basedOn w:val="a"/>
    <w:rsid w:val="000351AD"/>
    <w:pPr>
      <w:pBdr>
        <w:top w:val="single" w:sz="4"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42">
    <w:name w:val="xl242"/>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43">
    <w:name w:val="xl243"/>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44">
    <w:name w:val="xl24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245">
    <w:name w:val="xl245"/>
    <w:basedOn w:val="a"/>
    <w:rsid w:val="000351AD"/>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246">
    <w:name w:val="xl246"/>
    <w:basedOn w:val="a"/>
    <w:rsid w:val="000351AD"/>
    <w:pPr>
      <w:shd w:val="clear" w:color="000000" w:fill="FFFFFF"/>
      <w:spacing w:before="100" w:beforeAutospacing="1" w:after="100" w:afterAutospacing="1" w:line="240" w:lineRule="auto"/>
    </w:pPr>
    <w:rPr>
      <w:rFonts w:ascii="Calibri" w:eastAsia="Times New Roman" w:hAnsi="Calibri" w:cs="Calibri"/>
      <w:color w:val="FF0000"/>
      <w:lang w:eastAsia="el-GR"/>
    </w:rPr>
  </w:style>
  <w:style w:type="paragraph" w:customStyle="1" w:styleId="xl247">
    <w:name w:val="xl247"/>
    <w:basedOn w:val="a"/>
    <w:rsid w:val="000351AD"/>
    <w:pPr>
      <w:pBdr>
        <w:top w:val="single" w:sz="4" w:space="0" w:color="auto"/>
        <w:lef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FF0000"/>
      <w:lang w:eastAsia="el-GR"/>
    </w:rPr>
  </w:style>
  <w:style w:type="paragraph" w:customStyle="1" w:styleId="xl248">
    <w:name w:val="xl248"/>
    <w:basedOn w:val="a"/>
    <w:rsid w:val="000351AD"/>
    <w:pPr>
      <w:pBdr>
        <w:top w:val="single" w:sz="4" w:space="0" w:color="auto"/>
        <w:lef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49">
    <w:name w:val="xl249"/>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FF0000"/>
      <w:lang w:eastAsia="el-GR"/>
    </w:rPr>
  </w:style>
  <w:style w:type="paragraph" w:customStyle="1" w:styleId="xl250">
    <w:name w:val="xl250"/>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51">
    <w:name w:val="xl251"/>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52">
    <w:name w:val="xl252"/>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53">
    <w:name w:val="xl253"/>
    <w:basedOn w:val="a"/>
    <w:rsid w:val="000351AD"/>
    <w:pPr>
      <w:pBdr>
        <w:bottom w:val="single" w:sz="4" w:space="0" w:color="auto"/>
      </w:pBdr>
      <w:shd w:val="clear" w:color="000000" w:fill="C0C0C0"/>
      <w:spacing w:before="100" w:beforeAutospacing="1" w:after="100" w:afterAutospacing="1" w:line="240" w:lineRule="auto"/>
    </w:pPr>
    <w:rPr>
      <w:rFonts w:ascii="Calibri" w:eastAsia="Times New Roman" w:hAnsi="Calibri" w:cs="Calibri"/>
      <w:lang w:eastAsia="el-GR"/>
    </w:rPr>
  </w:style>
  <w:style w:type="paragraph" w:customStyle="1" w:styleId="xl254">
    <w:name w:val="xl254"/>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55">
    <w:name w:val="xl255"/>
    <w:basedOn w:val="a"/>
    <w:rsid w:val="00035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256">
    <w:name w:val="xl256"/>
    <w:basedOn w:val="a"/>
    <w:rsid w:val="000351A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57">
    <w:name w:val="xl257"/>
    <w:basedOn w:val="a"/>
    <w:rsid w:val="000351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lang w:eastAsia="el-GR"/>
    </w:rPr>
  </w:style>
  <w:style w:type="paragraph" w:customStyle="1" w:styleId="xl258">
    <w:name w:val="xl258"/>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59">
    <w:name w:val="xl259"/>
    <w:basedOn w:val="a"/>
    <w:rsid w:val="000351AD"/>
    <w:pPr>
      <w:pBdr>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60">
    <w:name w:val="xl260"/>
    <w:basedOn w:val="a"/>
    <w:rsid w:val="000351AD"/>
    <w:pPr>
      <w:pBdr>
        <w:left w:val="single" w:sz="8"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61">
    <w:name w:val="xl261"/>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FF0000"/>
      <w:lang w:eastAsia="el-GR"/>
    </w:rPr>
  </w:style>
  <w:style w:type="paragraph" w:customStyle="1" w:styleId="xl262">
    <w:name w:val="xl262"/>
    <w:basedOn w:val="a"/>
    <w:rsid w:val="000351AD"/>
    <w:pPr>
      <w:pBdr>
        <w:right w:val="single" w:sz="8"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63">
    <w:name w:val="xl263"/>
    <w:basedOn w:val="a"/>
    <w:rsid w:val="000351AD"/>
    <w:pPr>
      <w:pBdr>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64">
    <w:name w:val="xl264"/>
    <w:basedOn w:val="a"/>
    <w:rsid w:val="000351AD"/>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65">
    <w:name w:val="xl265"/>
    <w:basedOn w:val="a"/>
    <w:rsid w:val="000351AD"/>
    <w:pPr>
      <w:pBdr>
        <w:top w:val="single" w:sz="4" w:space="0" w:color="auto"/>
        <w:left w:val="single" w:sz="8"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266">
    <w:name w:val="xl266"/>
    <w:basedOn w:val="a"/>
    <w:rsid w:val="000351AD"/>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267">
    <w:name w:val="xl267"/>
    <w:basedOn w:val="a"/>
    <w:rsid w:val="000351AD"/>
    <w:pPr>
      <w:pBdr>
        <w:top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68">
    <w:name w:val="xl268"/>
    <w:basedOn w:val="a"/>
    <w:rsid w:val="000351AD"/>
    <w:pPr>
      <w:pBdr>
        <w:lef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69">
    <w:name w:val="xl269"/>
    <w:basedOn w:val="a"/>
    <w:rsid w:val="000351AD"/>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70">
    <w:name w:val="xl270"/>
    <w:basedOn w:val="a"/>
    <w:rsid w:val="000351AD"/>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71">
    <w:name w:val="xl271"/>
    <w:basedOn w:val="a"/>
    <w:rsid w:val="000351A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FF0000"/>
      <w:lang w:eastAsia="el-GR"/>
    </w:rPr>
  </w:style>
  <w:style w:type="paragraph" w:customStyle="1" w:styleId="xl272">
    <w:name w:val="xl272"/>
    <w:basedOn w:val="a"/>
    <w:rsid w:val="000351A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FF0000"/>
      <w:lang w:eastAsia="el-GR"/>
    </w:rPr>
  </w:style>
  <w:style w:type="paragraph" w:customStyle="1" w:styleId="xl273">
    <w:name w:val="xl273"/>
    <w:basedOn w:val="a"/>
    <w:rsid w:val="000351AD"/>
    <w:pPr>
      <w:pBdr>
        <w:top w:val="single" w:sz="4" w:space="0" w:color="auto"/>
        <w:bottom w:val="single" w:sz="4" w:space="0" w:color="auto"/>
        <w:right w:val="single" w:sz="8"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74">
    <w:name w:val="xl274"/>
    <w:basedOn w:val="a"/>
    <w:rsid w:val="000351AD"/>
    <w:pPr>
      <w:pBdr>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character" w:styleId="aff0">
    <w:name w:val="Placeholder Text"/>
    <w:uiPriority w:val="99"/>
    <w:semiHidden/>
    <w:rsid w:val="000351AD"/>
    <w:rPr>
      <w:color w:val="808080"/>
    </w:rPr>
  </w:style>
  <w:style w:type="character" w:styleId="aff1">
    <w:name w:val="Unresolved Mention"/>
    <w:basedOn w:val="a0"/>
    <w:uiPriority w:val="99"/>
    <w:semiHidden/>
    <w:unhideWhenUsed/>
    <w:rsid w:val="00E71EED"/>
    <w:rPr>
      <w:color w:val="605E5C"/>
      <w:shd w:val="clear" w:color="auto" w:fill="E1DFDD"/>
    </w:rPr>
  </w:style>
  <w:style w:type="character" w:customStyle="1" w:styleId="25">
    <w:name w:val="Ανεπίλυτη αναφορά2"/>
    <w:basedOn w:val="a0"/>
    <w:uiPriority w:val="99"/>
    <w:semiHidden/>
    <w:unhideWhenUsed/>
    <w:rsid w:val="00E71EED"/>
    <w:rPr>
      <w:color w:val="605E5C"/>
      <w:shd w:val="clear" w:color="auto" w:fill="E1DFDD"/>
    </w:rPr>
  </w:style>
  <w:style w:type="character" w:customStyle="1" w:styleId="section-info">
    <w:name w:val="section-info"/>
    <w:basedOn w:val="a0"/>
    <w:rsid w:val="00E71EED"/>
  </w:style>
  <w:style w:type="paragraph" w:customStyle="1" w:styleId="paragraph">
    <w:name w:val="paragraph"/>
    <w:basedOn w:val="a"/>
    <w:rsid w:val="00E71E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b">
    <w:name w:val="Βασικό 1"/>
    <w:basedOn w:val="a"/>
    <w:link w:val="1Char0"/>
    <w:qFormat/>
    <w:rsid w:val="00E71EED"/>
    <w:pPr>
      <w:tabs>
        <w:tab w:val="left" w:pos="6960"/>
      </w:tabs>
      <w:spacing w:before="120" w:after="120"/>
      <w:jc w:val="both"/>
    </w:pPr>
    <w:rPr>
      <w:rFonts w:ascii="Verdana" w:eastAsia="Times New Roman" w:hAnsi="Verdana" w:cs="Arial"/>
      <w:sz w:val="20"/>
      <w:szCs w:val="20"/>
      <w:lang w:eastAsia="el-GR"/>
    </w:rPr>
  </w:style>
  <w:style w:type="character" w:customStyle="1" w:styleId="1Char0">
    <w:name w:val="Βασικό 1 Char"/>
    <w:link w:val="1b"/>
    <w:rsid w:val="00E71EED"/>
    <w:rPr>
      <w:rFonts w:ascii="Verdana" w:eastAsia="Times New Roman" w:hAnsi="Verdana" w:cs="Arial"/>
      <w:kern w:val="0"/>
      <w:sz w:val="20"/>
      <w:szCs w:val="20"/>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9BE6-127A-40C8-BD08-D45A28E2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14154</Words>
  <Characters>76434</Characters>
  <Application>Microsoft Office Word</Application>
  <DocSecurity>0</DocSecurity>
  <Lines>636</Lines>
  <Paragraphs>180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Παυλίνα Καρασιώτου</dc:creator>
  <cp:keywords/>
  <dc:description/>
  <cp:lastModifiedBy>Akis Haralabidis</cp:lastModifiedBy>
  <cp:revision>2</cp:revision>
  <cp:lastPrinted>2023-11-20T16:10:00Z</cp:lastPrinted>
  <dcterms:created xsi:type="dcterms:W3CDTF">2024-11-20T10:23:00Z</dcterms:created>
  <dcterms:modified xsi:type="dcterms:W3CDTF">2024-11-20T10:23:00Z</dcterms:modified>
</cp:coreProperties>
</file>