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A352B" w14:textId="783D7628" w:rsidR="00CC6E2A" w:rsidRPr="001E0D9A" w:rsidRDefault="00CC6E2A" w:rsidP="00700BFC">
      <w:pPr>
        <w:spacing w:after="0" w:line="360" w:lineRule="auto"/>
        <w:jc w:val="center"/>
        <w:rPr>
          <w:rFonts w:cstheme="minorHAnsi"/>
          <w:b/>
          <w:sz w:val="24"/>
          <w:szCs w:val="24"/>
        </w:rPr>
      </w:pPr>
      <w:r w:rsidRPr="001E0D9A">
        <w:rPr>
          <w:rFonts w:cstheme="minorHAnsi"/>
          <w:b/>
          <w:sz w:val="24"/>
          <w:szCs w:val="24"/>
        </w:rPr>
        <w:t>ΕΞΑΜΗΝ</w:t>
      </w:r>
      <w:r w:rsidR="00EE3DCA">
        <w:rPr>
          <w:rFonts w:cstheme="minorHAnsi"/>
          <w:b/>
          <w:sz w:val="24"/>
          <w:szCs w:val="24"/>
        </w:rPr>
        <w:t>Ι</w:t>
      </w:r>
      <w:r w:rsidRPr="001E0D9A">
        <w:rPr>
          <w:rFonts w:cstheme="minorHAnsi"/>
          <w:b/>
          <w:sz w:val="24"/>
          <w:szCs w:val="24"/>
        </w:rPr>
        <w:t>ΑΙΟ ΔΕΛΤΙΟ ΟΙΚΟΝΟΜΙΚΟΥ ΚΛΙΜΑΤΟΣ ΜΙΚΡΩΝ &amp; ΠΟΛΥ ΜΙΚΡΩΝ ΕΠΙΧΕΙΡΗΣΕΩΝ</w:t>
      </w:r>
    </w:p>
    <w:p w14:paraId="7B76692A" w14:textId="79A300D1" w:rsidR="00CC6E2A" w:rsidRPr="00ED77A6" w:rsidRDefault="007305C7" w:rsidP="00700BFC">
      <w:pPr>
        <w:spacing w:after="0" w:line="360" w:lineRule="auto"/>
        <w:jc w:val="right"/>
        <w:rPr>
          <w:rFonts w:cstheme="minorHAnsi"/>
          <w:sz w:val="24"/>
          <w:szCs w:val="24"/>
        </w:rPr>
      </w:pPr>
      <w:r>
        <w:rPr>
          <w:rFonts w:cstheme="minorHAnsi"/>
          <w:sz w:val="24"/>
          <w:szCs w:val="24"/>
        </w:rPr>
        <w:t xml:space="preserve">Σεπτέμβριος </w:t>
      </w:r>
      <w:r w:rsidR="00A727B3">
        <w:rPr>
          <w:rFonts w:cstheme="minorHAnsi"/>
          <w:sz w:val="24"/>
          <w:szCs w:val="24"/>
        </w:rPr>
        <w:t>2024</w:t>
      </w:r>
    </w:p>
    <w:p w14:paraId="08AD7975" w14:textId="07391ED9" w:rsidR="00CC6E2A" w:rsidRPr="00054E96" w:rsidRDefault="004965B0" w:rsidP="00700BFC">
      <w:pPr>
        <w:spacing w:after="0" w:line="360" w:lineRule="auto"/>
        <w:jc w:val="center"/>
        <w:rPr>
          <w:rFonts w:cstheme="minorHAnsi"/>
          <w:b/>
          <w:sz w:val="24"/>
          <w:szCs w:val="24"/>
        </w:rPr>
      </w:pPr>
      <w:r w:rsidRPr="00054E96">
        <w:rPr>
          <w:rFonts w:cstheme="minorHAnsi"/>
          <w:b/>
          <w:sz w:val="24"/>
          <w:szCs w:val="24"/>
        </w:rPr>
        <w:t>(</w:t>
      </w:r>
      <w:proofErr w:type="spellStart"/>
      <w:r w:rsidRPr="00054E96">
        <w:rPr>
          <w:rFonts w:cstheme="minorHAnsi"/>
          <w:b/>
          <w:sz w:val="24"/>
          <w:szCs w:val="24"/>
        </w:rPr>
        <w:t>Νο</w:t>
      </w:r>
      <w:proofErr w:type="spellEnd"/>
      <w:r w:rsidRPr="00054E96">
        <w:rPr>
          <w:rFonts w:cstheme="minorHAnsi"/>
          <w:b/>
          <w:sz w:val="24"/>
          <w:szCs w:val="24"/>
        </w:rPr>
        <w:t xml:space="preserve"> </w:t>
      </w:r>
      <w:r w:rsidR="00054E96" w:rsidRPr="00054E96">
        <w:rPr>
          <w:rFonts w:cstheme="minorHAnsi"/>
          <w:b/>
          <w:sz w:val="24"/>
          <w:szCs w:val="24"/>
        </w:rPr>
        <w:t>2</w:t>
      </w:r>
      <w:r w:rsidR="000932B4">
        <w:rPr>
          <w:rFonts w:cstheme="minorHAnsi"/>
          <w:b/>
          <w:sz w:val="24"/>
          <w:szCs w:val="24"/>
        </w:rPr>
        <w:t>9</w:t>
      </w:r>
      <w:r w:rsidRPr="00054E96">
        <w:rPr>
          <w:rFonts w:cstheme="minorHAnsi"/>
          <w:b/>
          <w:sz w:val="24"/>
          <w:szCs w:val="24"/>
        </w:rPr>
        <w:t xml:space="preserve">, </w:t>
      </w:r>
      <w:r w:rsidR="000932B4">
        <w:rPr>
          <w:rFonts w:cstheme="minorHAnsi"/>
          <w:b/>
          <w:sz w:val="24"/>
          <w:szCs w:val="24"/>
        </w:rPr>
        <w:t>2</w:t>
      </w:r>
      <w:r w:rsidR="00CC6E2A" w:rsidRPr="00BD5608">
        <w:rPr>
          <w:rFonts w:cstheme="minorHAnsi"/>
          <w:b/>
          <w:sz w:val="24"/>
          <w:szCs w:val="24"/>
        </w:rPr>
        <w:t>ο</w:t>
      </w:r>
      <w:r w:rsidR="00054E96" w:rsidRPr="00054E96">
        <w:rPr>
          <w:rFonts w:cstheme="minorHAnsi"/>
          <w:b/>
          <w:sz w:val="24"/>
          <w:szCs w:val="24"/>
        </w:rPr>
        <w:t>/202</w:t>
      </w:r>
      <w:r w:rsidR="00054E96" w:rsidRPr="00615EE1">
        <w:rPr>
          <w:rFonts w:cstheme="minorHAnsi"/>
          <w:b/>
          <w:sz w:val="24"/>
          <w:szCs w:val="24"/>
        </w:rPr>
        <w:t>4</w:t>
      </w:r>
      <w:r w:rsidR="00CC6E2A" w:rsidRPr="00054E96">
        <w:rPr>
          <w:rFonts w:cstheme="minorHAnsi"/>
          <w:b/>
          <w:sz w:val="24"/>
          <w:szCs w:val="24"/>
        </w:rPr>
        <w:t>)</w:t>
      </w:r>
    </w:p>
    <w:p w14:paraId="02192119" w14:textId="6FF9D20A" w:rsidR="00CC6E2A" w:rsidRPr="009C64EA" w:rsidRDefault="00CC6E2A" w:rsidP="00700BFC">
      <w:pPr>
        <w:spacing w:after="0" w:line="360" w:lineRule="auto"/>
        <w:jc w:val="both"/>
        <w:rPr>
          <w:rFonts w:cstheme="minorHAnsi"/>
          <w:b/>
          <w:sz w:val="24"/>
          <w:szCs w:val="24"/>
        </w:rPr>
      </w:pPr>
      <w:r w:rsidRPr="009C64EA">
        <w:rPr>
          <w:rFonts w:cstheme="minorHAnsi"/>
          <w:b/>
          <w:sz w:val="24"/>
          <w:szCs w:val="24"/>
        </w:rPr>
        <w:t xml:space="preserve">Θέμα: Έρευνα ΙΜΕ ΓΣΕΒΕΕ – Εξαμηνιαία αποτύπωση οικονομικού κλίματος στις μικρές και πολύ </w:t>
      </w:r>
      <w:r w:rsidR="00755F53" w:rsidRPr="009C64EA">
        <w:rPr>
          <w:rFonts w:cstheme="minorHAnsi"/>
          <w:b/>
          <w:sz w:val="24"/>
          <w:szCs w:val="24"/>
        </w:rPr>
        <w:t>μικρές επιχειρήσεις</w:t>
      </w:r>
      <w:r w:rsidRPr="009C64EA">
        <w:rPr>
          <w:rStyle w:val="a9"/>
          <w:rFonts w:cstheme="minorHAnsi"/>
          <w:b/>
          <w:sz w:val="24"/>
          <w:szCs w:val="24"/>
        </w:rPr>
        <w:footnoteReference w:id="1"/>
      </w:r>
      <w:r w:rsidRPr="009C64EA">
        <w:rPr>
          <w:rFonts w:cstheme="minorHAnsi"/>
          <w:b/>
          <w:sz w:val="24"/>
          <w:szCs w:val="24"/>
        </w:rPr>
        <w:t xml:space="preserve"> </w:t>
      </w:r>
    </w:p>
    <w:p w14:paraId="19177A46" w14:textId="77777777" w:rsidR="00CC6E2A" w:rsidRPr="000932B4" w:rsidRDefault="00CC6E2A" w:rsidP="00700BFC">
      <w:pPr>
        <w:spacing w:after="0" w:line="360" w:lineRule="auto"/>
        <w:jc w:val="both"/>
        <w:rPr>
          <w:rFonts w:cstheme="minorHAnsi"/>
          <w:sz w:val="24"/>
          <w:szCs w:val="24"/>
          <w:highlight w:val="yellow"/>
        </w:rPr>
      </w:pPr>
    </w:p>
    <w:p w14:paraId="34BAA021" w14:textId="1C1975F1" w:rsidR="00CC6E2A" w:rsidRPr="009C64EA" w:rsidRDefault="00CC6E2A" w:rsidP="00700BFC">
      <w:pPr>
        <w:spacing w:after="0" w:line="360" w:lineRule="auto"/>
        <w:jc w:val="both"/>
        <w:rPr>
          <w:rFonts w:cstheme="minorHAnsi"/>
          <w:sz w:val="24"/>
          <w:szCs w:val="24"/>
        </w:rPr>
      </w:pPr>
      <w:r w:rsidRPr="009C64EA">
        <w:rPr>
          <w:rFonts w:cstheme="minorHAnsi"/>
          <w:sz w:val="24"/>
          <w:szCs w:val="24"/>
        </w:rPr>
        <w:t xml:space="preserve">Η παρούσα έρευνα είναι η </w:t>
      </w:r>
      <w:r w:rsidR="007B7F0A" w:rsidRPr="009C64EA">
        <w:rPr>
          <w:rFonts w:cstheme="minorHAnsi"/>
          <w:sz w:val="24"/>
          <w:szCs w:val="24"/>
        </w:rPr>
        <w:t>δεύτερη</w:t>
      </w:r>
      <w:r w:rsidR="004965B0" w:rsidRPr="009C64EA">
        <w:rPr>
          <w:rFonts w:cstheme="minorHAnsi"/>
          <w:sz w:val="24"/>
          <w:szCs w:val="24"/>
        </w:rPr>
        <w:t xml:space="preserve"> για το </w:t>
      </w:r>
      <w:r w:rsidR="00A727B3" w:rsidRPr="009C64EA">
        <w:rPr>
          <w:rFonts w:cstheme="minorHAnsi"/>
          <w:sz w:val="24"/>
          <w:szCs w:val="24"/>
        </w:rPr>
        <w:t>2024</w:t>
      </w:r>
      <w:r w:rsidRPr="009C64EA">
        <w:rPr>
          <w:rFonts w:cstheme="minorHAnsi"/>
          <w:sz w:val="24"/>
          <w:szCs w:val="24"/>
        </w:rPr>
        <w:t xml:space="preserve"> που διεξάγει το Ινστιτούτο Μικρών Επιχειρήσεων της ΓΣΕΒΕΕ σε εξαμηνιαία βάση από τον Μάιο του 2009. Οι τηλεφωνικές συνεντεύξεις διενεργήθηκαν από την εταιρ</w:t>
      </w:r>
      <w:r w:rsidR="00EE3DCA" w:rsidRPr="009C64EA">
        <w:rPr>
          <w:rFonts w:cstheme="minorHAnsi"/>
          <w:sz w:val="24"/>
          <w:szCs w:val="24"/>
        </w:rPr>
        <w:t>ε</w:t>
      </w:r>
      <w:r w:rsidRPr="009C64EA">
        <w:rPr>
          <w:rFonts w:cstheme="minorHAnsi"/>
          <w:sz w:val="24"/>
          <w:szCs w:val="24"/>
        </w:rPr>
        <w:t>ία MARC AE σε πανελλαδικό δείγμα 80</w:t>
      </w:r>
      <w:r w:rsidR="007B7F0A" w:rsidRPr="009C64EA">
        <w:rPr>
          <w:rFonts w:cstheme="minorHAnsi"/>
          <w:sz w:val="24"/>
          <w:szCs w:val="24"/>
        </w:rPr>
        <w:t>3</w:t>
      </w:r>
      <w:r w:rsidRPr="009C64EA">
        <w:rPr>
          <w:rFonts w:cstheme="minorHAnsi"/>
          <w:sz w:val="24"/>
          <w:szCs w:val="24"/>
        </w:rPr>
        <w:t xml:space="preserve"> μικρών και πολύ μικρών επιχειρήσεων (0-49 άτομα προσωπικό), </w:t>
      </w:r>
      <w:r w:rsidR="007B7F0A" w:rsidRPr="009C64EA">
        <w:rPr>
          <w:rFonts w:cstheme="minorHAnsi"/>
          <w:sz w:val="24"/>
          <w:szCs w:val="24"/>
        </w:rPr>
        <w:t>μεταξύ 2-14 Ιουλίου</w:t>
      </w:r>
      <w:r w:rsidR="00A727B3" w:rsidRPr="009C64EA">
        <w:rPr>
          <w:rFonts w:cstheme="minorHAnsi"/>
          <w:sz w:val="24"/>
          <w:szCs w:val="24"/>
        </w:rPr>
        <w:t xml:space="preserve"> </w:t>
      </w:r>
      <w:r w:rsidR="00EE3DCA" w:rsidRPr="009C64EA">
        <w:rPr>
          <w:rFonts w:cstheme="minorHAnsi"/>
          <w:sz w:val="24"/>
          <w:szCs w:val="24"/>
        </w:rPr>
        <w:t xml:space="preserve">του </w:t>
      </w:r>
      <w:r w:rsidR="00A727B3" w:rsidRPr="009C64EA">
        <w:rPr>
          <w:rFonts w:cstheme="minorHAnsi"/>
          <w:sz w:val="24"/>
          <w:szCs w:val="24"/>
        </w:rPr>
        <w:t>2024</w:t>
      </w:r>
      <w:r w:rsidRPr="009C64EA">
        <w:rPr>
          <w:rFonts w:cstheme="minorHAnsi"/>
          <w:sz w:val="24"/>
          <w:szCs w:val="24"/>
        </w:rPr>
        <w:t xml:space="preserve">. </w:t>
      </w:r>
    </w:p>
    <w:p w14:paraId="78F6ACD3" w14:textId="405D5A2A" w:rsidR="00C35FA4" w:rsidRDefault="00C73F6C" w:rsidP="00C35FA4">
      <w:pPr>
        <w:spacing w:after="0" w:line="360" w:lineRule="auto"/>
        <w:jc w:val="both"/>
        <w:rPr>
          <w:sz w:val="24"/>
          <w:szCs w:val="24"/>
        </w:rPr>
      </w:pPr>
      <w:r w:rsidRPr="00C35FA4">
        <w:rPr>
          <w:rFonts w:cstheme="minorHAnsi"/>
          <w:sz w:val="24"/>
          <w:szCs w:val="24"/>
        </w:rPr>
        <w:t xml:space="preserve">Τα βασικά συμπεράσματα της έρευνας είναι τα ακόλουθα. </w:t>
      </w:r>
      <w:r w:rsidR="00C35FA4" w:rsidRPr="006C5E6F">
        <w:rPr>
          <w:sz w:val="24"/>
          <w:szCs w:val="24"/>
        </w:rPr>
        <w:t xml:space="preserve">Ο Δείκτης Οικονομικού Κλίματος των μικρών και πολύ μικρών επιχειρήσεων </w:t>
      </w:r>
      <w:r w:rsidR="00C35FA4">
        <w:rPr>
          <w:sz w:val="24"/>
          <w:szCs w:val="24"/>
        </w:rPr>
        <w:t xml:space="preserve">το </w:t>
      </w:r>
      <w:proofErr w:type="spellStart"/>
      <w:r w:rsidR="00C35FA4">
        <w:rPr>
          <w:sz w:val="24"/>
          <w:szCs w:val="24"/>
        </w:rPr>
        <w:t>Α</w:t>
      </w:r>
      <w:r w:rsidR="005B6A79">
        <w:rPr>
          <w:sz w:val="24"/>
          <w:szCs w:val="24"/>
        </w:rPr>
        <w:t>΄</w:t>
      </w:r>
      <w:r w:rsidR="00C35FA4">
        <w:rPr>
          <w:sz w:val="24"/>
          <w:szCs w:val="24"/>
        </w:rPr>
        <w:t>εξάμηνο</w:t>
      </w:r>
      <w:proofErr w:type="spellEnd"/>
      <w:r w:rsidR="00C35FA4">
        <w:rPr>
          <w:sz w:val="24"/>
          <w:szCs w:val="24"/>
        </w:rPr>
        <w:t xml:space="preserve"> του 2024 παρουσιάζει σημαντική υποχώρηση κατά 14,3 μονάδες σε σχέση με το προηγούμενο εξάμηνο. Συγκεκριμένα, διαμορφώνεται στις 49,6 μονάδες από τις 63,9 που ήταν το </w:t>
      </w:r>
      <w:proofErr w:type="spellStart"/>
      <w:r w:rsidR="00C35FA4">
        <w:rPr>
          <w:sz w:val="24"/>
          <w:szCs w:val="24"/>
        </w:rPr>
        <w:t>Β</w:t>
      </w:r>
      <w:r w:rsidR="005B6A79">
        <w:rPr>
          <w:sz w:val="24"/>
          <w:szCs w:val="24"/>
        </w:rPr>
        <w:t>΄</w:t>
      </w:r>
      <w:r w:rsidR="00C35FA4">
        <w:rPr>
          <w:sz w:val="24"/>
          <w:szCs w:val="24"/>
        </w:rPr>
        <w:t>εξάμηνο</w:t>
      </w:r>
      <w:proofErr w:type="spellEnd"/>
      <w:r w:rsidR="00C35FA4">
        <w:rPr>
          <w:sz w:val="24"/>
          <w:szCs w:val="24"/>
        </w:rPr>
        <w:t xml:space="preserve"> του 2023.</w:t>
      </w:r>
      <w:r w:rsidR="00C35FA4">
        <w:rPr>
          <w:rFonts w:cstheme="minorHAnsi"/>
          <w:sz w:val="24"/>
          <w:szCs w:val="24"/>
        </w:rPr>
        <w:t xml:space="preserve"> </w:t>
      </w:r>
      <w:r w:rsidR="00C35FA4">
        <w:rPr>
          <w:sz w:val="24"/>
          <w:szCs w:val="24"/>
        </w:rPr>
        <w:t xml:space="preserve">Η σοβαρή αυτή υποχώρηση υποδηλώνει την αβεβαιότητα που κυριαρχεί κυρίως λόγω της επίμονης πληθωριστικής κρίσης. Η επιδείνωση της κατάστασης των επιχειρήσεων είχε αρχίσει να γίνεται ορατή ήδη από την προηγούμενη έρευνα κλίματος τον Φεβρουάριο του 2024, όταν ο </w:t>
      </w:r>
      <w:r w:rsidR="00C35FA4" w:rsidRPr="006C5E6F">
        <w:rPr>
          <w:sz w:val="24"/>
          <w:szCs w:val="24"/>
        </w:rPr>
        <w:t>Δείκτης Οικονομικού Κλίματος</w:t>
      </w:r>
      <w:r w:rsidR="00C35FA4">
        <w:rPr>
          <w:sz w:val="24"/>
          <w:szCs w:val="24"/>
        </w:rPr>
        <w:t xml:space="preserve"> υποχώρησε από τις 66,7 μονάδες, που βρισκόταν το πρώτο εξάμηνο του 2023, στις 63,9 μονάδες. Περαιτέρω και δεδομένου ότι από τα υπόλοιπα στοιχεία της έρευνας φαίνεται πως τις μεγαλύτερες δυσκολίες αντιμετωπίζουν οι πολύ μικρές επιχειρήσεις και οι ελεύθεροι επαγγελματίες, εκτιμάται ότι σημαντικό παράγοντα για την υποχώρησ</w:t>
      </w:r>
      <w:r w:rsidR="005B6A79">
        <w:rPr>
          <w:sz w:val="24"/>
          <w:szCs w:val="24"/>
        </w:rPr>
        <w:t>ή</w:t>
      </w:r>
      <w:r w:rsidR="00C35FA4">
        <w:rPr>
          <w:sz w:val="24"/>
          <w:szCs w:val="24"/>
        </w:rPr>
        <w:t xml:space="preserve"> του έχει διαδραματίσει ο νέος τεκμαρτός τρόπος φορολόγησης των ατομικών επιχειρήσεων. </w:t>
      </w:r>
    </w:p>
    <w:p w14:paraId="604AE8D3" w14:textId="63B397F3" w:rsidR="00423C53" w:rsidRPr="00423C53" w:rsidRDefault="00423C53" w:rsidP="00423C53">
      <w:pPr>
        <w:spacing w:after="0" w:line="360" w:lineRule="auto"/>
        <w:jc w:val="both"/>
        <w:rPr>
          <w:sz w:val="24"/>
          <w:szCs w:val="24"/>
        </w:rPr>
      </w:pPr>
      <w:r>
        <w:rPr>
          <w:sz w:val="24"/>
          <w:szCs w:val="24"/>
        </w:rPr>
        <w:t>Η επίμονη ακρίβεια που αντανακλάται στο αυξημένο κόστος λειτουργίας</w:t>
      </w:r>
      <w:r w:rsidR="005B6A79">
        <w:rPr>
          <w:sz w:val="24"/>
          <w:szCs w:val="24"/>
        </w:rPr>
        <w:t>,</w:t>
      </w:r>
      <w:r>
        <w:rPr>
          <w:sz w:val="24"/>
          <w:szCs w:val="24"/>
        </w:rPr>
        <w:t xml:space="preserve"> σε συνδυασμό με τις αυξημένες επιβαρύνσεις</w:t>
      </w:r>
      <w:r w:rsidR="005B6A79">
        <w:rPr>
          <w:sz w:val="24"/>
          <w:szCs w:val="24"/>
        </w:rPr>
        <w:t>,</w:t>
      </w:r>
      <w:r>
        <w:rPr>
          <w:sz w:val="24"/>
          <w:szCs w:val="24"/>
        </w:rPr>
        <w:t xml:space="preserve"> φαίνεται ότι έχει επιδεινώσει περαιτέρω το διαχρονικό πρόβλημα ρευστότητας που αντιμετωπίζουν οι μικρές και πολύ μικρές επιχειρήσεις. Αυτό τουλάχιστον προκύπτει από την αύξηση του αριθμού των επιχειρήσεων που είτε δεν έχουν καθόλου ρευστά διαθέσιμα (29,6%) ή αυτά επαρκούν το πολύ για ένα</w:t>
      </w:r>
      <w:r w:rsidR="005B6A79">
        <w:rPr>
          <w:sz w:val="24"/>
          <w:szCs w:val="24"/>
        </w:rPr>
        <w:t>ν</w:t>
      </w:r>
      <w:r>
        <w:rPr>
          <w:sz w:val="24"/>
          <w:szCs w:val="24"/>
        </w:rPr>
        <w:t xml:space="preserve"> μήνα </w:t>
      </w:r>
      <w:r w:rsidRPr="00423C53">
        <w:rPr>
          <w:sz w:val="24"/>
          <w:szCs w:val="24"/>
        </w:rPr>
        <w:t>(22,5%)</w:t>
      </w:r>
      <w:r>
        <w:rPr>
          <w:sz w:val="24"/>
          <w:szCs w:val="24"/>
        </w:rPr>
        <w:t xml:space="preserve">. </w:t>
      </w:r>
      <w:r w:rsidRPr="00423C53">
        <w:rPr>
          <w:sz w:val="24"/>
          <w:szCs w:val="24"/>
        </w:rPr>
        <w:t xml:space="preserve">Επιπλέον, οι επιπτώσεις από το πληθωριστικό κύμα των τελευταίων ετών </w:t>
      </w:r>
      <w:r w:rsidRPr="00423C53">
        <w:rPr>
          <w:sz w:val="24"/>
          <w:szCs w:val="24"/>
        </w:rPr>
        <w:lastRenderedPageBreak/>
        <w:t>είναι εμφανείς στην αύξηση του λειτουργικού κόστους των επιχειρήσεων το οποίο</w:t>
      </w:r>
      <w:r w:rsidR="005B6A79">
        <w:rPr>
          <w:sz w:val="24"/>
          <w:szCs w:val="24"/>
        </w:rPr>
        <w:t>,</w:t>
      </w:r>
      <w:r w:rsidRPr="00423C53">
        <w:rPr>
          <w:sz w:val="24"/>
          <w:szCs w:val="24"/>
        </w:rPr>
        <w:t xml:space="preserve"> με βάση τα ευρήματα της έρευνας</w:t>
      </w:r>
      <w:r w:rsidR="005B6A79">
        <w:rPr>
          <w:sz w:val="24"/>
          <w:szCs w:val="24"/>
        </w:rPr>
        <w:t>,</w:t>
      </w:r>
      <w:r w:rsidRPr="00423C53">
        <w:rPr>
          <w:sz w:val="24"/>
          <w:szCs w:val="24"/>
        </w:rPr>
        <w:t xml:space="preserve"> έχει αυξηθεί </w:t>
      </w:r>
      <w:proofErr w:type="spellStart"/>
      <w:r w:rsidRPr="00423C53">
        <w:rPr>
          <w:sz w:val="24"/>
          <w:szCs w:val="24"/>
        </w:rPr>
        <w:t>μεσοσταθμικά</w:t>
      </w:r>
      <w:proofErr w:type="spellEnd"/>
      <w:r w:rsidRPr="00423C53">
        <w:rPr>
          <w:sz w:val="24"/>
          <w:szCs w:val="24"/>
        </w:rPr>
        <w:t xml:space="preserve"> κατά </w:t>
      </w:r>
      <w:r w:rsidR="006D6F1D" w:rsidRPr="006D6F1D">
        <w:rPr>
          <w:sz w:val="24"/>
          <w:szCs w:val="24"/>
        </w:rPr>
        <w:t>37,4</w:t>
      </w:r>
      <w:r w:rsidRPr="006D6F1D">
        <w:rPr>
          <w:sz w:val="24"/>
          <w:szCs w:val="24"/>
        </w:rPr>
        <w:t>%.</w:t>
      </w:r>
      <w:r w:rsidRPr="00423C53">
        <w:rPr>
          <w:sz w:val="24"/>
          <w:szCs w:val="24"/>
        </w:rPr>
        <w:t xml:space="preserve"> </w:t>
      </w:r>
      <w:r>
        <w:rPr>
          <w:sz w:val="24"/>
          <w:szCs w:val="24"/>
        </w:rPr>
        <w:t xml:space="preserve">Ιδιαίτερα υψηλό παραμένει και </w:t>
      </w:r>
      <w:r w:rsidRPr="00423C53">
        <w:rPr>
          <w:sz w:val="24"/>
          <w:szCs w:val="24"/>
        </w:rPr>
        <w:t>το ποσοστό των επιχειρήσεων με καθυστερημένες</w:t>
      </w:r>
      <w:r>
        <w:rPr>
          <w:sz w:val="24"/>
          <w:szCs w:val="24"/>
        </w:rPr>
        <w:t>-ληξιπρόθεσμες</w:t>
      </w:r>
      <w:r w:rsidRPr="00423C53">
        <w:rPr>
          <w:sz w:val="24"/>
          <w:szCs w:val="24"/>
        </w:rPr>
        <w:t xml:space="preserve"> υποχρεώσεις (</w:t>
      </w:r>
      <w:r w:rsidR="006D6F1D">
        <w:rPr>
          <w:sz w:val="24"/>
          <w:szCs w:val="24"/>
        </w:rPr>
        <w:t>29</w:t>
      </w:r>
      <w:r w:rsidRPr="00423C53">
        <w:rPr>
          <w:sz w:val="24"/>
          <w:szCs w:val="24"/>
        </w:rPr>
        <w:t xml:space="preserve">%). Για τις επιχειρήσεις αυτές, τα προβλήματα ρευστότητας είναι εντονότερα και, αντιστρόφως, ασθενέστερη η δυνατότητά τους να ανταποκριθούν στις υποχρεώσεις τους και να ξεφύγουν από τον φαύλο κύκλο της υπερχρέωσης. </w:t>
      </w:r>
    </w:p>
    <w:p w14:paraId="4CF42BF5" w14:textId="7BD92C27" w:rsidR="0074169D" w:rsidRPr="000932B4" w:rsidRDefault="0074169D" w:rsidP="00DD56BC">
      <w:pPr>
        <w:spacing w:after="0" w:line="360" w:lineRule="auto"/>
        <w:jc w:val="both"/>
        <w:rPr>
          <w:rFonts w:cstheme="minorHAnsi"/>
          <w:sz w:val="24"/>
          <w:szCs w:val="24"/>
          <w:highlight w:val="yellow"/>
        </w:rPr>
      </w:pPr>
      <w:r w:rsidRPr="006D6F1D">
        <w:rPr>
          <w:sz w:val="24"/>
          <w:szCs w:val="24"/>
        </w:rPr>
        <w:t xml:space="preserve">Στα θετικά ευρήματα </w:t>
      </w:r>
      <w:r w:rsidR="00C35FA4" w:rsidRPr="006D6F1D">
        <w:rPr>
          <w:sz w:val="24"/>
          <w:szCs w:val="24"/>
        </w:rPr>
        <w:t>συμπεριλαμβάνεται η συνεχιζόμενη αύξηση της απασχόλησης</w:t>
      </w:r>
      <w:r w:rsidR="006D6F1D">
        <w:rPr>
          <w:sz w:val="24"/>
          <w:szCs w:val="24"/>
        </w:rPr>
        <w:t>,</w:t>
      </w:r>
      <w:r w:rsidRPr="006D6F1D">
        <w:rPr>
          <w:sz w:val="24"/>
          <w:szCs w:val="24"/>
        </w:rPr>
        <w:t xml:space="preserve"> </w:t>
      </w:r>
      <w:r w:rsidR="00C35FA4">
        <w:rPr>
          <w:sz w:val="24"/>
          <w:szCs w:val="24"/>
        </w:rPr>
        <w:t>καθώς</w:t>
      </w:r>
      <w:r w:rsidR="00C35FA4" w:rsidRPr="00C35FA4">
        <w:rPr>
          <w:sz w:val="24"/>
          <w:szCs w:val="24"/>
        </w:rPr>
        <w:t xml:space="preserve"> το ισοζύγιο των επιχειρήσεων που μετέβαλαν το προσωπικό τους κατά το </w:t>
      </w:r>
      <w:proofErr w:type="spellStart"/>
      <w:r w:rsidR="00C35FA4">
        <w:rPr>
          <w:sz w:val="24"/>
          <w:szCs w:val="24"/>
        </w:rPr>
        <w:t>Α</w:t>
      </w:r>
      <w:r w:rsidR="005B6A79">
        <w:rPr>
          <w:sz w:val="24"/>
          <w:szCs w:val="24"/>
        </w:rPr>
        <w:t>΄</w:t>
      </w:r>
      <w:r w:rsidR="00C35FA4" w:rsidRPr="00C35FA4">
        <w:rPr>
          <w:sz w:val="24"/>
          <w:szCs w:val="24"/>
        </w:rPr>
        <w:t>εξάμηνο</w:t>
      </w:r>
      <w:proofErr w:type="spellEnd"/>
      <w:r w:rsidR="00C35FA4" w:rsidRPr="00C35FA4">
        <w:rPr>
          <w:sz w:val="24"/>
          <w:szCs w:val="24"/>
        </w:rPr>
        <w:t xml:space="preserve"> του 2024 παρέμεινε θετικό</w:t>
      </w:r>
      <w:r w:rsidR="00C35FA4">
        <w:rPr>
          <w:sz w:val="24"/>
          <w:szCs w:val="24"/>
        </w:rPr>
        <w:t xml:space="preserve">. </w:t>
      </w:r>
      <w:r w:rsidR="00C35FA4" w:rsidRPr="00C35FA4">
        <w:rPr>
          <w:sz w:val="24"/>
          <w:szCs w:val="24"/>
        </w:rPr>
        <w:t>Θετικές είναι</w:t>
      </w:r>
      <w:r w:rsidR="00C35FA4">
        <w:rPr>
          <w:sz w:val="24"/>
          <w:szCs w:val="24"/>
        </w:rPr>
        <w:t xml:space="preserve">, επίσης, </w:t>
      </w:r>
      <w:r w:rsidR="00C35FA4" w:rsidRPr="00C35FA4">
        <w:rPr>
          <w:sz w:val="24"/>
          <w:szCs w:val="24"/>
        </w:rPr>
        <w:t>οι εκτιμήσεις και για το δεύτερο εξάμηνο του 2024, καθώς το 9,2% των επιχειρήσεων δήλωσε ότι θα αυξήσει το προσωπικό, έναντι 6,0 % που δήλωσε ότι θα το μειώσει</w:t>
      </w:r>
      <w:r w:rsidR="00C35FA4">
        <w:rPr>
          <w:sz w:val="24"/>
          <w:szCs w:val="24"/>
        </w:rPr>
        <w:t>.</w:t>
      </w:r>
      <w:r w:rsidR="00C35FA4" w:rsidRPr="00C35FA4">
        <w:rPr>
          <w:sz w:val="24"/>
          <w:szCs w:val="24"/>
        </w:rPr>
        <w:t xml:space="preserve"> </w:t>
      </w:r>
      <w:r w:rsidR="00C35FA4">
        <w:rPr>
          <w:sz w:val="24"/>
          <w:szCs w:val="24"/>
        </w:rPr>
        <w:t xml:space="preserve">Παρά, ωστόσο, τα θετικά ευρήματα για την απασχόληση, περισσότερες από 1 στις 3 επιχειρήσεις δήλωσαν ότι αντιμετωπίζουν δυσκολίες εξεύρεσης προσωπικού.   </w:t>
      </w:r>
    </w:p>
    <w:p w14:paraId="2A68B3DD" w14:textId="700D1811" w:rsidR="00646CC1" w:rsidRPr="000932B4" w:rsidRDefault="00911C42" w:rsidP="00A01605">
      <w:pPr>
        <w:spacing w:after="0" w:line="360" w:lineRule="auto"/>
        <w:jc w:val="both"/>
        <w:rPr>
          <w:rFonts w:eastAsia="Times New Roman" w:cstheme="minorHAnsi"/>
          <w:color w:val="222222"/>
          <w:sz w:val="24"/>
          <w:szCs w:val="24"/>
          <w:highlight w:val="yellow"/>
        </w:rPr>
      </w:pPr>
      <w:r w:rsidRPr="006D6F1D">
        <w:rPr>
          <w:rFonts w:eastAsia="Times New Roman" w:cstheme="minorHAnsi"/>
          <w:color w:val="222222"/>
          <w:sz w:val="24"/>
          <w:szCs w:val="24"/>
        </w:rPr>
        <w:t>Τέλος</w:t>
      </w:r>
      <w:r w:rsidR="00646CC1" w:rsidRPr="006D6F1D">
        <w:rPr>
          <w:rFonts w:eastAsia="Times New Roman" w:cstheme="minorHAnsi"/>
          <w:color w:val="222222"/>
          <w:sz w:val="24"/>
          <w:szCs w:val="24"/>
        </w:rPr>
        <w:t xml:space="preserve">, </w:t>
      </w:r>
      <w:r w:rsidR="006D6F1D" w:rsidRPr="006D6F1D">
        <w:rPr>
          <w:rFonts w:eastAsia="Times New Roman" w:cstheme="minorHAnsi"/>
          <w:color w:val="222222"/>
          <w:sz w:val="24"/>
          <w:szCs w:val="24"/>
        </w:rPr>
        <w:t>επιδείνωση καταγράφεται στον δείκτη βιωσιμότητας των μικρών και πολύ μικρών επιχειρήσεων,</w:t>
      </w:r>
      <w:r w:rsidR="006D6F1D">
        <w:rPr>
          <w:rFonts w:eastAsia="Times New Roman" w:cstheme="minorHAnsi"/>
          <w:color w:val="222222"/>
          <w:sz w:val="24"/>
          <w:szCs w:val="24"/>
        </w:rPr>
        <w:t xml:space="preserve"> καθώς το</w:t>
      </w:r>
      <w:r w:rsidR="006D6F1D">
        <w:rPr>
          <w:rFonts w:eastAsia="Times New Roman" w:cstheme="minorHAnsi"/>
          <w:sz w:val="24"/>
          <w:szCs w:val="24"/>
        </w:rPr>
        <w:t xml:space="preserve"> 3</w:t>
      </w:r>
      <w:r w:rsidR="006D6F1D" w:rsidRPr="00660191">
        <w:rPr>
          <w:rFonts w:eastAsia="Times New Roman" w:cstheme="minorHAnsi"/>
          <w:sz w:val="24"/>
          <w:szCs w:val="24"/>
        </w:rPr>
        <w:t xml:space="preserve">,2% </w:t>
      </w:r>
      <w:r w:rsidR="006D6F1D">
        <w:rPr>
          <w:rFonts w:eastAsia="Times New Roman" w:cstheme="minorHAnsi"/>
          <w:sz w:val="24"/>
          <w:szCs w:val="24"/>
        </w:rPr>
        <w:t>κινδυνεύει με άμεση</w:t>
      </w:r>
      <w:r w:rsidR="006D6F1D" w:rsidRPr="00660191">
        <w:rPr>
          <w:rFonts w:eastAsia="Times New Roman" w:cstheme="minorHAnsi"/>
          <w:sz w:val="24"/>
          <w:szCs w:val="24"/>
        </w:rPr>
        <w:t xml:space="preserve"> διακοπή της δραστηριότητ</w:t>
      </w:r>
      <w:r w:rsidR="006D6F1D">
        <w:rPr>
          <w:rFonts w:eastAsia="Times New Roman" w:cstheme="minorHAnsi"/>
          <w:sz w:val="24"/>
          <w:szCs w:val="24"/>
        </w:rPr>
        <w:t>ά</w:t>
      </w:r>
      <w:r w:rsidR="006D6F1D" w:rsidRPr="00660191">
        <w:rPr>
          <w:rFonts w:eastAsia="Times New Roman" w:cstheme="minorHAnsi"/>
          <w:sz w:val="24"/>
          <w:szCs w:val="24"/>
        </w:rPr>
        <w:t>ς του.</w:t>
      </w:r>
    </w:p>
    <w:p w14:paraId="1E0235CC" w14:textId="77777777" w:rsidR="00A00FA8" w:rsidRPr="000932B4" w:rsidRDefault="00A00FA8" w:rsidP="00A01605">
      <w:pPr>
        <w:spacing w:after="0" w:line="360" w:lineRule="auto"/>
        <w:jc w:val="both"/>
        <w:rPr>
          <w:rFonts w:eastAsia="Times New Roman" w:cstheme="minorHAnsi"/>
          <w:color w:val="222222"/>
          <w:sz w:val="24"/>
          <w:szCs w:val="24"/>
          <w:highlight w:val="yellow"/>
        </w:rPr>
      </w:pPr>
    </w:p>
    <w:p w14:paraId="433A98D0"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3A05311D"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7439FF4C"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7003F7AC"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6341856E"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63A8C837"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5D15DE77"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2B045811"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60B36009"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5C782DA2"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097B7D11"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6179A727"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130E62EE"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29F5FD2F"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5CFEBACE"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33515CA9"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535C817B" w14:textId="77777777" w:rsidR="00DE77D0" w:rsidRPr="000932B4" w:rsidRDefault="00DE77D0" w:rsidP="00A01605">
      <w:pPr>
        <w:spacing w:after="0" w:line="360" w:lineRule="auto"/>
        <w:jc w:val="both"/>
        <w:rPr>
          <w:rFonts w:eastAsia="Times New Roman" w:cstheme="minorHAnsi"/>
          <w:b/>
          <w:bCs/>
          <w:color w:val="222222"/>
          <w:sz w:val="24"/>
          <w:szCs w:val="24"/>
          <w:highlight w:val="yellow"/>
        </w:rPr>
      </w:pPr>
    </w:p>
    <w:p w14:paraId="4F657611" w14:textId="77777777" w:rsidR="004771F2" w:rsidRPr="00A9409B" w:rsidRDefault="004771F2" w:rsidP="00A01605">
      <w:pPr>
        <w:spacing w:after="0" w:line="360" w:lineRule="auto"/>
        <w:jc w:val="both"/>
        <w:rPr>
          <w:rFonts w:eastAsia="Times New Roman" w:cstheme="minorHAnsi"/>
          <w:b/>
          <w:bCs/>
          <w:color w:val="222222"/>
          <w:sz w:val="24"/>
          <w:szCs w:val="24"/>
        </w:rPr>
      </w:pPr>
      <w:r w:rsidRPr="00A9409B">
        <w:rPr>
          <w:rFonts w:eastAsia="Times New Roman" w:cstheme="minorHAnsi"/>
          <w:b/>
          <w:bCs/>
          <w:color w:val="222222"/>
          <w:sz w:val="24"/>
          <w:szCs w:val="24"/>
        </w:rPr>
        <w:lastRenderedPageBreak/>
        <w:t>Τα σημαντικότερα ευρήματα της εξαμηνιαίας έρευνας κλίματος του ΙΜΕ ΓΣΕΒΕΕ είναι τα εξής:</w:t>
      </w:r>
    </w:p>
    <w:p w14:paraId="01FB7A58" w14:textId="77777777" w:rsidR="004771F2" w:rsidRPr="00440C2A" w:rsidRDefault="004771F2" w:rsidP="00A01605">
      <w:pPr>
        <w:spacing w:after="0" w:line="360" w:lineRule="auto"/>
        <w:rPr>
          <w:rFonts w:cstheme="minorHAnsi"/>
          <w:b/>
          <w:sz w:val="24"/>
          <w:szCs w:val="24"/>
          <w:u w:val="single"/>
        </w:rPr>
      </w:pPr>
      <w:r w:rsidRPr="00440C2A">
        <w:rPr>
          <w:rFonts w:cstheme="minorHAnsi"/>
          <w:b/>
          <w:sz w:val="24"/>
          <w:szCs w:val="24"/>
          <w:u w:val="single"/>
        </w:rPr>
        <w:t>Δείκτης οικονομικού κλίματος</w:t>
      </w:r>
    </w:p>
    <w:p w14:paraId="57D37B5A" w14:textId="557FBD11" w:rsidR="00A9409B" w:rsidRPr="00942A7E" w:rsidRDefault="00A9409B" w:rsidP="00A9409B">
      <w:pPr>
        <w:numPr>
          <w:ilvl w:val="0"/>
          <w:numId w:val="24"/>
        </w:numPr>
        <w:spacing w:after="0" w:line="360" w:lineRule="auto"/>
        <w:ind w:left="714" w:hanging="357"/>
        <w:contextualSpacing/>
        <w:jc w:val="both"/>
        <w:rPr>
          <w:rFonts w:ascii="Calibri" w:eastAsia="Times New Roman" w:hAnsi="Calibri" w:cs="Calibri"/>
          <w:sz w:val="24"/>
          <w:szCs w:val="24"/>
        </w:rPr>
      </w:pPr>
      <w:r w:rsidRPr="00942A7E">
        <w:rPr>
          <w:rFonts w:ascii="Calibri" w:eastAsia="Times New Roman" w:hAnsi="Calibri" w:cs="Calibri"/>
          <w:sz w:val="24"/>
          <w:szCs w:val="24"/>
        </w:rPr>
        <w:t xml:space="preserve">Ο Δείκτης Οικονομικού Κλίματος των μικρών και πολύ μικρών επιχειρήσεων παρουσιάζει </w:t>
      </w:r>
      <w:r w:rsidR="009C64EA" w:rsidRPr="00942A7E">
        <w:rPr>
          <w:rFonts w:ascii="Calibri" w:eastAsia="Times New Roman" w:hAnsi="Calibri" w:cs="Calibri"/>
          <w:sz w:val="24"/>
          <w:szCs w:val="24"/>
        </w:rPr>
        <w:t>σημαντική</w:t>
      </w:r>
      <w:r w:rsidRPr="00942A7E">
        <w:rPr>
          <w:rFonts w:ascii="Calibri" w:eastAsia="Times New Roman" w:hAnsi="Calibri" w:cs="Calibri"/>
          <w:sz w:val="24"/>
          <w:szCs w:val="24"/>
        </w:rPr>
        <w:t xml:space="preserve"> επιδείνωση, υποχωρώντας κατά 14,3 μονάδες σε σχέση με το προηγούμενο εξάμηνο. </w:t>
      </w:r>
      <w:r w:rsidR="006D6F1D">
        <w:rPr>
          <w:sz w:val="24"/>
          <w:szCs w:val="24"/>
        </w:rPr>
        <w:t xml:space="preserve">Συγκεκριμένα, διαμορφώνεται στις 49,6 μονάδες από τις 63,9 που ήταν το </w:t>
      </w:r>
      <w:proofErr w:type="spellStart"/>
      <w:r w:rsidR="006D6F1D">
        <w:rPr>
          <w:sz w:val="24"/>
          <w:szCs w:val="24"/>
        </w:rPr>
        <w:t>Β</w:t>
      </w:r>
      <w:r w:rsidR="008F2839">
        <w:rPr>
          <w:sz w:val="24"/>
          <w:szCs w:val="24"/>
        </w:rPr>
        <w:t>΄</w:t>
      </w:r>
      <w:r w:rsidR="006D6F1D">
        <w:rPr>
          <w:sz w:val="24"/>
          <w:szCs w:val="24"/>
        </w:rPr>
        <w:t>εξάμηνο</w:t>
      </w:r>
      <w:proofErr w:type="spellEnd"/>
      <w:r w:rsidR="006D6F1D">
        <w:rPr>
          <w:sz w:val="24"/>
          <w:szCs w:val="24"/>
        </w:rPr>
        <w:t xml:space="preserve"> του 2023</w:t>
      </w:r>
    </w:p>
    <w:p w14:paraId="67300203" w14:textId="0288A56A" w:rsidR="00A9409B" w:rsidRPr="00942A7E" w:rsidRDefault="00942A7E" w:rsidP="00A9409B">
      <w:pPr>
        <w:numPr>
          <w:ilvl w:val="0"/>
          <w:numId w:val="24"/>
        </w:numPr>
        <w:spacing w:after="0" w:line="360" w:lineRule="auto"/>
        <w:ind w:left="714" w:hanging="357"/>
        <w:contextualSpacing/>
        <w:jc w:val="both"/>
        <w:rPr>
          <w:rFonts w:ascii="Calibri" w:eastAsia="Times New Roman" w:hAnsi="Calibri" w:cs="Calibri"/>
          <w:sz w:val="24"/>
          <w:szCs w:val="24"/>
        </w:rPr>
      </w:pPr>
      <w:r w:rsidRPr="00942A7E">
        <w:rPr>
          <w:rFonts w:ascii="Calibri" w:eastAsia="Times New Roman" w:hAnsi="Calibri" w:cs="Calibri"/>
          <w:sz w:val="24"/>
          <w:szCs w:val="24"/>
        </w:rPr>
        <w:t>Ο</w:t>
      </w:r>
      <w:r w:rsidR="00A9409B" w:rsidRPr="00942A7E">
        <w:rPr>
          <w:rFonts w:ascii="Calibri" w:eastAsia="Times New Roman" w:hAnsi="Calibri" w:cs="Calibri"/>
          <w:sz w:val="24"/>
          <w:szCs w:val="24"/>
        </w:rPr>
        <w:t xml:space="preserve"> Δείκτης Προσδοκιών των </w:t>
      </w:r>
      <w:proofErr w:type="spellStart"/>
      <w:r w:rsidR="00A9409B" w:rsidRPr="00942A7E">
        <w:rPr>
          <w:rFonts w:ascii="Calibri" w:eastAsia="Times New Roman" w:hAnsi="Calibri" w:cs="Calibri"/>
          <w:sz w:val="24"/>
          <w:szCs w:val="24"/>
        </w:rPr>
        <w:t>ΜμΕ</w:t>
      </w:r>
      <w:proofErr w:type="spellEnd"/>
      <w:r w:rsidR="00A9409B" w:rsidRPr="00942A7E">
        <w:rPr>
          <w:rFonts w:ascii="Calibri" w:eastAsia="Times New Roman" w:hAnsi="Calibri" w:cs="Calibri"/>
          <w:sz w:val="24"/>
          <w:szCs w:val="24"/>
        </w:rPr>
        <w:t xml:space="preserve"> υποχωρεί στις μόλις 55 μονάδες, εμφανίζοντας πτώση 8,9 μονάδων σε σχέση με το προηγούμενο εξάμηνο, αποτυπώνοντας την έντονη ανησυχία των επιχειρήσεων για την πορεία της οικονομίας και τη βιωσιμότητά τους. </w:t>
      </w:r>
    </w:p>
    <w:p w14:paraId="3CB9DCE8" w14:textId="77777777" w:rsidR="004771F2" w:rsidRPr="00440C2A" w:rsidRDefault="004771F2" w:rsidP="00A01605">
      <w:pPr>
        <w:spacing w:after="0" w:line="360" w:lineRule="auto"/>
        <w:rPr>
          <w:rFonts w:cstheme="minorHAnsi"/>
          <w:b/>
          <w:sz w:val="24"/>
          <w:szCs w:val="24"/>
          <w:u w:val="single"/>
        </w:rPr>
      </w:pPr>
      <w:r w:rsidRPr="00440C2A">
        <w:rPr>
          <w:rFonts w:cstheme="minorHAnsi"/>
          <w:b/>
          <w:sz w:val="24"/>
          <w:szCs w:val="24"/>
          <w:u w:val="single"/>
        </w:rPr>
        <w:t>Κύκλος εργασιών</w:t>
      </w:r>
    </w:p>
    <w:p w14:paraId="48F47201" w14:textId="77777777" w:rsidR="00A9409B" w:rsidRPr="00942A7E" w:rsidRDefault="00A9409B" w:rsidP="00A9409B">
      <w:pPr>
        <w:numPr>
          <w:ilvl w:val="0"/>
          <w:numId w:val="25"/>
        </w:numPr>
        <w:spacing w:after="0" w:line="360" w:lineRule="auto"/>
        <w:contextualSpacing/>
        <w:jc w:val="both"/>
        <w:rPr>
          <w:rFonts w:ascii="Calibri" w:eastAsia="Calibri" w:hAnsi="Calibri" w:cs="Calibri"/>
          <w:sz w:val="24"/>
          <w:szCs w:val="24"/>
          <w:lang w:eastAsia="en-US"/>
        </w:rPr>
      </w:pPr>
      <w:r w:rsidRPr="00942A7E">
        <w:rPr>
          <w:rFonts w:ascii="Calibri" w:eastAsia="Calibri" w:hAnsi="Calibri" w:cs="Calibri"/>
          <w:sz w:val="24"/>
          <w:szCs w:val="24"/>
          <w:lang w:eastAsia="en-US"/>
        </w:rPr>
        <w:t xml:space="preserve">Σημαντική είναι η επιδείνωση στον κύκλο εργασιών των μικρών και πολύ μικρών επιχειρήσεων σε σύγκριση με ολόκληρο το 2023 αλλά και το δεύτερο εξάμηνο του 2022, σχετιζόμενη, προφανώς, με τη μακρόχρονη κρίση ακρίβειας και εξασθένησης της αγοραστικής δύναμης των καταναλωτών. </w:t>
      </w:r>
    </w:p>
    <w:p w14:paraId="64C66195" w14:textId="4D83A89F" w:rsidR="00A9409B" w:rsidRPr="00942A7E" w:rsidRDefault="00A9409B" w:rsidP="00A9409B">
      <w:pPr>
        <w:numPr>
          <w:ilvl w:val="0"/>
          <w:numId w:val="25"/>
        </w:numPr>
        <w:spacing w:after="0" w:line="360" w:lineRule="auto"/>
        <w:contextualSpacing/>
        <w:jc w:val="both"/>
        <w:rPr>
          <w:rFonts w:ascii="Calibri" w:eastAsia="Calibri" w:hAnsi="Calibri" w:cs="Calibri"/>
          <w:sz w:val="24"/>
          <w:szCs w:val="24"/>
          <w:lang w:eastAsia="en-US"/>
        </w:rPr>
      </w:pPr>
      <w:r w:rsidRPr="00942A7E">
        <w:rPr>
          <w:rFonts w:ascii="Calibri" w:eastAsia="Calibri" w:hAnsi="Calibri" w:cs="Calibri"/>
          <w:sz w:val="24"/>
          <w:szCs w:val="24"/>
          <w:lang w:eastAsia="en-US"/>
        </w:rPr>
        <w:t xml:space="preserve">Το ποσοστό των μικρών και πολύ μικρών επιχειρήσεων που σημειώνουν αύξηση του κύκλου εργασιών τους περιορίζεται σε μόλις 20,5% επί του συνόλου, έναντι των μισών περίπου που </w:t>
      </w:r>
      <w:r w:rsidR="00942A7E">
        <w:rPr>
          <w:rFonts w:ascii="Calibri" w:eastAsia="Calibri" w:hAnsi="Calibri" w:cs="Calibri"/>
          <w:sz w:val="24"/>
          <w:szCs w:val="24"/>
          <w:lang w:eastAsia="en-US"/>
        </w:rPr>
        <w:t>δήλωσαν</w:t>
      </w:r>
      <w:r w:rsidRPr="00942A7E">
        <w:rPr>
          <w:rFonts w:ascii="Calibri" w:eastAsia="Calibri" w:hAnsi="Calibri" w:cs="Calibri"/>
          <w:sz w:val="24"/>
          <w:szCs w:val="24"/>
          <w:lang w:eastAsia="en-US"/>
        </w:rPr>
        <w:t xml:space="preserve"> </w:t>
      </w:r>
      <w:r w:rsidR="00942A7E">
        <w:rPr>
          <w:rFonts w:ascii="Calibri" w:eastAsia="Calibri" w:hAnsi="Calibri" w:cs="Calibri"/>
          <w:sz w:val="24"/>
          <w:szCs w:val="24"/>
          <w:lang w:eastAsia="en-US"/>
        </w:rPr>
        <w:t>μείωση</w:t>
      </w:r>
      <w:r w:rsidRPr="00942A7E">
        <w:rPr>
          <w:rFonts w:ascii="Calibri" w:eastAsia="Calibri" w:hAnsi="Calibri" w:cs="Calibri"/>
          <w:sz w:val="24"/>
          <w:szCs w:val="24"/>
          <w:lang w:eastAsia="en-US"/>
        </w:rPr>
        <w:t xml:space="preserve"> του κύκλου εργασιών (46,2%).</w:t>
      </w:r>
    </w:p>
    <w:p w14:paraId="2930C247" w14:textId="20851A68" w:rsidR="00A9409B" w:rsidRPr="00440C2A" w:rsidRDefault="006D6F1D" w:rsidP="00A9409B">
      <w:pPr>
        <w:numPr>
          <w:ilvl w:val="0"/>
          <w:numId w:val="25"/>
        </w:numPr>
        <w:spacing w:after="0" w:line="360" w:lineRule="auto"/>
        <w:contextualSpacing/>
        <w:jc w:val="both"/>
        <w:rPr>
          <w:rFonts w:ascii="Calibri" w:eastAsia="Calibri" w:hAnsi="Calibri" w:cs="Calibri"/>
          <w:sz w:val="24"/>
          <w:szCs w:val="24"/>
          <w:lang w:eastAsia="en-US"/>
        </w:rPr>
      </w:pPr>
      <w:r w:rsidRPr="00440C2A">
        <w:rPr>
          <w:rFonts w:ascii="Calibri" w:eastAsia="Calibri" w:hAnsi="Calibri" w:cs="Calibri"/>
          <w:sz w:val="24"/>
          <w:szCs w:val="24"/>
          <w:lang w:eastAsia="en-US"/>
        </w:rPr>
        <w:t xml:space="preserve">Παρατηρείται μια θετική σχέση του κύκλου εργασιών με το μέγεθος των επιχειρήσεων. Δηλαδή, </w:t>
      </w:r>
      <w:r w:rsidRPr="00440C2A">
        <w:rPr>
          <w:rFonts w:ascii="Calibri" w:eastAsia="Calibri" w:hAnsi="Calibri" w:cs="Times New Roman"/>
          <w:sz w:val="24"/>
          <w:szCs w:val="24"/>
          <w:lang w:eastAsia="en-US"/>
        </w:rPr>
        <w:t xml:space="preserve">όσο μεγαλύτερο είναι το μέγεθος της επιχείρησης, τόσο καλύτερες είναι και οι επιδόσεις ως προς τον κύκλο εργασιών. </w:t>
      </w:r>
      <w:r w:rsidRPr="00440C2A">
        <w:rPr>
          <w:rFonts w:ascii="Calibri" w:eastAsia="Calibri" w:hAnsi="Calibri" w:cs="Calibri"/>
          <w:sz w:val="24"/>
          <w:szCs w:val="24"/>
          <w:lang w:eastAsia="en-US"/>
        </w:rPr>
        <w:t xml:space="preserve"> </w:t>
      </w:r>
      <w:r w:rsidR="00440C2A" w:rsidRPr="00440C2A">
        <w:rPr>
          <w:rFonts w:ascii="Calibri" w:eastAsia="Calibri" w:hAnsi="Calibri" w:cs="Calibri"/>
          <w:sz w:val="24"/>
          <w:szCs w:val="24"/>
          <w:lang w:eastAsia="en-US"/>
        </w:rPr>
        <w:t>Ειδικότερα</w:t>
      </w:r>
      <w:r w:rsidR="00A9409B" w:rsidRPr="00440C2A">
        <w:rPr>
          <w:rFonts w:ascii="Calibri" w:eastAsia="Calibri" w:hAnsi="Calibri" w:cs="Calibri"/>
          <w:sz w:val="24"/>
          <w:szCs w:val="24"/>
          <w:lang w:eastAsia="en-US"/>
        </w:rPr>
        <w:t xml:space="preserve">, το 47,6% των επιχειρήσεων με προσωπικό 10 άτομα και </w:t>
      </w:r>
      <w:r w:rsidR="00440C2A" w:rsidRPr="00440C2A">
        <w:rPr>
          <w:rFonts w:ascii="Calibri" w:eastAsia="Calibri" w:hAnsi="Calibri" w:cs="Calibri"/>
          <w:sz w:val="24"/>
          <w:szCs w:val="24"/>
          <w:lang w:eastAsia="en-US"/>
        </w:rPr>
        <w:t>άνω</w:t>
      </w:r>
      <w:r w:rsidR="00A9409B" w:rsidRPr="00440C2A">
        <w:rPr>
          <w:rFonts w:ascii="Calibri" w:eastAsia="Calibri" w:hAnsi="Calibri" w:cs="Calibri"/>
          <w:sz w:val="24"/>
          <w:szCs w:val="24"/>
          <w:lang w:eastAsia="en-US"/>
        </w:rPr>
        <w:t xml:space="preserve"> δήλωσε ότι ο κύκλος εργασιών </w:t>
      </w:r>
      <w:r w:rsidR="00440C2A" w:rsidRPr="00440C2A">
        <w:rPr>
          <w:rFonts w:ascii="Calibri" w:eastAsia="Calibri" w:hAnsi="Calibri" w:cs="Calibri"/>
          <w:sz w:val="24"/>
          <w:szCs w:val="24"/>
          <w:lang w:eastAsia="en-US"/>
        </w:rPr>
        <w:t xml:space="preserve">του αυξήθηκε το </w:t>
      </w:r>
      <w:proofErr w:type="spellStart"/>
      <w:r w:rsidR="00440C2A" w:rsidRPr="00440C2A">
        <w:rPr>
          <w:rFonts w:ascii="Calibri" w:eastAsia="Calibri" w:hAnsi="Calibri" w:cs="Calibri"/>
          <w:sz w:val="24"/>
          <w:szCs w:val="24"/>
          <w:lang w:eastAsia="en-US"/>
        </w:rPr>
        <w:t>Α</w:t>
      </w:r>
      <w:r w:rsidR="00DB4FBE">
        <w:rPr>
          <w:rFonts w:ascii="Calibri" w:eastAsia="Calibri" w:hAnsi="Calibri" w:cs="Calibri"/>
          <w:sz w:val="24"/>
          <w:szCs w:val="24"/>
          <w:lang w:eastAsia="en-US"/>
        </w:rPr>
        <w:t>΄</w:t>
      </w:r>
      <w:r w:rsidR="00440C2A" w:rsidRPr="00440C2A">
        <w:rPr>
          <w:rFonts w:ascii="Calibri" w:eastAsia="Calibri" w:hAnsi="Calibri" w:cs="Calibri"/>
          <w:sz w:val="24"/>
          <w:szCs w:val="24"/>
          <w:lang w:eastAsia="en-US"/>
        </w:rPr>
        <w:t>εξάμηνο</w:t>
      </w:r>
      <w:proofErr w:type="spellEnd"/>
      <w:r w:rsidR="00440C2A" w:rsidRPr="00440C2A">
        <w:rPr>
          <w:rFonts w:ascii="Calibri" w:eastAsia="Calibri" w:hAnsi="Calibri" w:cs="Calibri"/>
          <w:sz w:val="24"/>
          <w:szCs w:val="24"/>
          <w:lang w:eastAsia="en-US"/>
        </w:rPr>
        <w:t xml:space="preserve"> του 2024</w:t>
      </w:r>
      <w:r w:rsidR="00A9409B" w:rsidRPr="00440C2A">
        <w:rPr>
          <w:rFonts w:ascii="Calibri" w:eastAsia="Calibri" w:hAnsi="Calibri" w:cs="Calibri"/>
          <w:sz w:val="24"/>
          <w:szCs w:val="24"/>
          <w:lang w:eastAsia="en-US"/>
        </w:rPr>
        <w:t>,</w:t>
      </w:r>
      <w:r w:rsidR="00440C2A" w:rsidRPr="00440C2A">
        <w:rPr>
          <w:rFonts w:ascii="Calibri" w:eastAsia="Calibri" w:hAnsi="Calibri" w:cs="Calibri"/>
          <w:sz w:val="24"/>
          <w:szCs w:val="24"/>
          <w:lang w:eastAsia="en-US"/>
        </w:rPr>
        <w:t xml:space="preserve"> έναντι του</w:t>
      </w:r>
      <w:r w:rsidR="00A9409B" w:rsidRPr="00440C2A">
        <w:rPr>
          <w:rFonts w:ascii="Calibri" w:eastAsia="Calibri" w:hAnsi="Calibri" w:cs="Calibri"/>
          <w:sz w:val="24"/>
          <w:szCs w:val="24"/>
          <w:lang w:eastAsia="en-US"/>
        </w:rPr>
        <w:t xml:space="preserve"> 23,3% των πολύ μικρών επιχειρήσεων</w:t>
      </w:r>
      <w:r w:rsidR="00440C2A" w:rsidRPr="00440C2A">
        <w:rPr>
          <w:rFonts w:ascii="Calibri" w:eastAsia="Calibri" w:hAnsi="Calibri" w:cs="Calibri"/>
          <w:sz w:val="24"/>
          <w:szCs w:val="24"/>
          <w:lang w:eastAsia="en-US"/>
        </w:rPr>
        <w:t xml:space="preserve"> (1-9 εργαζόμενους) και</w:t>
      </w:r>
      <w:r w:rsidR="00A9409B" w:rsidRPr="00440C2A">
        <w:rPr>
          <w:rFonts w:ascii="Calibri" w:eastAsia="Calibri" w:hAnsi="Calibri" w:cs="Calibri"/>
          <w:sz w:val="24"/>
          <w:szCs w:val="24"/>
          <w:lang w:eastAsia="en-US"/>
        </w:rPr>
        <w:t xml:space="preserve"> 10,2%</w:t>
      </w:r>
      <w:r w:rsidR="00440C2A" w:rsidRPr="00440C2A">
        <w:rPr>
          <w:rFonts w:ascii="Calibri" w:eastAsia="Calibri" w:hAnsi="Calibri" w:cs="Calibri"/>
          <w:sz w:val="24"/>
          <w:szCs w:val="24"/>
          <w:lang w:eastAsia="en-US"/>
        </w:rPr>
        <w:t xml:space="preserve"> των επιχειρήσεων χωρίς προσωπικό</w:t>
      </w:r>
      <w:r w:rsidR="00A9409B" w:rsidRPr="00440C2A">
        <w:rPr>
          <w:rFonts w:ascii="Calibri" w:eastAsia="Calibri" w:hAnsi="Calibri" w:cs="Calibri"/>
          <w:sz w:val="24"/>
          <w:szCs w:val="24"/>
          <w:lang w:eastAsia="en-US"/>
        </w:rPr>
        <w:t>.</w:t>
      </w:r>
    </w:p>
    <w:p w14:paraId="4E99E74C" w14:textId="2D52CA78" w:rsidR="00A9409B" w:rsidRDefault="00440C2A" w:rsidP="00A9409B">
      <w:pPr>
        <w:numPr>
          <w:ilvl w:val="0"/>
          <w:numId w:val="26"/>
        </w:numPr>
        <w:spacing w:after="0" w:line="360" w:lineRule="auto"/>
        <w:contextualSpacing/>
        <w:jc w:val="both"/>
        <w:rPr>
          <w:rFonts w:ascii="Calibri" w:eastAsia="Calibri" w:hAnsi="Calibri" w:cs="Calibri"/>
          <w:sz w:val="24"/>
          <w:szCs w:val="24"/>
          <w:lang w:eastAsia="en-US"/>
        </w:rPr>
      </w:pPr>
      <w:r>
        <w:rPr>
          <w:rFonts w:ascii="Calibri" w:eastAsia="Calibri" w:hAnsi="Calibri" w:cs="Calibri"/>
          <w:sz w:val="24"/>
          <w:szCs w:val="24"/>
          <w:lang w:eastAsia="en-US"/>
        </w:rPr>
        <w:t>Τομεακά</w:t>
      </w:r>
      <w:r w:rsidR="00DB4FBE">
        <w:rPr>
          <w:rFonts w:ascii="Calibri" w:eastAsia="Calibri" w:hAnsi="Calibri" w:cs="Calibri"/>
          <w:sz w:val="24"/>
          <w:szCs w:val="24"/>
          <w:lang w:eastAsia="en-US"/>
        </w:rPr>
        <w:t>,</w:t>
      </w:r>
      <w:r>
        <w:rPr>
          <w:rFonts w:ascii="Calibri" w:eastAsia="Calibri" w:hAnsi="Calibri" w:cs="Calibri"/>
          <w:sz w:val="24"/>
          <w:szCs w:val="24"/>
          <w:lang w:eastAsia="en-US"/>
        </w:rPr>
        <w:t xml:space="preserve"> η</w:t>
      </w:r>
      <w:r w:rsidR="00A9409B" w:rsidRPr="00942A7E">
        <w:rPr>
          <w:rFonts w:ascii="Calibri" w:eastAsia="Calibri" w:hAnsi="Calibri" w:cs="Calibri"/>
          <w:sz w:val="24"/>
          <w:szCs w:val="24"/>
          <w:lang w:eastAsia="en-US"/>
        </w:rPr>
        <w:t xml:space="preserve"> μεγαλύτερη επιδείνωση </w:t>
      </w:r>
      <w:r w:rsidR="00942A7E" w:rsidRPr="00942A7E">
        <w:rPr>
          <w:rFonts w:ascii="Calibri" w:eastAsia="Calibri" w:hAnsi="Calibri" w:cs="Calibri"/>
          <w:sz w:val="24"/>
          <w:szCs w:val="24"/>
          <w:lang w:eastAsia="en-US"/>
        </w:rPr>
        <w:t>καταγράφεται στις εμπορικές επιχειρήσεις</w:t>
      </w:r>
      <w:r w:rsidR="00A9409B" w:rsidRPr="00942A7E">
        <w:rPr>
          <w:rFonts w:ascii="Calibri" w:eastAsia="Calibri" w:hAnsi="Calibri" w:cs="Calibri"/>
          <w:sz w:val="24"/>
          <w:szCs w:val="24"/>
          <w:lang w:eastAsia="en-US"/>
        </w:rPr>
        <w:t xml:space="preserve">, </w:t>
      </w:r>
      <w:r w:rsidR="00942A7E" w:rsidRPr="00942A7E">
        <w:rPr>
          <w:rFonts w:ascii="Calibri" w:eastAsia="Calibri" w:hAnsi="Calibri" w:cs="Calibri"/>
          <w:sz w:val="24"/>
          <w:szCs w:val="24"/>
          <w:lang w:eastAsia="en-US"/>
        </w:rPr>
        <w:t>με</w:t>
      </w:r>
      <w:r w:rsidR="00A9409B" w:rsidRPr="00942A7E">
        <w:rPr>
          <w:rFonts w:ascii="Calibri" w:eastAsia="Calibri" w:hAnsi="Calibri" w:cs="Calibri"/>
          <w:sz w:val="24"/>
          <w:szCs w:val="24"/>
          <w:lang w:eastAsia="en-US"/>
        </w:rPr>
        <w:t xml:space="preserve"> το 57,9% </w:t>
      </w:r>
      <w:r w:rsidR="00942A7E" w:rsidRPr="00942A7E">
        <w:rPr>
          <w:rFonts w:ascii="Calibri" w:eastAsia="Calibri" w:hAnsi="Calibri" w:cs="Calibri"/>
          <w:sz w:val="24"/>
          <w:szCs w:val="24"/>
          <w:lang w:eastAsia="en-US"/>
        </w:rPr>
        <w:t>αυτών να δηλώνουν</w:t>
      </w:r>
      <w:r w:rsidR="00A9409B" w:rsidRPr="00942A7E">
        <w:rPr>
          <w:rFonts w:ascii="Calibri" w:eastAsia="Calibri" w:hAnsi="Calibri" w:cs="Calibri"/>
          <w:sz w:val="24"/>
          <w:szCs w:val="24"/>
          <w:lang w:eastAsia="en-US"/>
        </w:rPr>
        <w:t xml:space="preserve"> μείωση του κύκλου εργασιών</w:t>
      </w:r>
      <w:r w:rsidR="00942A7E">
        <w:rPr>
          <w:rFonts w:ascii="Calibri" w:eastAsia="Calibri" w:hAnsi="Calibri" w:cs="Calibri"/>
          <w:sz w:val="24"/>
          <w:szCs w:val="24"/>
          <w:lang w:eastAsia="en-US"/>
        </w:rPr>
        <w:t xml:space="preserve"> το </w:t>
      </w:r>
      <w:proofErr w:type="spellStart"/>
      <w:r w:rsidR="00942A7E">
        <w:rPr>
          <w:rFonts w:ascii="Calibri" w:eastAsia="Calibri" w:hAnsi="Calibri" w:cs="Calibri"/>
          <w:sz w:val="24"/>
          <w:szCs w:val="24"/>
          <w:lang w:eastAsia="en-US"/>
        </w:rPr>
        <w:t>Α</w:t>
      </w:r>
      <w:r w:rsidR="00854FEE">
        <w:rPr>
          <w:rFonts w:ascii="Calibri" w:eastAsia="Calibri" w:hAnsi="Calibri" w:cs="Calibri"/>
          <w:sz w:val="24"/>
          <w:szCs w:val="24"/>
          <w:lang w:eastAsia="en-US"/>
        </w:rPr>
        <w:t>΄</w:t>
      </w:r>
      <w:r w:rsidR="00942A7E" w:rsidRPr="00942A7E">
        <w:rPr>
          <w:rFonts w:ascii="Calibri" w:eastAsia="Calibri" w:hAnsi="Calibri" w:cs="Calibri"/>
          <w:sz w:val="24"/>
          <w:szCs w:val="24"/>
          <w:lang w:eastAsia="en-US"/>
        </w:rPr>
        <w:t>εξάμηνο</w:t>
      </w:r>
      <w:proofErr w:type="spellEnd"/>
      <w:r w:rsidR="00942A7E" w:rsidRPr="00942A7E">
        <w:rPr>
          <w:rFonts w:ascii="Calibri" w:eastAsia="Calibri" w:hAnsi="Calibri" w:cs="Calibri"/>
          <w:sz w:val="24"/>
          <w:szCs w:val="24"/>
          <w:lang w:eastAsia="en-US"/>
        </w:rPr>
        <w:t xml:space="preserve"> του 2024</w:t>
      </w:r>
      <w:r w:rsidR="00A9409B" w:rsidRPr="00942A7E">
        <w:rPr>
          <w:rFonts w:ascii="Calibri" w:eastAsia="Calibri" w:hAnsi="Calibri" w:cs="Calibri"/>
          <w:sz w:val="24"/>
          <w:szCs w:val="24"/>
          <w:lang w:eastAsia="en-US"/>
        </w:rPr>
        <w:t>.</w:t>
      </w:r>
    </w:p>
    <w:p w14:paraId="486B962E" w14:textId="77777777" w:rsidR="00440C2A" w:rsidRPr="00942A7E" w:rsidRDefault="00440C2A" w:rsidP="00440C2A">
      <w:pPr>
        <w:spacing w:after="0" w:line="360" w:lineRule="auto"/>
        <w:ind w:left="720"/>
        <w:contextualSpacing/>
        <w:jc w:val="both"/>
        <w:rPr>
          <w:rFonts w:ascii="Calibri" w:eastAsia="Calibri" w:hAnsi="Calibri" w:cs="Calibri"/>
          <w:sz w:val="24"/>
          <w:szCs w:val="24"/>
          <w:lang w:eastAsia="en-US"/>
        </w:rPr>
      </w:pPr>
    </w:p>
    <w:p w14:paraId="33449F36" w14:textId="51AC2486" w:rsidR="007D6DDA" w:rsidRPr="00440C2A" w:rsidRDefault="007D6DDA" w:rsidP="00A01605">
      <w:pPr>
        <w:spacing w:after="0" w:line="360" w:lineRule="auto"/>
        <w:rPr>
          <w:rFonts w:cstheme="minorHAnsi"/>
          <w:b/>
          <w:sz w:val="24"/>
          <w:szCs w:val="24"/>
          <w:u w:val="single"/>
        </w:rPr>
      </w:pPr>
      <w:r w:rsidRPr="00440C2A">
        <w:rPr>
          <w:rFonts w:cstheme="minorHAnsi"/>
          <w:b/>
          <w:sz w:val="24"/>
          <w:szCs w:val="24"/>
          <w:u w:val="single"/>
        </w:rPr>
        <w:t>Αποτελέσματα χρήσης</w:t>
      </w:r>
    </w:p>
    <w:p w14:paraId="73600D60" w14:textId="15186AFD" w:rsidR="001C4593" w:rsidRPr="00440C2A" w:rsidRDefault="00440C2A" w:rsidP="00A01605">
      <w:pPr>
        <w:pStyle w:val="a3"/>
        <w:numPr>
          <w:ilvl w:val="0"/>
          <w:numId w:val="16"/>
        </w:numPr>
        <w:spacing w:line="360" w:lineRule="auto"/>
        <w:jc w:val="both"/>
        <w:rPr>
          <w:rFonts w:cstheme="minorHAnsi"/>
          <w:sz w:val="24"/>
          <w:szCs w:val="24"/>
        </w:rPr>
      </w:pPr>
      <w:r>
        <w:rPr>
          <w:rFonts w:cstheme="minorHAnsi"/>
          <w:sz w:val="24"/>
          <w:szCs w:val="24"/>
        </w:rPr>
        <w:t>Π</w:t>
      </w:r>
      <w:r w:rsidR="00266760" w:rsidRPr="00440C2A">
        <w:rPr>
          <w:rFonts w:cstheme="minorHAnsi"/>
          <w:sz w:val="24"/>
          <w:szCs w:val="24"/>
        </w:rPr>
        <w:t>ερίπου 6 στις 10</w:t>
      </w:r>
      <w:r w:rsidR="00BB5069" w:rsidRPr="00440C2A">
        <w:rPr>
          <w:rFonts w:cstheme="minorHAnsi"/>
          <w:sz w:val="24"/>
          <w:szCs w:val="24"/>
        </w:rPr>
        <w:t xml:space="preserve"> επιχειρήσεις (</w:t>
      </w:r>
      <w:r>
        <w:rPr>
          <w:rFonts w:cstheme="minorHAnsi"/>
          <w:sz w:val="24"/>
          <w:szCs w:val="24"/>
        </w:rPr>
        <w:t>56,2</w:t>
      </w:r>
      <w:r w:rsidR="00F13717" w:rsidRPr="00440C2A">
        <w:rPr>
          <w:rFonts w:cstheme="minorHAnsi"/>
          <w:sz w:val="24"/>
          <w:szCs w:val="24"/>
        </w:rPr>
        <w:t>%</w:t>
      </w:r>
      <w:r w:rsidR="00BB5069" w:rsidRPr="00440C2A">
        <w:rPr>
          <w:rFonts w:cstheme="minorHAnsi"/>
          <w:sz w:val="24"/>
          <w:szCs w:val="24"/>
        </w:rPr>
        <w:t>)</w:t>
      </w:r>
      <w:r w:rsidR="00266760" w:rsidRPr="00440C2A">
        <w:rPr>
          <w:rFonts w:cstheme="minorHAnsi"/>
          <w:sz w:val="24"/>
          <w:szCs w:val="24"/>
        </w:rPr>
        <w:t xml:space="preserve"> </w:t>
      </w:r>
      <w:r w:rsidR="00FA799D" w:rsidRPr="00440C2A">
        <w:rPr>
          <w:rFonts w:cstheme="minorHAnsi"/>
          <w:sz w:val="24"/>
          <w:szCs w:val="24"/>
        </w:rPr>
        <w:t xml:space="preserve">δήλωσαν </w:t>
      </w:r>
      <w:r w:rsidR="00266760" w:rsidRPr="00440C2A">
        <w:rPr>
          <w:rFonts w:cstheme="minorHAnsi"/>
          <w:sz w:val="24"/>
          <w:szCs w:val="24"/>
        </w:rPr>
        <w:t xml:space="preserve">ότι </w:t>
      </w:r>
      <w:r w:rsidR="00FA799D" w:rsidRPr="00440C2A">
        <w:rPr>
          <w:rFonts w:cstheme="minorHAnsi"/>
          <w:sz w:val="24"/>
          <w:szCs w:val="24"/>
        </w:rPr>
        <w:t xml:space="preserve">είχαν </w:t>
      </w:r>
      <w:r w:rsidR="00266760" w:rsidRPr="00440C2A">
        <w:rPr>
          <w:rFonts w:cstheme="minorHAnsi"/>
          <w:sz w:val="24"/>
          <w:szCs w:val="24"/>
        </w:rPr>
        <w:t>κέρδη το 2023</w:t>
      </w:r>
      <w:r w:rsidR="00FA799D" w:rsidRPr="00440C2A">
        <w:rPr>
          <w:rFonts w:cstheme="minorHAnsi"/>
          <w:sz w:val="24"/>
          <w:szCs w:val="24"/>
        </w:rPr>
        <w:t>,</w:t>
      </w:r>
      <w:r w:rsidR="00266760" w:rsidRPr="00440C2A">
        <w:rPr>
          <w:rFonts w:cstheme="minorHAnsi"/>
          <w:sz w:val="24"/>
          <w:szCs w:val="24"/>
        </w:rPr>
        <w:t xml:space="preserve"> ποσοστό</w:t>
      </w:r>
      <w:r w:rsidR="00EE3DCA" w:rsidRPr="00440C2A">
        <w:rPr>
          <w:rFonts w:cstheme="minorHAnsi"/>
          <w:sz w:val="24"/>
          <w:szCs w:val="24"/>
        </w:rPr>
        <w:t xml:space="preserve"> </w:t>
      </w:r>
      <w:r w:rsidR="00F13717" w:rsidRPr="00440C2A">
        <w:rPr>
          <w:rFonts w:cstheme="minorHAnsi"/>
          <w:sz w:val="24"/>
          <w:szCs w:val="24"/>
        </w:rPr>
        <w:t xml:space="preserve">αυξημένο σε σχέση </w:t>
      </w:r>
      <w:r w:rsidR="00266760" w:rsidRPr="00440C2A">
        <w:rPr>
          <w:rFonts w:cstheme="minorHAnsi"/>
          <w:sz w:val="24"/>
          <w:szCs w:val="24"/>
        </w:rPr>
        <w:t>με το 2022</w:t>
      </w:r>
      <w:r w:rsidR="00FA799D" w:rsidRPr="00440C2A">
        <w:rPr>
          <w:rFonts w:cstheme="minorHAnsi"/>
          <w:sz w:val="24"/>
          <w:szCs w:val="24"/>
        </w:rPr>
        <w:t xml:space="preserve"> </w:t>
      </w:r>
      <w:r w:rsidR="00266760" w:rsidRPr="00440C2A">
        <w:rPr>
          <w:rFonts w:cstheme="minorHAnsi"/>
          <w:sz w:val="24"/>
          <w:szCs w:val="24"/>
        </w:rPr>
        <w:t>(51%).</w:t>
      </w:r>
      <w:r w:rsidR="00EE3DCA" w:rsidRPr="00440C2A">
        <w:rPr>
          <w:rFonts w:cstheme="minorHAnsi"/>
          <w:sz w:val="24"/>
          <w:szCs w:val="24"/>
        </w:rPr>
        <w:t xml:space="preserve"> </w:t>
      </w:r>
    </w:p>
    <w:p w14:paraId="1096C414" w14:textId="489A3EC1" w:rsidR="001C4593" w:rsidRPr="00440C2A" w:rsidRDefault="001C4593" w:rsidP="001C4593">
      <w:pPr>
        <w:pStyle w:val="a3"/>
        <w:numPr>
          <w:ilvl w:val="0"/>
          <w:numId w:val="16"/>
        </w:numPr>
        <w:spacing w:after="0" w:line="360" w:lineRule="auto"/>
        <w:jc w:val="both"/>
        <w:rPr>
          <w:rFonts w:cstheme="minorHAnsi"/>
          <w:b/>
          <w:sz w:val="24"/>
          <w:szCs w:val="24"/>
          <w:u w:val="single"/>
        </w:rPr>
      </w:pPr>
      <w:r w:rsidRPr="00440C2A">
        <w:rPr>
          <w:rFonts w:cstheme="minorHAnsi"/>
          <w:sz w:val="24"/>
          <w:szCs w:val="24"/>
        </w:rPr>
        <w:t>Από την άλλη μεριά</w:t>
      </w:r>
      <w:r w:rsidR="00FA799D" w:rsidRPr="00440C2A">
        <w:rPr>
          <w:rFonts w:cstheme="minorHAnsi"/>
          <w:sz w:val="24"/>
          <w:szCs w:val="24"/>
        </w:rPr>
        <w:t>,</w:t>
      </w:r>
      <w:r w:rsidRPr="00440C2A">
        <w:rPr>
          <w:rFonts w:cstheme="minorHAnsi"/>
          <w:sz w:val="24"/>
          <w:szCs w:val="24"/>
        </w:rPr>
        <w:t xml:space="preserve"> το </w:t>
      </w:r>
      <w:r w:rsidR="00440C2A">
        <w:rPr>
          <w:rFonts w:cstheme="minorHAnsi"/>
          <w:sz w:val="24"/>
          <w:szCs w:val="24"/>
        </w:rPr>
        <w:t>21</w:t>
      </w:r>
      <w:r w:rsidRPr="00440C2A">
        <w:rPr>
          <w:rFonts w:cstheme="minorHAnsi"/>
          <w:sz w:val="24"/>
          <w:szCs w:val="24"/>
        </w:rPr>
        <w:t xml:space="preserve">% των επιχειρήσεων δήλωσε </w:t>
      </w:r>
      <w:r w:rsidR="00FA799D" w:rsidRPr="00440C2A">
        <w:rPr>
          <w:rFonts w:cstheme="minorHAnsi"/>
          <w:sz w:val="24"/>
          <w:szCs w:val="24"/>
        </w:rPr>
        <w:t xml:space="preserve">ζημίες </w:t>
      </w:r>
      <w:r w:rsidRPr="00440C2A">
        <w:rPr>
          <w:rFonts w:cstheme="minorHAnsi"/>
          <w:sz w:val="24"/>
          <w:szCs w:val="24"/>
        </w:rPr>
        <w:t xml:space="preserve">(22,4% το αντίστοιχο ποσοστό το 2022), ενώ </w:t>
      </w:r>
      <w:r w:rsidR="00DE5D67" w:rsidRPr="00440C2A">
        <w:rPr>
          <w:rFonts w:cstheme="minorHAnsi"/>
          <w:sz w:val="24"/>
          <w:szCs w:val="24"/>
        </w:rPr>
        <w:t xml:space="preserve">το </w:t>
      </w:r>
      <w:r w:rsidR="00440C2A">
        <w:rPr>
          <w:rFonts w:cstheme="minorHAnsi"/>
          <w:sz w:val="24"/>
          <w:szCs w:val="24"/>
        </w:rPr>
        <w:t>14,8</w:t>
      </w:r>
      <w:r w:rsidRPr="00440C2A">
        <w:rPr>
          <w:rFonts w:cstheme="minorHAnsi"/>
          <w:sz w:val="24"/>
          <w:szCs w:val="24"/>
        </w:rPr>
        <w:t xml:space="preserve">% των επιχειρήσεων δήλωσε πως δεν είχε ούτε κέρδη, ούτε </w:t>
      </w:r>
      <w:r w:rsidR="00DE5D67" w:rsidRPr="00440C2A">
        <w:rPr>
          <w:rFonts w:cstheme="minorHAnsi"/>
          <w:sz w:val="24"/>
          <w:szCs w:val="24"/>
        </w:rPr>
        <w:t xml:space="preserve">ζημίες </w:t>
      </w:r>
      <w:r w:rsidRPr="00440C2A">
        <w:rPr>
          <w:rFonts w:cstheme="minorHAnsi"/>
          <w:sz w:val="24"/>
          <w:szCs w:val="24"/>
        </w:rPr>
        <w:t>(16,1% το αντίστοιχο ποσοστό το 2022).</w:t>
      </w:r>
      <w:r w:rsidR="00EE3DCA" w:rsidRPr="00440C2A">
        <w:rPr>
          <w:rFonts w:cstheme="minorHAnsi"/>
          <w:sz w:val="24"/>
          <w:szCs w:val="24"/>
        </w:rPr>
        <w:t xml:space="preserve"> </w:t>
      </w:r>
    </w:p>
    <w:p w14:paraId="7C5E8951" w14:textId="58026211" w:rsidR="00440C2A" w:rsidRPr="00440C2A" w:rsidRDefault="00440C2A" w:rsidP="00440C2A">
      <w:pPr>
        <w:pStyle w:val="a3"/>
        <w:numPr>
          <w:ilvl w:val="0"/>
          <w:numId w:val="16"/>
        </w:numPr>
        <w:spacing w:line="360" w:lineRule="auto"/>
        <w:jc w:val="both"/>
        <w:rPr>
          <w:sz w:val="24"/>
          <w:szCs w:val="24"/>
        </w:rPr>
      </w:pPr>
      <w:r>
        <w:rPr>
          <w:sz w:val="24"/>
          <w:szCs w:val="24"/>
        </w:rPr>
        <w:lastRenderedPageBreak/>
        <w:t xml:space="preserve">Όσον αφορά τις ατομικές επιχειρήσεις περίπου 1 στις 2 έκλεισαν με κέρδη το 2023. </w:t>
      </w:r>
      <w:r w:rsidRPr="00440C2A">
        <w:rPr>
          <w:sz w:val="24"/>
          <w:szCs w:val="24"/>
        </w:rPr>
        <w:t>Αυτό σημαίνει ότι τουλάχιστον οι μισές ατομικές επιχειρήσεις κλήθηκαν να πληρώσουν αυξημένο φόρο για το 2023</w:t>
      </w:r>
      <w:r w:rsidR="000E2648">
        <w:rPr>
          <w:sz w:val="24"/>
          <w:szCs w:val="24"/>
        </w:rPr>
        <w:t>,</w:t>
      </w:r>
      <w:r w:rsidRPr="00440C2A">
        <w:rPr>
          <w:sz w:val="24"/>
          <w:szCs w:val="24"/>
        </w:rPr>
        <w:t xml:space="preserve"> αφού πλέον η φορολογία τους υπολογίζεται με βάση τον νέο τεκμαρτό τρόπο. </w:t>
      </w:r>
    </w:p>
    <w:p w14:paraId="193D09A5" w14:textId="77777777" w:rsidR="00DE77D0" w:rsidRPr="00440C2A" w:rsidRDefault="00DE77D0" w:rsidP="00440C2A">
      <w:pPr>
        <w:spacing w:after="0" w:line="360" w:lineRule="auto"/>
        <w:jc w:val="both"/>
        <w:rPr>
          <w:rFonts w:cstheme="minorHAnsi"/>
          <w:b/>
          <w:sz w:val="24"/>
          <w:szCs w:val="24"/>
          <w:highlight w:val="yellow"/>
          <w:u w:val="single"/>
        </w:rPr>
      </w:pPr>
    </w:p>
    <w:p w14:paraId="15BF549B" w14:textId="77777777" w:rsidR="004771F2" w:rsidRPr="006565BE" w:rsidRDefault="004771F2" w:rsidP="00A01605">
      <w:pPr>
        <w:spacing w:after="0" w:line="360" w:lineRule="auto"/>
        <w:rPr>
          <w:rFonts w:cstheme="minorHAnsi"/>
          <w:b/>
          <w:sz w:val="24"/>
          <w:szCs w:val="24"/>
          <w:u w:val="single"/>
        </w:rPr>
      </w:pPr>
      <w:r w:rsidRPr="006565BE">
        <w:rPr>
          <w:rFonts w:cstheme="minorHAnsi"/>
          <w:b/>
          <w:sz w:val="24"/>
          <w:szCs w:val="24"/>
          <w:u w:val="single"/>
        </w:rPr>
        <w:t>Ρευστότητα – Ταμειακά διαθέσιμα</w:t>
      </w:r>
    </w:p>
    <w:p w14:paraId="0A3E4CD4" w14:textId="77777777" w:rsidR="00A9409B" w:rsidRPr="00942A7E" w:rsidRDefault="00A9409B" w:rsidP="00A9409B">
      <w:pPr>
        <w:pStyle w:val="a3"/>
        <w:numPr>
          <w:ilvl w:val="0"/>
          <w:numId w:val="27"/>
        </w:numPr>
        <w:spacing w:after="0" w:line="360" w:lineRule="auto"/>
        <w:jc w:val="both"/>
        <w:rPr>
          <w:rFonts w:ascii="Calibri" w:eastAsia="Calibri" w:hAnsi="Calibri" w:cs="Calibri"/>
          <w:sz w:val="24"/>
          <w:szCs w:val="24"/>
        </w:rPr>
      </w:pPr>
      <w:r w:rsidRPr="00942A7E">
        <w:rPr>
          <w:rFonts w:ascii="Calibri" w:eastAsia="Calibri" w:hAnsi="Calibri" w:cs="Calibri"/>
          <w:sz w:val="24"/>
          <w:szCs w:val="24"/>
        </w:rPr>
        <w:t>Η έλλειψη ρευστότητας παραμένει ένα από τα σημαντικότερα προβλήματα των πολύ μικρών και μικρών επιχειρήσεων, αντανακλώντας τη διαχρονικά περιορισμένη πρόσβασή τους σε χρηματοδοτικές πηγές, είτε για κεφάλαια κίνησης, είτε για επενδύσεις.</w:t>
      </w:r>
    </w:p>
    <w:p w14:paraId="13161458" w14:textId="33A907C9" w:rsidR="00A9409B" w:rsidRPr="00942A7E" w:rsidRDefault="00942A7E" w:rsidP="00A9409B">
      <w:pPr>
        <w:pStyle w:val="a3"/>
        <w:numPr>
          <w:ilvl w:val="0"/>
          <w:numId w:val="27"/>
        </w:numPr>
        <w:spacing w:after="0" w:line="360" w:lineRule="auto"/>
        <w:jc w:val="both"/>
        <w:rPr>
          <w:rFonts w:ascii="Calibri" w:eastAsia="Calibri" w:hAnsi="Calibri" w:cs="Calibri"/>
          <w:sz w:val="24"/>
          <w:szCs w:val="24"/>
        </w:rPr>
      </w:pPr>
      <w:r w:rsidRPr="00942A7E">
        <w:rPr>
          <w:rFonts w:ascii="Calibri" w:eastAsia="Calibri" w:hAnsi="Calibri" w:cs="Calibri"/>
          <w:sz w:val="24"/>
          <w:szCs w:val="24"/>
        </w:rPr>
        <w:t>Για το</w:t>
      </w:r>
      <w:r w:rsidR="00A9409B" w:rsidRPr="00942A7E">
        <w:rPr>
          <w:rFonts w:ascii="Calibri" w:eastAsia="Calibri" w:hAnsi="Calibri" w:cs="Calibri"/>
          <w:sz w:val="24"/>
          <w:szCs w:val="24"/>
        </w:rPr>
        <w:t xml:space="preserve"> πρώτο εξάμηνο του 2024 </w:t>
      </w:r>
      <w:r w:rsidRPr="00942A7E">
        <w:rPr>
          <w:rFonts w:ascii="Calibri" w:eastAsia="Calibri" w:hAnsi="Calibri" w:cs="Calibri"/>
          <w:sz w:val="24"/>
          <w:szCs w:val="24"/>
        </w:rPr>
        <w:t>καταγράφεται μείωση της</w:t>
      </w:r>
      <w:r w:rsidR="00A9409B" w:rsidRPr="00942A7E">
        <w:rPr>
          <w:rFonts w:ascii="Calibri" w:eastAsia="Calibri" w:hAnsi="Calibri" w:cs="Calibri"/>
          <w:sz w:val="24"/>
          <w:szCs w:val="24"/>
        </w:rPr>
        <w:t xml:space="preserve"> ρευστότητα</w:t>
      </w:r>
      <w:r w:rsidRPr="00942A7E">
        <w:rPr>
          <w:rFonts w:ascii="Calibri" w:eastAsia="Calibri" w:hAnsi="Calibri" w:cs="Calibri"/>
          <w:sz w:val="24"/>
          <w:szCs w:val="24"/>
        </w:rPr>
        <w:t>ς για</w:t>
      </w:r>
      <w:r w:rsidR="00A9409B" w:rsidRPr="00942A7E">
        <w:rPr>
          <w:rFonts w:ascii="Calibri" w:eastAsia="Calibri" w:hAnsi="Calibri" w:cs="Calibri"/>
          <w:sz w:val="24"/>
          <w:szCs w:val="24"/>
        </w:rPr>
        <w:t xml:space="preserve"> σχεδόν 6 στις 10 επιχειρήσεις (55,9%). </w:t>
      </w:r>
    </w:p>
    <w:p w14:paraId="78C15413" w14:textId="4D48D1BF" w:rsidR="00942A7E" w:rsidRPr="006565BE" w:rsidRDefault="00942A7E" w:rsidP="00942A7E">
      <w:pPr>
        <w:numPr>
          <w:ilvl w:val="0"/>
          <w:numId w:val="4"/>
        </w:numPr>
        <w:spacing w:after="0" w:line="360" w:lineRule="auto"/>
        <w:contextualSpacing/>
        <w:jc w:val="both"/>
        <w:rPr>
          <w:rFonts w:ascii="Calibri" w:eastAsia="Calibri" w:hAnsi="Calibri" w:cs="Calibri"/>
          <w:sz w:val="24"/>
          <w:szCs w:val="24"/>
        </w:rPr>
      </w:pPr>
      <w:r w:rsidRPr="006565BE">
        <w:rPr>
          <w:rFonts w:ascii="Calibri" w:eastAsia="Calibri" w:hAnsi="Calibri" w:cs="Calibri"/>
          <w:sz w:val="24"/>
          <w:szCs w:val="24"/>
        </w:rPr>
        <w:t>Περισσότερες από τις μισές επιχειρήσεις δεν έχουν (29,6%) ή έχουν το πολύ για ένα μήνα (22,5%) ταμειακά διαθέσιμα, αντικατοπτρίζοντας το πρόβλημα ρευστότητας που αντιμετωπίζει ένας αρκετά μεγάλος αριθμός μικρών και πολύ μικρών επιχειρήσεων.</w:t>
      </w:r>
    </w:p>
    <w:p w14:paraId="2BC3686C" w14:textId="721D457F" w:rsidR="00942A7E" w:rsidRPr="006565BE" w:rsidRDefault="00942A7E" w:rsidP="00942A7E">
      <w:pPr>
        <w:numPr>
          <w:ilvl w:val="0"/>
          <w:numId w:val="4"/>
        </w:numPr>
        <w:spacing w:after="0" w:line="360" w:lineRule="auto"/>
        <w:contextualSpacing/>
        <w:jc w:val="both"/>
        <w:rPr>
          <w:rFonts w:ascii="Calibri" w:eastAsia="Calibri" w:hAnsi="Calibri" w:cs="Calibri"/>
          <w:sz w:val="24"/>
          <w:szCs w:val="24"/>
        </w:rPr>
      </w:pPr>
      <w:r w:rsidRPr="006565BE">
        <w:rPr>
          <w:rFonts w:ascii="Calibri" w:eastAsia="Calibri" w:hAnsi="Calibri" w:cs="Calibri"/>
          <w:sz w:val="24"/>
          <w:szCs w:val="24"/>
        </w:rPr>
        <w:t xml:space="preserve">Η ταμειακή </w:t>
      </w:r>
      <w:r w:rsidR="006565BE" w:rsidRPr="006565BE">
        <w:rPr>
          <w:rFonts w:ascii="Calibri" w:eastAsia="Calibri" w:hAnsi="Calibri" w:cs="Calibri"/>
          <w:sz w:val="24"/>
          <w:szCs w:val="24"/>
        </w:rPr>
        <w:t>επάρκεια</w:t>
      </w:r>
      <w:r w:rsidRPr="006565BE">
        <w:rPr>
          <w:rFonts w:ascii="Calibri" w:eastAsia="Calibri" w:hAnsi="Calibri" w:cs="Calibri"/>
          <w:sz w:val="24"/>
          <w:szCs w:val="24"/>
        </w:rPr>
        <w:t xml:space="preserve"> των επιχειρήσεων συσχετίζεται με το μέγεθός τους, καθώς οι μικρότερες επιχειρήσεις εμφανίζουν σημαντικά μεγαλύτερη έλλειψη ρευστών διαθ</w:t>
      </w:r>
      <w:r w:rsidR="000E2648">
        <w:rPr>
          <w:rFonts w:ascii="Calibri" w:eastAsia="Calibri" w:hAnsi="Calibri" w:cs="Calibri"/>
          <w:sz w:val="24"/>
          <w:szCs w:val="24"/>
        </w:rPr>
        <w:t>ε</w:t>
      </w:r>
      <w:r w:rsidRPr="006565BE">
        <w:rPr>
          <w:rFonts w:ascii="Calibri" w:eastAsia="Calibri" w:hAnsi="Calibri" w:cs="Calibri"/>
          <w:sz w:val="24"/>
          <w:szCs w:val="24"/>
        </w:rPr>
        <w:t>σ</w:t>
      </w:r>
      <w:r w:rsidR="000E2648">
        <w:rPr>
          <w:rFonts w:ascii="Calibri" w:eastAsia="Calibri" w:hAnsi="Calibri" w:cs="Calibri"/>
          <w:sz w:val="24"/>
          <w:szCs w:val="24"/>
        </w:rPr>
        <w:t>ί</w:t>
      </w:r>
      <w:r w:rsidRPr="006565BE">
        <w:rPr>
          <w:rFonts w:ascii="Calibri" w:eastAsia="Calibri" w:hAnsi="Calibri" w:cs="Calibri"/>
          <w:sz w:val="24"/>
          <w:szCs w:val="24"/>
        </w:rPr>
        <w:t>μων από ό,τι οι μεγαλύτερες.</w:t>
      </w:r>
      <w:r w:rsidRPr="006565BE">
        <w:rPr>
          <w:rFonts w:ascii="Calibri" w:eastAsia="Calibri" w:hAnsi="Calibri" w:cs="Calibri"/>
          <w:sz w:val="24"/>
          <w:szCs w:val="24"/>
          <w:lang w:eastAsia="en-US"/>
        </w:rPr>
        <w:t xml:space="preserve"> </w:t>
      </w:r>
    </w:p>
    <w:p w14:paraId="1DA0EEDF" w14:textId="68000D0C" w:rsidR="00942A7E" w:rsidRPr="006565BE" w:rsidRDefault="006565BE" w:rsidP="006565BE">
      <w:pPr>
        <w:numPr>
          <w:ilvl w:val="0"/>
          <w:numId w:val="4"/>
        </w:numPr>
        <w:spacing w:after="0" w:line="360" w:lineRule="auto"/>
        <w:contextualSpacing/>
        <w:jc w:val="both"/>
        <w:rPr>
          <w:rFonts w:ascii="Calibri" w:eastAsia="Calibri" w:hAnsi="Calibri" w:cs="Calibri"/>
          <w:sz w:val="24"/>
          <w:szCs w:val="24"/>
        </w:rPr>
      </w:pPr>
      <w:r w:rsidRPr="006565BE">
        <w:rPr>
          <w:rFonts w:ascii="Calibri" w:eastAsia="Calibri" w:hAnsi="Calibri" w:cs="Calibri"/>
          <w:sz w:val="24"/>
          <w:szCs w:val="24"/>
          <w:lang w:eastAsia="en-US"/>
        </w:rPr>
        <w:t>Ειδικότερα</w:t>
      </w:r>
      <w:r w:rsidR="00942A7E" w:rsidRPr="006565BE">
        <w:rPr>
          <w:rFonts w:ascii="Calibri" w:eastAsia="Calibri" w:hAnsi="Calibri" w:cs="Calibri"/>
          <w:sz w:val="24"/>
          <w:szCs w:val="24"/>
          <w:lang w:eastAsia="en-US"/>
        </w:rPr>
        <w:t xml:space="preserve">, το 40,49% των επιχειρήσεων χωρίς προσωπικό </w:t>
      </w:r>
      <w:r w:rsidRPr="006565BE">
        <w:rPr>
          <w:rFonts w:ascii="Calibri" w:eastAsia="Calibri" w:hAnsi="Calibri" w:cs="Calibri"/>
          <w:sz w:val="24"/>
          <w:szCs w:val="24"/>
          <w:lang w:eastAsia="en-US"/>
        </w:rPr>
        <w:t>δήλωσε</w:t>
      </w:r>
      <w:r w:rsidR="00942A7E" w:rsidRPr="006565BE">
        <w:rPr>
          <w:rFonts w:ascii="Calibri" w:eastAsia="Calibri" w:hAnsi="Calibri" w:cs="Calibri"/>
          <w:sz w:val="24"/>
          <w:szCs w:val="24"/>
          <w:lang w:eastAsia="en-US"/>
        </w:rPr>
        <w:t xml:space="preserve"> ότι δεν έχει ταμειακά διαθέσιμα, ενώ το ποσοστό αυτό μειώνεται όσο αυξάνεται το μέγεθος της επιχείρησης, </w:t>
      </w:r>
      <w:r w:rsidRPr="006565BE">
        <w:rPr>
          <w:rFonts w:ascii="Calibri" w:eastAsia="Calibri" w:hAnsi="Calibri" w:cs="Calibri"/>
          <w:sz w:val="24"/>
          <w:szCs w:val="24"/>
          <w:lang w:eastAsia="en-US"/>
        </w:rPr>
        <w:t>αντιστοιχώντας</w:t>
      </w:r>
      <w:r w:rsidR="00942A7E" w:rsidRPr="006565BE">
        <w:rPr>
          <w:rFonts w:ascii="Calibri" w:eastAsia="Calibri" w:hAnsi="Calibri" w:cs="Calibri"/>
          <w:sz w:val="24"/>
          <w:szCs w:val="24"/>
          <w:lang w:eastAsia="en-US"/>
        </w:rPr>
        <w:t xml:space="preserve"> στο 24,89% </w:t>
      </w:r>
      <w:r w:rsidRPr="006565BE">
        <w:rPr>
          <w:rFonts w:ascii="Calibri" w:eastAsia="Calibri" w:hAnsi="Calibri" w:cs="Calibri"/>
          <w:sz w:val="24"/>
          <w:szCs w:val="24"/>
          <w:lang w:eastAsia="en-US"/>
        </w:rPr>
        <w:t>των πολύ μικρών επιχειρήσεων (1-9 εργαζόμενους)</w:t>
      </w:r>
      <w:r w:rsidR="00942A7E" w:rsidRPr="006565BE">
        <w:rPr>
          <w:rFonts w:ascii="Calibri" w:eastAsia="Calibri" w:hAnsi="Calibri" w:cs="Calibri"/>
          <w:sz w:val="24"/>
          <w:szCs w:val="24"/>
          <w:lang w:eastAsia="en-US"/>
        </w:rPr>
        <w:t xml:space="preserve"> </w:t>
      </w:r>
      <w:r w:rsidRPr="006565BE">
        <w:rPr>
          <w:rFonts w:ascii="Calibri" w:eastAsia="Calibri" w:hAnsi="Calibri" w:cs="Calibri"/>
          <w:sz w:val="24"/>
          <w:szCs w:val="24"/>
          <w:lang w:eastAsia="en-US"/>
        </w:rPr>
        <w:t>και στο</w:t>
      </w:r>
      <w:r w:rsidR="00942A7E" w:rsidRPr="006565BE">
        <w:rPr>
          <w:rFonts w:ascii="Calibri" w:eastAsia="Calibri" w:hAnsi="Calibri" w:cs="Calibri"/>
          <w:sz w:val="24"/>
          <w:szCs w:val="24"/>
          <w:lang w:eastAsia="en-US"/>
        </w:rPr>
        <w:t xml:space="preserve"> 14,29% </w:t>
      </w:r>
      <w:r w:rsidRPr="006565BE">
        <w:rPr>
          <w:rFonts w:ascii="Calibri" w:eastAsia="Calibri" w:hAnsi="Calibri" w:cs="Calibri"/>
          <w:sz w:val="24"/>
          <w:szCs w:val="24"/>
          <w:lang w:eastAsia="en-US"/>
        </w:rPr>
        <w:t>των επιχειρήσεων με</w:t>
      </w:r>
      <w:r w:rsidR="00942A7E" w:rsidRPr="006565BE">
        <w:rPr>
          <w:rFonts w:ascii="Calibri" w:eastAsia="Calibri" w:hAnsi="Calibri" w:cs="Calibri"/>
          <w:sz w:val="24"/>
          <w:szCs w:val="24"/>
          <w:lang w:eastAsia="en-US"/>
        </w:rPr>
        <w:t xml:space="preserve"> προσωπικό από 10 άτομα και άνω.</w:t>
      </w:r>
    </w:p>
    <w:p w14:paraId="41F898E9" w14:textId="77777777" w:rsidR="00942A7E" w:rsidRPr="006565BE" w:rsidRDefault="00942A7E" w:rsidP="00942A7E">
      <w:pPr>
        <w:numPr>
          <w:ilvl w:val="0"/>
          <w:numId w:val="4"/>
        </w:numPr>
        <w:spacing w:after="0" w:line="360" w:lineRule="auto"/>
        <w:contextualSpacing/>
        <w:jc w:val="both"/>
        <w:rPr>
          <w:rFonts w:ascii="Calibri" w:eastAsia="Calibri" w:hAnsi="Calibri" w:cs="Calibri"/>
          <w:sz w:val="24"/>
          <w:szCs w:val="24"/>
        </w:rPr>
      </w:pPr>
      <w:r w:rsidRPr="006565BE">
        <w:rPr>
          <w:rFonts w:ascii="Calibri" w:eastAsia="Calibri" w:hAnsi="Calibri" w:cs="Calibri"/>
          <w:sz w:val="24"/>
          <w:szCs w:val="24"/>
        </w:rPr>
        <w:t>Σοβαρό πρόβλημα ρευστότητας φαίνεται να αντιμετωπίζει το 35,1% των εμπορικών επιχειρήσεων, το 26,4% των επιχειρήσεων στον τομέα των υπηρεσιών και το 26% των επιχειρήσεων στον τομέα της μεταποίησης, δεδομένου ότι τα προαναφερόμενα ποσοστά αφορούν σε επιχειρήσεις με μηδενικά ρευστά διαθέσιμα.</w:t>
      </w:r>
    </w:p>
    <w:p w14:paraId="790EE973" w14:textId="6501858F" w:rsidR="00942A7E" w:rsidRPr="006565BE" w:rsidRDefault="006565BE" w:rsidP="00942A7E">
      <w:pPr>
        <w:numPr>
          <w:ilvl w:val="0"/>
          <w:numId w:val="4"/>
        </w:numPr>
        <w:spacing w:after="0" w:line="360" w:lineRule="auto"/>
        <w:contextualSpacing/>
        <w:jc w:val="both"/>
        <w:rPr>
          <w:rFonts w:ascii="Calibri" w:eastAsia="Calibri" w:hAnsi="Calibri" w:cs="Calibri"/>
          <w:sz w:val="24"/>
          <w:szCs w:val="24"/>
        </w:rPr>
      </w:pPr>
      <w:r w:rsidRPr="006565BE">
        <w:rPr>
          <w:rFonts w:ascii="Calibri" w:eastAsia="Calibri" w:hAnsi="Calibri" w:cs="Calibri"/>
          <w:sz w:val="24"/>
          <w:szCs w:val="24"/>
        </w:rPr>
        <w:t>Ιδιαίτερα δυσμενή είναι τα στοιχεία για τις επιχειρήσεις εστίασης</w:t>
      </w:r>
      <w:r w:rsidR="00942A7E" w:rsidRPr="006565BE">
        <w:rPr>
          <w:rFonts w:ascii="Calibri" w:eastAsia="Calibri" w:hAnsi="Calibri" w:cs="Calibri"/>
          <w:sz w:val="24"/>
          <w:szCs w:val="24"/>
        </w:rPr>
        <w:t>, καθώς το ποσοστό εκείνων που δεν έχουν καθόλου ταμειακά διαθέσιμα ανέρχεται στο 30% και εκείνων που τα διαθέσιμ</w:t>
      </w:r>
      <w:r w:rsidR="000E2648">
        <w:rPr>
          <w:rFonts w:ascii="Calibri" w:eastAsia="Calibri" w:hAnsi="Calibri" w:cs="Calibri"/>
          <w:sz w:val="24"/>
          <w:szCs w:val="24"/>
        </w:rPr>
        <w:t>ά</w:t>
      </w:r>
      <w:r w:rsidR="00942A7E" w:rsidRPr="006565BE">
        <w:rPr>
          <w:rFonts w:ascii="Calibri" w:eastAsia="Calibri" w:hAnsi="Calibri" w:cs="Calibri"/>
          <w:sz w:val="24"/>
          <w:szCs w:val="24"/>
        </w:rPr>
        <w:t xml:space="preserve"> </w:t>
      </w:r>
      <w:r w:rsidRPr="006565BE">
        <w:rPr>
          <w:rFonts w:ascii="Calibri" w:eastAsia="Calibri" w:hAnsi="Calibri" w:cs="Calibri"/>
          <w:sz w:val="24"/>
          <w:szCs w:val="24"/>
        </w:rPr>
        <w:t xml:space="preserve">τους </w:t>
      </w:r>
      <w:r w:rsidR="00942A7E" w:rsidRPr="006565BE">
        <w:rPr>
          <w:rFonts w:ascii="Calibri" w:eastAsia="Calibri" w:hAnsi="Calibri" w:cs="Calibri"/>
          <w:sz w:val="24"/>
          <w:szCs w:val="24"/>
        </w:rPr>
        <w:t>επαρκούν το πολύ για ένα</w:t>
      </w:r>
      <w:r w:rsidR="000E2648">
        <w:rPr>
          <w:rFonts w:ascii="Calibri" w:eastAsia="Calibri" w:hAnsi="Calibri" w:cs="Calibri"/>
          <w:sz w:val="24"/>
          <w:szCs w:val="24"/>
        </w:rPr>
        <w:t>ν</w:t>
      </w:r>
      <w:r w:rsidR="00942A7E" w:rsidRPr="006565BE">
        <w:rPr>
          <w:rFonts w:ascii="Calibri" w:eastAsia="Calibri" w:hAnsi="Calibri" w:cs="Calibri"/>
          <w:sz w:val="24"/>
          <w:szCs w:val="24"/>
        </w:rPr>
        <w:t xml:space="preserve"> μήνα ανέρχεται στο 37,1%.</w:t>
      </w:r>
    </w:p>
    <w:p w14:paraId="68755817" w14:textId="77777777" w:rsidR="00942A7E" w:rsidRPr="00D1594E" w:rsidRDefault="00942A7E" w:rsidP="00942A7E">
      <w:pPr>
        <w:pStyle w:val="a3"/>
        <w:spacing w:after="0" w:line="360" w:lineRule="auto"/>
        <w:jc w:val="both"/>
        <w:rPr>
          <w:rFonts w:ascii="Calibri" w:eastAsia="Calibri" w:hAnsi="Calibri" w:cs="Calibri"/>
          <w:sz w:val="24"/>
          <w:szCs w:val="24"/>
          <w:highlight w:val="yellow"/>
        </w:rPr>
      </w:pPr>
    </w:p>
    <w:p w14:paraId="1E8310B2" w14:textId="77777777" w:rsidR="000E2648" w:rsidRDefault="000E2648" w:rsidP="00A01605">
      <w:pPr>
        <w:spacing w:after="0" w:line="360" w:lineRule="auto"/>
        <w:jc w:val="both"/>
        <w:rPr>
          <w:rFonts w:eastAsia="Times New Roman" w:cstheme="minorHAnsi"/>
          <w:b/>
          <w:sz w:val="24"/>
          <w:szCs w:val="24"/>
          <w:u w:val="single"/>
        </w:rPr>
      </w:pPr>
    </w:p>
    <w:p w14:paraId="799F5801" w14:textId="77777777" w:rsidR="000E2648" w:rsidRDefault="000E2648" w:rsidP="00A01605">
      <w:pPr>
        <w:spacing w:after="0" w:line="360" w:lineRule="auto"/>
        <w:jc w:val="both"/>
        <w:rPr>
          <w:rFonts w:eastAsia="Times New Roman" w:cstheme="minorHAnsi"/>
          <w:b/>
          <w:sz w:val="24"/>
          <w:szCs w:val="24"/>
          <w:u w:val="single"/>
        </w:rPr>
      </w:pPr>
    </w:p>
    <w:p w14:paraId="2B26037F" w14:textId="77777777" w:rsidR="000E2648" w:rsidRDefault="000E2648" w:rsidP="00A01605">
      <w:pPr>
        <w:spacing w:after="0" w:line="360" w:lineRule="auto"/>
        <w:jc w:val="both"/>
        <w:rPr>
          <w:rFonts w:eastAsia="Times New Roman" w:cstheme="minorHAnsi"/>
          <w:b/>
          <w:sz w:val="24"/>
          <w:szCs w:val="24"/>
          <w:u w:val="single"/>
        </w:rPr>
      </w:pPr>
    </w:p>
    <w:p w14:paraId="7DCAEF23" w14:textId="710014AC" w:rsidR="004771F2" w:rsidRPr="00440C2A" w:rsidRDefault="004771F2" w:rsidP="00A01605">
      <w:pPr>
        <w:spacing w:after="0" w:line="360" w:lineRule="auto"/>
        <w:jc w:val="both"/>
        <w:rPr>
          <w:rFonts w:eastAsia="Times New Roman" w:cstheme="minorHAnsi"/>
          <w:b/>
          <w:sz w:val="24"/>
          <w:szCs w:val="24"/>
          <w:u w:val="single"/>
        </w:rPr>
      </w:pPr>
      <w:r w:rsidRPr="00440C2A">
        <w:rPr>
          <w:rFonts w:eastAsia="Times New Roman" w:cstheme="minorHAnsi"/>
          <w:b/>
          <w:sz w:val="24"/>
          <w:szCs w:val="24"/>
          <w:u w:val="single"/>
        </w:rPr>
        <w:lastRenderedPageBreak/>
        <w:t>Απασχόληση</w:t>
      </w:r>
    </w:p>
    <w:p w14:paraId="0C125BD5" w14:textId="49604E3B"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Στην απασχόληση το ισοζύγιο των επιχειρήσεων που μετέβαλαν το προσωπικό τους παρέμεινε θετικό. Συγκεκριμένα, το πρώτο εξάμηνο του 2024, οι επιχειρήσεις οι οποίες δήλωσαν ότι αύξησαν το προσωπικό τους αντιστοιχούν στο 10,3%, έναντι 6,6,% που δήλωσε ότι το μείωσε.</w:t>
      </w:r>
    </w:p>
    <w:p w14:paraId="08160939" w14:textId="42AB9178"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Θετικές είναι οι εκτιμήσεις και για το δεύτερο εξάμηνο του 2024, καθώς το 9,2% των επιχειρήσεων δήλωσε ότι θα αυξήσει το προσωπικό, έναντι 6,0 % που δήλωσε ότι θα το μειώσει.</w:t>
      </w:r>
    </w:p>
    <w:p w14:paraId="6F13C6AE" w14:textId="701DFDC9"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Το σύνολο των κλάδων της ελληνικής οικονομίας παρουσίασε θετικό ισοζύγιο, με τον κλάδο της μεταποίησης-βιοτεχνίας να παρουσιάζει τη μεγαλύτερη αύξηση ως προς την απασχόληση (15,1% των επιχειρήσεων δήλωσαν ότι αύξησαν το προσωπικό τους, έναντι 7,3% που δήλωσαν ότι το μείωσαν), αντιστρέφοντας, μάλιστα, το πρόσημό του από αρνητικό που ήταν κατά το προηγούμενο εξάμηνο σε θετικό.</w:t>
      </w:r>
    </w:p>
    <w:p w14:paraId="4FA12826" w14:textId="5E143A52" w:rsidR="0086263B"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Οι επιχειρήσεις με κύκλο εργασιών άνω των 300.000 € και άνω των πέντε (5) ατόμων προσωπικό συνεχίζουν να παρουσιάζουν τη θετικότερη σχέση αύξησης/μείωσης εργαζομένων.</w:t>
      </w:r>
    </w:p>
    <w:p w14:paraId="100DC0FF" w14:textId="77777777" w:rsidR="00440C2A" w:rsidRPr="006565BE" w:rsidRDefault="00440C2A" w:rsidP="00440C2A">
      <w:pPr>
        <w:spacing w:before="120" w:after="120" w:line="360" w:lineRule="auto"/>
        <w:ind w:left="357"/>
        <w:contextualSpacing/>
        <w:jc w:val="both"/>
        <w:rPr>
          <w:rFonts w:eastAsia="Calibri" w:cstheme="minorHAnsi"/>
          <w:sz w:val="24"/>
          <w:szCs w:val="24"/>
        </w:rPr>
      </w:pPr>
    </w:p>
    <w:p w14:paraId="07FF24DA" w14:textId="704F7A96" w:rsidR="0086263B" w:rsidRPr="006565BE" w:rsidRDefault="006565BE" w:rsidP="00E90916">
      <w:pPr>
        <w:spacing w:before="120" w:after="120" w:line="360" w:lineRule="auto"/>
        <w:contextualSpacing/>
        <w:jc w:val="both"/>
        <w:rPr>
          <w:rFonts w:eastAsia="Times New Roman" w:cstheme="minorHAnsi"/>
          <w:b/>
          <w:sz w:val="24"/>
          <w:szCs w:val="24"/>
          <w:u w:val="single"/>
        </w:rPr>
      </w:pPr>
      <w:r w:rsidRPr="006565BE">
        <w:rPr>
          <w:rFonts w:eastAsia="Times New Roman" w:cstheme="minorHAnsi"/>
          <w:b/>
          <w:sz w:val="24"/>
          <w:szCs w:val="24"/>
          <w:u w:val="single"/>
        </w:rPr>
        <w:t>Κενές θέσεις εργασίας</w:t>
      </w:r>
    </w:p>
    <w:p w14:paraId="2312C5E6" w14:textId="7FCBECBA" w:rsidR="00C35FA4" w:rsidRPr="00C35FA4" w:rsidRDefault="00C35FA4" w:rsidP="00C35FA4">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Σημαντικό εύρημα της έρευνας αποτελεί το αρνητικό ισοζύγιο που αποτυπώνεται όσον αφορά το ερώτημα κατά πόσον οι επιχειρήσεις αντιμετωπίζουν πρόβλημα στην εξεύρεση εργαζομένων, αναδεικνύοντας δομικά προβλήματα στην ελληνική αγορά εργασίας, όπως αυτό της «αναντιστοιχίας δεξιοτήτων». Πιο συγκεκριμένα, στο ερώτημα αυτό το 35,2% των επιχειρήσεων απάντησε ότι αντιμετωπίζει πρόβλημα, έναντι 34,6% που απάντησε ότι δεν αντιμετωπίζει πρόβλημα.</w:t>
      </w:r>
    </w:p>
    <w:p w14:paraId="3846391B" w14:textId="621ED962"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Αναφορικά με τις ειδικότητες που παρουσιάζουν έλλειψη στην αγορά εργασίας, οι ειδικευμένοι τεχνίτες/χειριστές μηχανημάτων (37,1%), οι εργάτες/βοηθοί μαστόρων και το προσωπικό καθαριότητας (17,9%), καθώς και οι ειδικότητες που σχετίζονται με τον τομέα του τουρισμού και της εστίασης (</w:t>
      </w:r>
      <w:r w:rsidR="00267216">
        <w:rPr>
          <w:rFonts w:eastAsia="Calibri" w:cstheme="minorHAnsi"/>
          <w:sz w:val="24"/>
          <w:szCs w:val="24"/>
        </w:rPr>
        <w:t>σερβιτόροι</w:t>
      </w:r>
      <w:r w:rsidRPr="006565BE">
        <w:rPr>
          <w:rFonts w:eastAsia="Calibri" w:cstheme="minorHAnsi"/>
          <w:sz w:val="24"/>
          <w:szCs w:val="24"/>
        </w:rPr>
        <w:t>, μάγειρες και ζαχαροπλάστες) (13,2%) αποτελούν, κατά σειρά προτεραιότητας, τις τρεις σημαντικότερες κατηγορίες.</w:t>
      </w:r>
    </w:p>
    <w:p w14:paraId="71F17981" w14:textId="352EAB8A"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 xml:space="preserve">Σε κλαδικό επίπεδο, η πλειονότητα των επιχειρήσεων που αντιμετωπίζουν πρόβλημα στην εξεύρεση εργαζομένων ανήκουν στη μεταποίηση. </w:t>
      </w:r>
    </w:p>
    <w:p w14:paraId="43DDFC94" w14:textId="5E952547"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 xml:space="preserve">Αναφορικά με τους κυριότερους παράγοντες για τη έλλειψη προσωπικού στην αγορά εργασίας, οι επικρατέστερες απαντήσεις, σύμφωνα με τις επιχειρήσεις, αφορούν με σειρά προτεραιότητας τις μη ανταγωνιστικές αμοιβές (41,3%), την επιδοματική πολιτική της κυβέρνησης (36,9%), καθώς και την </w:t>
      </w:r>
      <w:r w:rsidRPr="006565BE">
        <w:rPr>
          <w:rFonts w:eastAsia="Calibri" w:cstheme="minorHAnsi"/>
          <w:sz w:val="24"/>
          <w:szCs w:val="24"/>
        </w:rPr>
        <w:lastRenderedPageBreak/>
        <w:t>έλλειψη εξειδικευμένου προσωπικού (35,4%), ενώ σημαντικό είναι και το ποσοστό των επιχειρήσεων που έδωσε ως απάντηση τη μετανάστευση εργαζομένων σε άλλες χώρες (18,8%).</w:t>
      </w:r>
    </w:p>
    <w:p w14:paraId="5AC58CE7" w14:textId="719F91E8"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Σε επίπεδο μεγέθους, οι μικρότερες επιχειρήσεις, με ετήσιο τζίρο έως 50.000 € και χωρίς προσωπικό θεωρούν ότι ο κυριότερος λόγος δυσκολίας εύρεσης εργαζομένων είναι οι μη ανταγωνιστικές αμοιβές (50,0%), ενώ στις μεγαλύτερες επιχειρήσεις (4-5 άτομα και άνω των 5 ατόμων) η δημοφιλέστερη απάντηση είναι η έλλειψη εξειδίκευσης (47,5% και 44,8% αντίστοιχα).</w:t>
      </w:r>
    </w:p>
    <w:p w14:paraId="182FEF29" w14:textId="1761FB74"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Ο τομέας της μεταποίησης αποτελεί τον κλάδο στον οποίον η κυριότερη αιτία δυσκολίας εύρεσης εργαζομένων θεωρείται η έλλειψη ειδικευμένου προσωπικού (42,2%).</w:t>
      </w:r>
    </w:p>
    <w:p w14:paraId="01F6B796" w14:textId="77777777" w:rsidR="0086263B" w:rsidRPr="006565BE" w:rsidRDefault="0086263B" w:rsidP="00E90916">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Σε γεωγραφικό επίπεδο, η έλλειψη ειδικευμένου προσωπικού θεωρείται ως ο κυριότερος λόγος δυσκολίας εύρεσης εργαζομένων στη Βόρεια Ελλάδα, καθώς και στα Νησιά Αιγαίου και την Κρήτη, ενώ το υψηλότερο ποσοστό επιχειρήσεων που θεωρεί ως βασικό λόγο δυσκολίας εύρεσης προσωπικού τις μη ανταγωνιστικές αμοιβές σημειώνεται στην περιοχή της Αττικής.</w:t>
      </w:r>
    </w:p>
    <w:p w14:paraId="3CDF8C8A" w14:textId="77777777" w:rsidR="00A9409B" w:rsidRPr="006565BE" w:rsidRDefault="00A9409B" w:rsidP="00A9409B">
      <w:pPr>
        <w:spacing w:after="0" w:line="360" w:lineRule="auto"/>
        <w:jc w:val="both"/>
        <w:rPr>
          <w:rFonts w:ascii="Calibri" w:eastAsia="Calibri" w:hAnsi="Calibri" w:cs="Calibri"/>
          <w:b/>
          <w:bCs/>
          <w:sz w:val="24"/>
          <w:szCs w:val="24"/>
          <w:u w:val="single"/>
        </w:rPr>
      </w:pPr>
      <w:r w:rsidRPr="006565BE">
        <w:rPr>
          <w:rFonts w:ascii="Calibri" w:eastAsia="Calibri" w:hAnsi="Calibri" w:cs="Calibri"/>
          <w:b/>
          <w:bCs/>
          <w:sz w:val="24"/>
          <w:szCs w:val="24"/>
          <w:u w:val="single"/>
        </w:rPr>
        <w:t xml:space="preserve">Ζήτηση – Παραγγελίες </w:t>
      </w:r>
    </w:p>
    <w:p w14:paraId="671F5B34" w14:textId="77777777" w:rsidR="00A9409B" w:rsidRPr="006565BE" w:rsidRDefault="00A9409B" w:rsidP="0000408A">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Η ζήτηση το πρώτο εξάμηνο του 2024 υπολείπεται σημαντικά ολόκληρου του 2023, με μόλις 1 στις 5 επιχειρήσεις (20,4%) να δηλώνει αύξηση της ζήτησης, έναντι περίπου των μισών επιχειρήσεων (45,7%) που δηλώνουν μείωση της ζήτησης.</w:t>
      </w:r>
    </w:p>
    <w:p w14:paraId="38FAC843" w14:textId="77777777" w:rsidR="00A9409B" w:rsidRPr="006565BE" w:rsidRDefault="00A9409B" w:rsidP="0000408A">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 xml:space="preserve">Το μεγαλύτερο ποσοστό μείωσης της ζήτησης εντοπίζεται στις επιχειρήσεις του εμπορίου (58,9%), έναντι μόλις 12,4% που δηλώνει αύξηση. </w:t>
      </w:r>
    </w:p>
    <w:p w14:paraId="11DD15D3" w14:textId="066DB6FD" w:rsidR="00A9409B" w:rsidRPr="006565BE" w:rsidRDefault="00A9409B" w:rsidP="0000408A">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Αντίστοιχα, συνολικά αρνητική φαίνεται να είναι και η εικόνα των παραγγελιών των επιχειρήσεων προς τους προμηθευτές τους.</w:t>
      </w:r>
    </w:p>
    <w:p w14:paraId="699B0C4D" w14:textId="77777777" w:rsidR="00A9409B" w:rsidRPr="006565BE" w:rsidRDefault="00A9409B" w:rsidP="0000408A">
      <w:pPr>
        <w:numPr>
          <w:ilvl w:val="0"/>
          <w:numId w:val="4"/>
        </w:numPr>
        <w:spacing w:before="120" w:after="120" w:line="360" w:lineRule="auto"/>
        <w:ind w:left="357" w:hanging="357"/>
        <w:contextualSpacing/>
        <w:jc w:val="both"/>
        <w:rPr>
          <w:rFonts w:eastAsia="Calibri" w:cstheme="minorHAnsi"/>
          <w:sz w:val="24"/>
          <w:szCs w:val="24"/>
        </w:rPr>
      </w:pPr>
      <w:r w:rsidRPr="006565BE">
        <w:rPr>
          <w:rFonts w:eastAsia="Calibri" w:cstheme="minorHAnsi"/>
          <w:sz w:val="24"/>
          <w:szCs w:val="24"/>
        </w:rPr>
        <w:t>Για το πρώτο εξάμηνο του 2024 καταγράφηκε αύξηση των παραγγελιών μόλις για το 17,2% των επιχειρήσεων και μείωση των παραγγελιών για το 47,3%.</w:t>
      </w:r>
    </w:p>
    <w:p w14:paraId="30A08CF5" w14:textId="445155B4" w:rsidR="004771F2" w:rsidRPr="00440C2A" w:rsidRDefault="004771F2" w:rsidP="00A01605">
      <w:pPr>
        <w:pStyle w:val="a3"/>
        <w:spacing w:after="0" w:line="360" w:lineRule="auto"/>
        <w:ind w:left="0"/>
        <w:rPr>
          <w:rFonts w:cstheme="minorHAnsi"/>
          <w:b/>
          <w:sz w:val="24"/>
          <w:szCs w:val="24"/>
          <w:u w:val="single"/>
        </w:rPr>
      </w:pPr>
      <w:r w:rsidRPr="00440C2A">
        <w:rPr>
          <w:rFonts w:cstheme="minorHAnsi"/>
          <w:b/>
          <w:sz w:val="24"/>
          <w:szCs w:val="24"/>
          <w:u w:val="single"/>
        </w:rPr>
        <w:t>Επενδύσεις</w:t>
      </w:r>
    </w:p>
    <w:p w14:paraId="7384CBE5" w14:textId="77777777" w:rsidR="0000408A" w:rsidRPr="006565BE" w:rsidRDefault="0000408A" w:rsidP="0000408A">
      <w:pPr>
        <w:pStyle w:val="a3"/>
        <w:numPr>
          <w:ilvl w:val="0"/>
          <w:numId w:val="4"/>
        </w:numPr>
        <w:spacing w:after="0" w:line="360" w:lineRule="auto"/>
        <w:jc w:val="both"/>
        <w:rPr>
          <w:rFonts w:eastAsia="Times New Roman" w:cstheme="minorHAnsi"/>
          <w:bCs/>
          <w:sz w:val="24"/>
          <w:szCs w:val="24"/>
        </w:rPr>
      </w:pPr>
      <w:r w:rsidRPr="006565BE">
        <w:rPr>
          <w:rFonts w:eastAsia="Times New Roman" w:cstheme="minorHAnsi"/>
          <w:bCs/>
          <w:sz w:val="24"/>
          <w:szCs w:val="24"/>
        </w:rPr>
        <w:t xml:space="preserve">Περισσότερες από 1 στις 3 μικρές και πολύ μικρές επιχειρήσεις (34,1%) πραγματοποίησε κάποιας μορφής επένδυση κατά το πρώτο εξάμηνο του 2024, διατηρώντας τον αριθμό των επιχειρήσεων που πραγματοποίησαν επενδύσεις σε υψηλά ποσοστά. </w:t>
      </w:r>
    </w:p>
    <w:p w14:paraId="488EFEEF" w14:textId="77777777" w:rsidR="0000408A" w:rsidRPr="006565BE" w:rsidRDefault="0000408A" w:rsidP="0000408A">
      <w:pPr>
        <w:pStyle w:val="a3"/>
        <w:numPr>
          <w:ilvl w:val="0"/>
          <w:numId w:val="4"/>
        </w:numPr>
        <w:spacing w:after="0" w:line="360" w:lineRule="auto"/>
        <w:ind w:left="357" w:hanging="357"/>
        <w:rPr>
          <w:rFonts w:eastAsia="Times New Roman" w:cstheme="minorHAnsi"/>
          <w:bCs/>
          <w:sz w:val="24"/>
          <w:szCs w:val="24"/>
        </w:rPr>
      </w:pPr>
      <w:r w:rsidRPr="006565BE">
        <w:rPr>
          <w:rFonts w:eastAsia="Times New Roman" w:cstheme="minorHAnsi"/>
          <w:bCs/>
          <w:sz w:val="24"/>
          <w:szCs w:val="24"/>
        </w:rPr>
        <w:t xml:space="preserve">Το 22,8% των επιχειρήσεων πραγματοποίησε επενδύσεις σε τεχνολογικό εξοπλισμό και ψηφιακές τεχνολογίες, το 12,8% επενδύσεις σε μηχανολογικό εξοπλισμό και λοιπά μηχανήματα, το 8,6% σε κτιριακές εγκαταστάσεις και λοιπό εξοπλισμό και το 6,7% σε κατάρτιση και εκπαίδευση προσωπικού, ποσοστά μειωμένα σε σχέση με το προηγούμενο κύμα της έρευνας.  </w:t>
      </w:r>
    </w:p>
    <w:p w14:paraId="220DEF96" w14:textId="20E31A8F" w:rsidR="0000408A" w:rsidRPr="006565BE" w:rsidRDefault="0000408A" w:rsidP="0000408A">
      <w:pPr>
        <w:pStyle w:val="a3"/>
        <w:numPr>
          <w:ilvl w:val="0"/>
          <w:numId w:val="4"/>
        </w:numPr>
        <w:spacing w:after="0" w:line="360" w:lineRule="auto"/>
        <w:jc w:val="both"/>
        <w:rPr>
          <w:rFonts w:eastAsia="Times New Roman" w:cstheme="minorHAnsi"/>
          <w:bCs/>
          <w:sz w:val="24"/>
          <w:szCs w:val="24"/>
        </w:rPr>
      </w:pPr>
      <w:r w:rsidRPr="006565BE">
        <w:rPr>
          <w:rFonts w:eastAsia="Times New Roman" w:cstheme="minorHAnsi"/>
          <w:bCs/>
          <w:sz w:val="24"/>
          <w:szCs w:val="24"/>
        </w:rPr>
        <w:lastRenderedPageBreak/>
        <w:t xml:space="preserve">Παρά το ότι ένα υψηλό ποσοστό επιχειρήσεων δήλωσε ότι έχει πραγματοποιήσει επενδύσεις, αυτές ήταν </w:t>
      </w:r>
      <w:r w:rsidR="006565BE" w:rsidRPr="006565BE">
        <w:rPr>
          <w:rFonts w:eastAsia="Times New Roman" w:cstheme="minorHAnsi"/>
          <w:bCs/>
          <w:sz w:val="24"/>
          <w:szCs w:val="24"/>
        </w:rPr>
        <w:t>μικρής κλίμακας</w:t>
      </w:r>
      <w:r w:rsidRPr="006565BE">
        <w:rPr>
          <w:rFonts w:eastAsia="Times New Roman" w:cstheme="minorHAnsi"/>
          <w:bCs/>
          <w:sz w:val="24"/>
          <w:szCs w:val="24"/>
        </w:rPr>
        <w:t>. Πάνω από τις μισές επιχειρήσεις (56,2%) που επένδυσαν, διέθεσαν κεφάλαια έως 5.000 €.</w:t>
      </w:r>
    </w:p>
    <w:p w14:paraId="0BAD180D" w14:textId="77777777" w:rsidR="0000408A" w:rsidRPr="006565BE" w:rsidRDefault="0000408A" w:rsidP="0000408A">
      <w:pPr>
        <w:pStyle w:val="a3"/>
        <w:numPr>
          <w:ilvl w:val="0"/>
          <w:numId w:val="4"/>
        </w:numPr>
        <w:spacing w:after="0" w:line="360" w:lineRule="auto"/>
        <w:jc w:val="both"/>
        <w:rPr>
          <w:rFonts w:eastAsia="Times New Roman" w:cstheme="minorHAnsi"/>
          <w:bCs/>
          <w:sz w:val="24"/>
          <w:szCs w:val="24"/>
        </w:rPr>
      </w:pPr>
      <w:r w:rsidRPr="006565BE">
        <w:rPr>
          <w:rFonts w:eastAsia="Times New Roman" w:cstheme="minorHAnsi"/>
          <w:bCs/>
          <w:sz w:val="24"/>
          <w:szCs w:val="24"/>
        </w:rPr>
        <w:t>Το ζήτημα της πρόσβασης σε χρηματοδότηση για επενδύσεις εξακολουθεί να είναι σοβαρό. Συγκεκριμένα, σχεδόν 9 στις 10 επιχειρήσεις (87,4%) που επένδυσαν, χρησιμοποίησαν δικά τους κεφάλαια. Το 5,8% κάλυψε τις επενδύσεις μέσω χρηματοδοτικών προγραμμάτων (ΕΣΠΑ), ενώ μόλις το 2,9% χρηματοδοτήθηκε μέσω τραπεζικού δανεισμού.</w:t>
      </w:r>
    </w:p>
    <w:p w14:paraId="7F51B892" w14:textId="77777777" w:rsidR="00A9409B" w:rsidRPr="00D1594E" w:rsidRDefault="00A9409B" w:rsidP="00A01605">
      <w:pPr>
        <w:pStyle w:val="a3"/>
        <w:spacing w:after="0" w:line="360" w:lineRule="auto"/>
        <w:ind w:left="0"/>
        <w:rPr>
          <w:rFonts w:cstheme="minorHAnsi"/>
          <w:b/>
          <w:sz w:val="24"/>
          <w:szCs w:val="24"/>
          <w:highlight w:val="yellow"/>
          <w:u w:val="single"/>
        </w:rPr>
      </w:pPr>
    </w:p>
    <w:p w14:paraId="7D71C935" w14:textId="77777777" w:rsidR="00A9409B" w:rsidRPr="00C35FA4" w:rsidRDefault="00A9409B" w:rsidP="00A9409B">
      <w:pPr>
        <w:spacing w:after="0" w:line="360" w:lineRule="auto"/>
        <w:contextualSpacing/>
        <w:jc w:val="both"/>
        <w:rPr>
          <w:rFonts w:ascii="Calibri" w:eastAsia="Times New Roman" w:hAnsi="Calibri" w:cs="Calibri"/>
          <w:b/>
          <w:sz w:val="24"/>
          <w:szCs w:val="24"/>
          <w:u w:val="single"/>
        </w:rPr>
      </w:pPr>
      <w:r w:rsidRPr="00C35FA4">
        <w:rPr>
          <w:rFonts w:ascii="Calibri" w:eastAsia="Times New Roman" w:hAnsi="Calibri" w:cs="Calibri"/>
          <w:b/>
          <w:sz w:val="24"/>
          <w:szCs w:val="24"/>
          <w:u w:val="single"/>
        </w:rPr>
        <w:t xml:space="preserve">Τιμές </w:t>
      </w:r>
    </w:p>
    <w:p w14:paraId="4ED55137" w14:textId="553D5769" w:rsidR="00A9409B" w:rsidRPr="004C3DCF" w:rsidRDefault="00440C2A" w:rsidP="004C3DCF">
      <w:pPr>
        <w:numPr>
          <w:ilvl w:val="0"/>
          <w:numId w:val="29"/>
        </w:numPr>
        <w:spacing w:after="0" w:line="360" w:lineRule="auto"/>
        <w:contextualSpacing/>
        <w:jc w:val="both"/>
        <w:rPr>
          <w:rFonts w:ascii="Calibri" w:eastAsia="Times New Roman" w:hAnsi="Calibri" w:cs="Calibri"/>
          <w:sz w:val="24"/>
          <w:szCs w:val="24"/>
        </w:rPr>
      </w:pPr>
      <w:r w:rsidRPr="004C3DCF">
        <w:rPr>
          <w:rFonts w:ascii="Calibri" w:eastAsia="Times New Roman" w:hAnsi="Calibri" w:cs="Calibri"/>
          <w:sz w:val="24"/>
          <w:szCs w:val="24"/>
        </w:rPr>
        <w:t>Περίπου</w:t>
      </w:r>
      <w:r w:rsidR="00A9409B" w:rsidRPr="004C3DCF">
        <w:rPr>
          <w:rFonts w:ascii="Calibri" w:eastAsia="Times New Roman" w:hAnsi="Calibri" w:cs="Calibri"/>
          <w:sz w:val="24"/>
          <w:szCs w:val="24"/>
        </w:rPr>
        <w:t xml:space="preserve"> 1 στις 3 επιχειρήσεις </w:t>
      </w:r>
      <w:r w:rsidRPr="004C3DCF">
        <w:rPr>
          <w:rFonts w:ascii="Calibri" w:eastAsia="Times New Roman" w:hAnsi="Calibri" w:cs="Calibri"/>
          <w:sz w:val="24"/>
          <w:szCs w:val="24"/>
        </w:rPr>
        <w:t>α</w:t>
      </w:r>
      <w:r w:rsidR="0036558B">
        <w:rPr>
          <w:rFonts w:ascii="Calibri" w:eastAsia="Times New Roman" w:hAnsi="Calibri" w:cs="Calibri"/>
          <w:sz w:val="24"/>
          <w:szCs w:val="24"/>
        </w:rPr>
        <w:t>ύ</w:t>
      </w:r>
      <w:r w:rsidRPr="004C3DCF">
        <w:rPr>
          <w:rFonts w:ascii="Calibri" w:eastAsia="Times New Roman" w:hAnsi="Calibri" w:cs="Calibri"/>
          <w:sz w:val="24"/>
          <w:szCs w:val="24"/>
        </w:rPr>
        <w:t xml:space="preserve">ξησε τις τιμές της το </w:t>
      </w:r>
      <w:proofErr w:type="spellStart"/>
      <w:r w:rsidRPr="004C3DCF">
        <w:rPr>
          <w:rFonts w:ascii="Calibri" w:eastAsia="Times New Roman" w:hAnsi="Calibri" w:cs="Calibri"/>
          <w:sz w:val="24"/>
          <w:szCs w:val="24"/>
        </w:rPr>
        <w:t>Α</w:t>
      </w:r>
      <w:r w:rsidR="0036558B">
        <w:rPr>
          <w:rFonts w:ascii="Calibri" w:eastAsia="Times New Roman" w:hAnsi="Calibri" w:cs="Calibri"/>
          <w:sz w:val="24"/>
          <w:szCs w:val="24"/>
        </w:rPr>
        <w:t>΄</w:t>
      </w:r>
      <w:r w:rsidRPr="004C3DCF">
        <w:rPr>
          <w:rFonts w:ascii="Calibri" w:eastAsia="Times New Roman" w:hAnsi="Calibri" w:cs="Calibri"/>
          <w:sz w:val="24"/>
          <w:szCs w:val="24"/>
        </w:rPr>
        <w:t>εξάμηνο</w:t>
      </w:r>
      <w:proofErr w:type="spellEnd"/>
      <w:r w:rsidRPr="004C3DCF">
        <w:rPr>
          <w:rFonts w:ascii="Calibri" w:eastAsia="Times New Roman" w:hAnsi="Calibri" w:cs="Calibri"/>
          <w:sz w:val="24"/>
          <w:szCs w:val="24"/>
        </w:rPr>
        <w:t xml:space="preserve"> του 2024</w:t>
      </w:r>
      <w:r w:rsidR="00A9409B" w:rsidRPr="004C3DCF">
        <w:rPr>
          <w:rFonts w:ascii="Calibri" w:eastAsia="Times New Roman" w:hAnsi="Calibri" w:cs="Calibri"/>
          <w:sz w:val="24"/>
          <w:szCs w:val="24"/>
        </w:rPr>
        <w:t>,</w:t>
      </w:r>
      <w:r w:rsidRPr="004C3DCF">
        <w:rPr>
          <w:rFonts w:ascii="Calibri" w:eastAsia="Times New Roman" w:hAnsi="Calibri" w:cs="Calibri"/>
          <w:sz w:val="24"/>
          <w:szCs w:val="24"/>
        </w:rPr>
        <w:t xml:space="preserve"> ποσοστό που βαίνει μειούμενο σε σύγκριση με τις προηγούμενες έρευνες. </w:t>
      </w:r>
      <w:r w:rsidR="00A9409B" w:rsidRPr="004C3DCF">
        <w:rPr>
          <w:rFonts w:ascii="Calibri" w:eastAsia="Times New Roman" w:hAnsi="Calibri" w:cs="Calibri"/>
          <w:sz w:val="24"/>
          <w:szCs w:val="24"/>
        </w:rPr>
        <w:t xml:space="preserve"> </w:t>
      </w:r>
    </w:p>
    <w:p w14:paraId="68997F93" w14:textId="77777777" w:rsidR="00A9409B" w:rsidRPr="004C3DCF" w:rsidRDefault="00A9409B" w:rsidP="00A9409B">
      <w:pPr>
        <w:numPr>
          <w:ilvl w:val="0"/>
          <w:numId w:val="29"/>
        </w:numPr>
        <w:spacing w:after="0" w:line="360" w:lineRule="auto"/>
        <w:contextualSpacing/>
        <w:jc w:val="both"/>
        <w:rPr>
          <w:rFonts w:ascii="Calibri" w:eastAsia="Times New Roman" w:hAnsi="Calibri" w:cs="Calibri"/>
          <w:sz w:val="24"/>
          <w:szCs w:val="24"/>
        </w:rPr>
      </w:pPr>
      <w:r w:rsidRPr="004C3DCF">
        <w:rPr>
          <w:rFonts w:ascii="Calibri" w:eastAsia="Times New Roman" w:hAnsi="Calibri" w:cs="Calibri"/>
          <w:sz w:val="24"/>
          <w:szCs w:val="24"/>
        </w:rPr>
        <w:t xml:space="preserve">Σε κλαδικό επίπεδο, το μεγαλύτερο ποσοστό επιχειρήσεων που δήλωσαν αύξηση τιμών είναι οι επιχειρήσεις του κλάδου του εμπορίου (37,1%), με τους κλάδους  της μεταποίησης – βιοτεχνίας και τον κλάδο των υπηρεσιών να ακολουθούν με μικρές διαφοροποιήσεις (31,3% και 30,1% αντίστοιχα). </w:t>
      </w:r>
    </w:p>
    <w:p w14:paraId="58D9EB69" w14:textId="77777777" w:rsidR="00A9409B" w:rsidRPr="004C3DCF" w:rsidRDefault="00A9409B" w:rsidP="00A9409B">
      <w:pPr>
        <w:numPr>
          <w:ilvl w:val="0"/>
          <w:numId w:val="29"/>
        </w:numPr>
        <w:spacing w:after="0" w:line="360" w:lineRule="auto"/>
        <w:contextualSpacing/>
        <w:jc w:val="both"/>
        <w:rPr>
          <w:rFonts w:ascii="Calibri" w:eastAsia="Times New Roman" w:hAnsi="Calibri" w:cs="Calibri"/>
          <w:sz w:val="24"/>
          <w:szCs w:val="24"/>
        </w:rPr>
      </w:pPr>
      <w:r w:rsidRPr="004C3DCF">
        <w:rPr>
          <w:rFonts w:ascii="Calibri" w:eastAsia="Times New Roman" w:hAnsi="Calibri" w:cs="Calibri"/>
          <w:sz w:val="24"/>
          <w:szCs w:val="24"/>
        </w:rPr>
        <w:t>Σε πολιτική αύξησης τιμών προσανατολίζονται κυρίως οι επιχειρήσεις με μεγαλύτερο κύκλο εργασιών (ετήσιος κύκλος εργασιών άνω των 100.000), από τις οποίες 1 στις 4 περίπου δηλώνει πρόθεση αύξησης, έναντι 1 στις 5 μικρότερου κύκλου εργασιών (ετήσιος κύκλος εργασιών μικρότερος των 100.000€).</w:t>
      </w:r>
    </w:p>
    <w:p w14:paraId="3B28F582" w14:textId="7834636C" w:rsidR="00A9409B" w:rsidRPr="004C3DCF" w:rsidRDefault="00A9409B" w:rsidP="00A9409B">
      <w:pPr>
        <w:numPr>
          <w:ilvl w:val="0"/>
          <w:numId w:val="29"/>
        </w:numPr>
        <w:spacing w:after="0" w:line="360" w:lineRule="auto"/>
        <w:contextualSpacing/>
        <w:jc w:val="both"/>
        <w:rPr>
          <w:rFonts w:ascii="Calibri" w:eastAsia="Times New Roman" w:hAnsi="Calibri" w:cs="Calibri"/>
          <w:sz w:val="24"/>
          <w:szCs w:val="24"/>
        </w:rPr>
      </w:pPr>
      <w:r w:rsidRPr="004C3DCF">
        <w:rPr>
          <w:rFonts w:ascii="Calibri" w:eastAsia="Times New Roman" w:hAnsi="Calibri" w:cs="Calibri"/>
          <w:sz w:val="24"/>
          <w:szCs w:val="24"/>
        </w:rPr>
        <w:t>Αντίστοιχη είναι η εικόνα ανάλογα και με το μέγεθος της επιχείρησης, με τις μικρότερες σε μέγεθος επιχειρήσεις να φαίνεται να καταβάλ</w:t>
      </w:r>
      <w:r w:rsidR="005A43D5">
        <w:rPr>
          <w:rFonts w:ascii="Calibri" w:eastAsia="Times New Roman" w:hAnsi="Calibri" w:cs="Calibri"/>
          <w:sz w:val="24"/>
          <w:szCs w:val="24"/>
        </w:rPr>
        <w:t>λ</w:t>
      </w:r>
      <w:r w:rsidRPr="004C3DCF">
        <w:rPr>
          <w:rFonts w:ascii="Calibri" w:eastAsia="Times New Roman" w:hAnsi="Calibri" w:cs="Calibri"/>
          <w:sz w:val="24"/>
          <w:szCs w:val="24"/>
        </w:rPr>
        <w:t>ουν προσπάθειες σε μεγαλύτερο βαθμό όχι μόνο να διατηρήσουν αμετάβλητες τις τιμές τους, αλλά και να τις μειώσουν.</w:t>
      </w:r>
    </w:p>
    <w:p w14:paraId="23F5F8F3" w14:textId="093469E4" w:rsidR="00A9409B" w:rsidRPr="004C3DCF" w:rsidRDefault="00A9409B" w:rsidP="004C3DCF">
      <w:pPr>
        <w:spacing w:after="0" w:line="360" w:lineRule="auto"/>
        <w:contextualSpacing/>
        <w:jc w:val="both"/>
        <w:rPr>
          <w:rFonts w:ascii="Calibri" w:eastAsia="Times New Roman" w:hAnsi="Calibri" w:cs="Calibri"/>
          <w:b/>
          <w:bCs/>
          <w:sz w:val="24"/>
          <w:szCs w:val="24"/>
          <w:u w:val="single"/>
        </w:rPr>
      </w:pPr>
      <w:r w:rsidRPr="004C3DCF">
        <w:rPr>
          <w:rFonts w:ascii="Calibri" w:eastAsia="Times New Roman" w:hAnsi="Calibri" w:cs="Calibri"/>
          <w:b/>
          <w:bCs/>
          <w:sz w:val="24"/>
          <w:szCs w:val="24"/>
          <w:u w:val="single"/>
        </w:rPr>
        <w:t>Επιπτώσεις ανατιμήσεων – Αύξηση λειτουργικού κόστους</w:t>
      </w:r>
    </w:p>
    <w:p w14:paraId="2E5C48B6" w14:textId="77777777" w:rsidR="00A9409B" w:rsidRPr="004C3DCF" w:rsidRDefault="00A9409B" w:rsidP="00A9409B">
      <w:pPr>
        <w:numPr>
          <w:ilvl w:val="0"/>
          <w:numId w:val="30"/>
        </w:numPr>
        <w:spacing w:after="0" w:line="360" w:lineRule="auto"/>
        <w:contextualSpacing/>
        <w:jc w:val="both"/>
        <w:rPr>
          <w:rFonts w:ascii="Calibri" w:eastAsia="Times New Roman" w:hAnsi="Calibri" w:cs="Calibri"/>
          <w:sz w:val="24"/>
          <w:szCs w:val="24"/>
        </w:rPr>
      </w:pPr>
      <w:r w:rsidRPr="004C3DCF">
        <w:rPr>
          <w:rFonts w:ascii="Calibri" w:eastAsia="Times New Roman" w:hAnsi="Calibri" w:cs="Calibri"/>
          <w:sz w:val="24"/>
          <w:szCs w:val="24"/>
        </w:rPr>
        <w:t>Ως προς το κόστος λειτουργίας, σχεδόν 9 στις 10 επιχειρήσεις (89,8%) δήλωσαν ότι το κόστος λειτουργίας τους αυξήθηκε.</w:t>
      </w:r>
    </w:p>
    <w:p w14:paraId="255E3E11" w14:textId="77777777" w:rsidR="00A9409B" w:rsidRPr="004C3DCF" w:rsidRDefault="00A9409B" w:rsidP="00A9409B">
      <w:pPr>
        <w:numPr>
          <w:ilvl w:val="0"/>
          <w:numId w:val="30"/>
        </w:numPr>
        <w:spacing w:after="0" w:line="360" w:lineRule="auto"/>
        <w:contextualSpacing/>
        <w:jc w:val="both"/>
        <w:rPr>
          <w:rFonts w:ascii="Calibri" w:eastAsia="Times New Roman" w:hAnsi="Calibri" w:cs="Calibri"/>
          <w:sz w:val="24"/>
          <w:szCs w:val="24"/>
        </w:rPr>
      </w:pPr>
      <w:r w:rsidRPr="004C3DCF">
        <w:rPr>
          <w:rFonts w:ascii="Calibri" w:eastAsia="Times New Roman" w:hAnsi="Calibri" w:cs="Calibri"/>
          <w:sz w:val="24"/>
          <w:szCs w:val="24"/>
        </w:rPr>
        <w:t>Για την πλειονότητα των επιχειρήσεων (47,6%), η αύξηση του λειτουργικού κόστους κυμαίνεται μεταξύ 11%-30%.</w:t>
      </w:r>
    </w:p>
    <w:p w14:paraId="1F00FC91" w14:textId="0D234A67" w:rsidR="004C3DCF" w:rsidRDefault="004C3DCF" w:rsidP="004C3DCF">
      <w:pPr>
        <w:pStyle w:val="a3"/>
        <w:numPr>
          <w:ilvl w:val="0"/>
          <w:numId w:val="30"/>
        </w:numPr>
        <w:spacing w:after="0" w:line="360" w:lineRule="auto"/>
        <w:jc w:val="both"/>
        <w:rPr>
          <w:sz w:val="24"/>
          <w:szCs w:val="24"/>
        </w:rPr>
      </w:pPr>
      <w:proofErr w:type="spellStart"/>
      <w:r w:rsidRPr="004C3DCF">
        <w:rPr>
          <w:sz w:val="24"/>
          <w:szCs w:val="24"/>
        </w:rPr>
        <w:t>Μεσοσταθμικά</w:t>
      </w:r>
      <w:proofErr w:type="spellEnd"/>
      <w:r w:rsidR="004F24E5">
        <w:rPr>
          <w:sz w:val="24"/>
          <w:szCs w:val="24"/>
        </w:rPr>
        <w:t>,</w:t>
      </w:r>
      <w:r w:rsidRPr="004C3DCF">
        <w:rPr>
          <w:sz w:val="24"/>
          <w:szCs w:val="24"/>
        </w:rPr>
        <w:t xml:space="preserve"> το κόστος λειτουργίας των μικρών και πολύ μικρών επιχειρήσεων αυξήθηκε από την έναρξη της ενεργειακής κρίσης κατά 37,4%. </w:t>
      </w:r>
    </w:p>
    <w:p w14:paraId="2B51ECE2" w14:textId="44CA468A" w:rsidR="004C3DCF" w:rsidRPr="004C3DCF" w:rsidRDefault="004C3DCF" w:rsidP="004C3DCF">
      <w:pPr>
        <w:pStyle w:val="a3"/>
        <w:numPr>
          <w:ilvl w:val="0"/>
          <w:numId w:val="30"/>
        </w:numPr>
        <w:spacing w:after="0" w:line="360" w:lineRule="auto"/>
        <w:jc w:val="both"/>
        <w:rPr>
          <w:sz w:val="24"/>
          <w:szCs w:val="24"/>
        </w:rPr>
      </w:pPr>
      <w:r w:rsidRPr="004C3DCF">
        <w:rPr>
          <w:sz w:val="24"/>
          <w:szCs w:val="24"/>
        </w:rPr>
        <w:t xml:space="preserve">Τομεακά, το λειτουργικό κόστος των εμπορικών επιχειρήσεων αυξήθηκε </w:t>
      </w:r>
      <w:proofErr w:type="spellStart"/>
      <w:r w:rsidRPr="004C3DCF">
        <w:rPr>
          <w:sz w:val="24"/>
          <w:szCs w:val="24"/>
        </w:rPr>
        <w:t>μεσοσταθμικά</w:t>
      </w:r>
      <w:proofErr w:type="spellEnd"/>
      <w:r w:rsidRPr="004C3DCF">
        <w:rPr>
          <w:sz w:val="24"/>
          <w:szCs w:val="24"/>
        </w:rPr>
        <w:t xml:space="preserve"> κατά 34%, στη μεταποίηση κατά 44,1% και στις υπηρεσίες κατά 36,4%. </w:t>
      </w:r>
    </w:p>
    <w:p w14:paraId="2D29E8C2" w14:textId="1DEA19CD" w:rsidR="004C3DCF" w:rsidRDefault="004C3DCF" w:rsidP="00A01605">
      <w:pPr>
        <w:pStyle w:val="a3"/>
        <w:spacing w:after="0" w:line="360" w:lineRule="auto"/>
        <w:ind w:left="0"/>
        <w:jc w:val="both"/>
        <w:rPr>
          <w:rFonts w:cstheme="minorHAnsi"/>
          <w:b/>
          <w:sz w:val="24"/>
          <w:szCs w:val="24"/>
          <w:highlight w:val="yellow"/>
          <w:u w:val="single"/>
        </w:rPr>
      </w:pPr>
    </w:p>
    <w:p w14:paraId="38EC92C8" w14:textId="77777777" w:rsidR="004F24E5" w:rsidRDefault="004F24E5" w:rsidP="00A01605">
      <w:pPr>
        <w:pStyle w:val="a3"/>
        <w:spacing w:after="0" w:line="360" w:lineRule="auto"/>
        <w:ind w:left="0"/>
        <w:jc w:val="both"/>
        <w:rPr>
          <w:rFonts w:cstheme="minorHAnsi"/>
          <w:b/>
          <w:sz w:val="24"/>
          <w:szCs w:val="24"/>
          <w:highlight w:val="yellow"/>
          <w:u w:val="single"/>
        </w:rPr>
      </w:pPr>
    </w:p>
    <w:p w14:paraId="3EA1DC5F" w14:textId="03E617C1" w:rsidR="004771F2" w:rsidRPr="00267216" w:rsidRDefault="004771F2" w:rsidP="00A01605">
      <w:pPr>
        <w:pStyle w:val="a3"/>
        <w:spacing w:after="0" w:line="360" w:lineRule="auto"/>
        <w:ind w:left="0"/>
        <w:jc w:val="both"/>
        <w:rPr>
          <w:rFonts w:cstheme="minorHAnsi"/>
          <w:b/>
          <w:sz w:val="24"/>
          <w:szCs w:val="24"/>
          <w:u w:val="single"/>
        </w:rPr>
      </w:pPr>
      <w:r w:rsidRPr="00267216">
        <w:rPr>
          <w:rFonts w:cstheme="minorHAnsi"/>
          <w:b/>
          <w:sz w:val="24"/>
          <w:szCs w:val="24"/>
          <w:u w:val="single"/>
        </w:rPr>
        <w:t xml:space="preserve">Υποχρεώσεις-οφειλές </w:t>
      </w:r>
    </w:p>
    <w:p w14:paraId="5A0880E8" w14:textId="1F15E915" w:rsidR="00C44611" w:rsidRPr="004C3DCF" w:rsidRDefault="00C44611" w:rsidP="00C44611">
      <w:pPr>
        <w:pStyle w:val="a3"/>
        <w:numPr>
          <w:ilvl w:val="0"/>
          <w:numId w:val="10"/>
        </w:numPr>
        <w:spacing w:after="0" w:line="360" w:lineRule="auto"/>
        <w:jc w:val="both"/>
        <w:rPr>
          <w:rFonts w:ascii="Calibri" w:eastAsia="Times New Roman" w:hAnsi="Calibri" w:cs="Calibri"/>
          <w:sz w:val="24"/>
          <w:szCs w:val="24"/>
        </w:rPr>
      </w:pPr>
      <w:r w:rsidRPr="004C3DCF">
        <w:rPr>
          <w:rFonts w:ascii="Calibri" w:eastAsia="Times New Roman" w:hAnsi="Calibri" w:cs="Calibri"/>
          <w:sz w:val="24"/>
          <w:szCs w:val="24"/>
        </w:rPr>
        <w:t xml:space="preserve">Η κατάσταση σχετικά με τα ποσοστά μικρών και πολύ μικρών επιχειρήσεων με καθυστερημένες οφειλές παρουσιάζει ελαφρά βελτίωση. Ωστόσο, το ποσοστό των επιχειρήσεων που δυσκολεύονται να καλύψουν τις υποχρεώσεις τους παραμένει ιδιαίτερα υψηλό, με το 29% να έχει τουλάχιστον μία ληξιπρόθεσμη οφειλή, </w:t>
      </w:r>
      <w:r w:rsidR="00EE5B83">
        <w:rPr>
          <w:rFonts w:ascii="Calibri" w:eastAsia="Times New Roman" w:hAnsi="Calibri" w:cs="Calibri"/>
          <w:sz w:val="24"/>
          <w:szCs w:val="24"/>
        </w:rPr>
        <w:t xml:space="preserve">παρουσιάζοντας </w:t>
      </w:r>
      <w:r w:rsidRPr="004C3DCF">
        <w:rPr>
          <w:rFonts w:ascii="Calibri" w:eastAsia="Times New Roman" w:hAnsi="Calibri" w:cs="Calibri"/>
          <w:sz w:val="24"/>
          <w:szCs w:val="24"/>
        </w:rPr>
        <w:t>μια μικρή μείωση σε σχέση με το προηγούμενο ποσοστό του 30,6%.</w:t>
      </w:r>
    </w:p>
    <w:p w14:paraId="13463427" w14:textId="77777777" w:rsidR="00C44611" w:rsidRPr="004C3DCF" w:rsidRDefault="00C44611" w:rsidP="00C44611">
      <w:pPr>
        <w:pStyle w:val="a3"/>
        <w:numPr>
          <w:ilvl w:val="0"/>
          <w:numId w:val="10"/>
        </w:numPr>
        <w:spacing w:after="0" w:line="360" w:lineRule="auto"/>
        <w:jc w:val="both"/>
        <w:rPr>
          <w:rFonts w:ascii="Calibri" w:eastAsia="Times New Roman" w:hAnsi="Calibri" w:cs="Calibri"/>
          <w:sz w:val="24"/>
          <w:szCs w:val="24"/>
        </w:rPr>
      </w:pPr>
      <w:r w:rsidRPr="004C3DCF">
        <w:rPr>
          <w:rFonts w:ascii="Calibri" w:eastAsia="Times New Roman" w:hAnsi="Calibri" w:cs="Calibri"/>
          <w:sz w:val="24"/>
          <w:szCs w:val="24"/>
        </w:rPr>
        <w:t>Οι μικρές και πολύ μικρές επιχειρήσεις με 3 ή περισσότερες ληξιπρόθεσμες οφειλές παραμένουν σταθερές στο 10,1%. Υπάρχει μικρή μείωση στο ποσοστό των επιχειρήσεων με 2 καθυστερημένες οφειλές (7,1% σε σύγκριση με 7,4% το προηγούμενο εξάμηνο) και βελτίωση στο ποσοστό των επιχειρήσεων με 1 ληξιπρόθεσμη οφειλή (11,8% έναντι 13,1% το προηγούμενο εξάμηνο).</w:t>
      </w:r>
    </w:p>
    <w:p w14:paraId="074B76EA" w14:textId="77777777" w:rsidR="00C44611" w:rsidRPr="004C3DCF" w:rsidRDefault="00C44611" w:rsidP="00C44611">
      <w:pPr>
        <w:pStyle w:val="a3"/>
        <w:numPr>
          <w:ilvl w:val="0"/>
          <w:numId w:val="10"/>
        </w:numPr>
        <w:spacing w:after="0" w:line="360" w:lineRule="auto"/>
        <w:jc w:val="both"/>
        <w:rPr>
          <w:rFonts w:ascii="Calibri" w:eastAsia="Times New Roman" w:hAnsi="Calibri" w:cs="Calibri"/>
          <w:sz w:val="24"/>
          <w:szCs w:val="24"/>
        </w:rPr>
      </w:pPr>
      <w:r w:rsidRPr="004C3DCF">
        <w:rPr>
          <w:rFonts w:ascii="Calibri" w:eastAsia="Times New Roman" w:hAnsi="Calibri" w:cs="Calibri"/>
          <w:sz w:val="24"/>
          <w:szCs w:val="24"/>
        </w:rPr>
        <w:t>Οι επιχειρήσεις εστίασης φαίνεται να αντιμετωπίζουν σοβαρά προβλήματα υπερχρέωσης, με το 21,4% να έχει τρεις ή περισσότερες ληξιπρόθεσμες οφειλές, ενώ το 38,6% έχει τουλάχιστον μία ληξιπρόθεσμη οφειλή. Επίσης, σημαντικά προβλήματα υπερχρέωσης αντιμετωπίζουν οι επιχειρήσεις χωρίς προσωπικό (38%) και όσες έχουν ετήσιο κύκλο εργασιών έως 50.000 € (37,5%).</w:t>
      </w:r>
    </w:p>
    <w:p w14:paraId="751DB211" w14:textId="77777777" w:rsidR="00C44611" w:rsidRPr="004C3DCF" w:rsidRDefault="00C44611" w:rsidP="00C44611">
      <w:pPr>
        <w:pStyle w:val="a3"/>
        <w:numPr>
          <w:ilvl w:val="0"/>
          <w:numId w:val="10"/>
        </w:numPr>
        <w:spacing w:after="0" w:line="360" w:lineRule="auto"/>
        <w:jc w:val="both"/>
        <w:rPr>
          <w:rFonts w:ascii="Calibri" w:eastAsia="Times New Roman" w:hAnsi="Calibri" w:cs="Calibri"/>
          <w:sz w:val="24"/>
          <w:szCs w:val="24"/>
        </w:rPr>
      </w:pPr>
      <w:r w:rsidRPr="004C3DCF">
        <w:rPr>
          <w:rFonts w:ascii="Calibri" w:eastAsia="Times New Roman" w:hAnsi="Calibri" w:cs="Calibri"/>
          <w:sz w:val="24"/>
          <w:szCs w:val="24"/>
        </w:rPr>
        <w:t>Τα υψηλότερα ποσοστά των υποχρεώσεων των επιχειρήσεων με καθυστερημένες οφειλές εντοπίζονται να είναι προς τον πρώην ΟΑΕΕ (13,9%), την εφορία (12,7%) και τους προμηθευτές (11,8%). Ωστόσο, η πρόβλεψη αυτών των επιχειρήσεων για τη δυνατότητα αποπληρωμής των υποχρεώσεών τους αφορά τις υποχρεώσεις ενοικίου, σε ποσοστό 12,5%.</w:t>
      </w:r>
    </w:p>
    <w:p w14:paraId="0F4525D2" w14:textId="77777777" w:rsidR="00C44611" w:rsidRPr="004C3DCF" w:rsidRDefault="00C44611" w:rsidP="00C44611">
      <w:pPr>
        <w:pStyle w:val="a3"/>
        <w:numPr>
          <w:ilvl w:val="0"/>
          <w:numId w:val="10"/>
        </w:numPr>
        <w:spacing w:after="0" w:line="360" w:lineRule="auto"/>
        <w:jc w:val="both"/>
        <w:rPr>
          <w:rFonts w:ascii="Calibri" w:eastAsia="Times New Roman" w:hAnsi="Calibri" w:cs="Calibri"/>
          <w:sz w:val="24"/>
          <w:szCs w:val="24"/>
        </w:rPr>
      </w:pPr>
      <w:r w:rsidRPr="004C3DCF">
        <w:rPr>
          <w:rFonts w:ascii="Calibri" w:eastAsia="Times New Roman" w:hAnsi="Calibri" w:cs="Calibri"/>
          <w:sz w:val="24"/>
          <w:szCs w:val="24"/>
        </w:rPr>
        <w:t>Το 43,1% των οφειλετών συγκεντρώνονται  στην χαμηλότερη κατηγορία με οφειλές ως 10.000€. Στην υψηλότερη κατηγορία ανήκει το 7,9% των επιχειρήσεων, με οφειλές άνω των 100.000 €.</w:t>
      </w:r>
    </w:p>
    <w:p w14:paraId="3A07D87A" w14:textId="77777777" w:rsidR="00C44611" w:rsidRPr="00D1594E" w:rsidRDefault="00C44611" w:rsidP="00A01605">
      <w:pPr>
        <w:pStyle w:val="a3"/>
        <w:spacing w:after="0" w:line="360" w:lineRule="auto"/>
        <w:ind w:left="0"/>
        <w:jc w:val="both"/>
        <w:rPr>
          <w:rFonts w:cstheme="minorHAnsi"/>
          <w:b/>
          <w:sz w:val="24"/>
          <w:szCs w:val="24"/>
          <w:highlight w:val="yellow"/>
          <w:u w:val="single"/>
        </w:rPr>
      </w:pPr>
    </w:p>
    <w:p w14:paraId="550D8F33" w14:textId="77777777" w:rsidR="00A9409B" w:rsidRPr="004C3DCF" w:rsidRDefault="00A9409B" w:rsidP="00A9409B">
      <w:pPr>
        <w:spacing w:after="0" w:line="360" w:lineRule="auto"/>
        <w:contextualSpacing/>
        <w:jc w:val="both"/>
        <w:rPr>
          <w:rFonts w:ascii="Calibri" w:eastAsia="Times New Roman" w:hAnsi="Calibri" w:cs="Calibri"/>
          <w:sz w:val="24"/>
          <w:szCs w:val="24"/>
          <w:u w:val="single"/>
        </w:rPr>
      </w:pPr>
      <w:r w:rsidRPr="004C3DCF">
        <w:rPr>
          <w:rFonts w:ascii="Calibri" w:eastAsia="Times New Roman" w:hAnsi="Calibri" w:cs="Calibri"/>
          <w:b/>
          <w:bCs/>
          <w:sz w:val="24"/>
          <w:szCs w:val="24"/>
          <w:u w:val="single"/>
        </w:rPr>
        <w:t xml:space="preserve">Δείκτες αβεβαιότητας και βιωσιμότητας </w:t>
      </w:r>
    </w:p>
    <w:p w14:paraId="043B74E4" w14:textId="77777777" w:rsidR="00A9409B" w:rsidRPr="004C3DCF" w:rsidRDefault="00A9409B" w:rsidP="004C3DCF">
      <w:pPr>
        <w:numPr>
          <w:ilvl w:val="0"/>
          <w:numId w:val="31"/>
        </w:numPr>
        <w:spacing w:after="0" w:line="360" w:lineRule="auto"/>
        <w:ind w:left="360"/>
        <w:contextualSpacing/>
        <w:jc w:val="both"/>
        <w:rPr>
          <w:rFonts w:ascii="Calibri" w:eastAsia="Times New Roman" w:hAnsi="Calibri" w:cs="Calibri"/>
          <w:sz w:val="24"/>
          <w:szCs w:val="24"/>
        </w:rPr>
      </w:pPr>
      <w:r w:rsidRPr="004C3DCF">
        <w:rPr>
          <w:rFonts w:ascii="Calibri" w:eastAsia="Times New Roman" w:hAnsi="Calibri" w:cs="Calibri"/>
          <w:sz w:val="24"/>
          <w:szCs w:val="24"/>
        </w:rPr>
        <w:t>Η απαισιοδοξία στις μικρές και πολύ μικρές επιχειρήσεις σχετικά με τη μελλοντική τους βιωσιμότητα ενισχύθηκε οριακά, καθώς ο δείκτης αβεβαιότητας</w:t>
      </w:r>
      <w:r w:rsidRPr="004C3DCF">
        <w:rPr>
          <w:rFonts w:ascii="Calibri" w:eastAsia="Times New Roman" w:hAnsi="Calibri" w:cs="Calibri"/>
          <w:sz w:val="24"/>
          <w:szCs w:val="24"/>
          <w:vertAlign w:val="superscript"/>
        </w:rPr>
        <w:t xml:space="preserve"> </w:t>
      </w:r>
      <w:r w:rsidRPr="004C3DCF">
        <w:rPr>
          <w:rFonts w:ascii="Calibri" w:eastAsia="Times New Roman" w:hAnsi="Calibri" w:cs="Calibri"/>
          <w:sz w:val="24"/>
          <w:szCs w:val="24"/>
        </w:rPr>
        <w:t>ανήλθε στις 36,6 μονάδες, καταγράφοντας αύξηση 0,9 μονάδων σε σχέση με το προηγούμενο εξάμηνο.</w:t>
      </w:r>
    </w:p>
    <w:p w14:paraId="3542668A" w14:textId="77777777" w:rsidR="00A9409B" w:rsidRPr="004C3DCF" w:rsidRDefault="00A9409B" w:rsidP="004C3DCF">
      <w:pPr>
        <w:numPr>
          <w:ilvl w:val="0"/>
          <w:numId w:val="31"/>
        </w:numPr>
        <w:spacing w:after="0" w:line="360" w:lineRule="auto"/>
        <w:ind w:left="360"/>
        <w:contextualSpacing/>
        <w:jc w:val="both"/>
        <w:rPr>
          <w:rFonts w:ascii="Calibri" w:eastAsia="Times New Roman" w:hAnsi="Calibri" w:cs="Calibri"/>
          <w:sz w:val="24"/>
          <w:szCs w:val="24"/>
        </w:rPr>
      </w:pPr>
      <w:r w:rsidRPr="004C3DCF">
        <w:rPr>
          <w:rFonts w:ascii="Calibri" w:eastAsia="Times New Roman" w:hAnsi="Calibri" w:cs="Calibri"/>
          <w:sz w:val="24"/>
          <w:szCs w:val="24"/>
        </w:rPr>
        <w:t xml:space="preserve">Αντίστοιχα, ελαφρά ενισχυμένη είναι η απαισιοδοξία και ως προς τον δείκτη βιωσιμότητας, καθώς το 3,2% των επιχειρήσεων εκφράζει τον φόβο για διακοπή της δραστηριότητάς του το αμέσως επόμενο χρονικό διάστημα, έναντι του 2,2% που ήταν τον Φεβρουάριο του 2024. </w:t>
      </w:r>
    </w:p>
    <w:p w14:paraId="5E336527" w14:textId="7CA6BD1C" w:rsidR="00A01605" w:rsidRPr="004C3DCF" w:rsidRDefault="00A9409B" w:rsidP="004C3DCF">
      <w:pPr>
        <w:numPr>
          <w:ilvl w:val="0"/>
          <w:numId w:val="32"/>
        </w:numPr>
        <w:spacing w:after="0" w:line="360" w:lineRule="auto"/>
        <w:ind w:left="354" w:hanging="357"/>
        <w:contextualSpacing/>
        <w:jc w:val="both"/>
        <w:rPr>
          <w:rFonts w:ascii="Calibri" w:eastAsia="Times New Roman" w:hAnsi="Calibri" w:cs="Calibri"/>
          <w:sz w:val="24"/>
          <w:szCs w:val="24"/>
        </w:rPr>
      </w:pPr>
      <w:r w:rsidRPr="004C3DCF">
        <w:rPr>
          <w:rFonts w:ascii="Calibri" w:eastAsia="Times New Roman" w:hAnsi="Calibri" w:cs="Calibri"/>
          <w:sz w:val="24"/>
          <w:szCs w:val="24"/>
        </w:rPr>
        <w:t xml:space="preserve">Σκιαγραφώντας το προφίλ των επιχειρήσεων που αντιμετωπίζουν τις σοβαρότερες δυσκολίες και κινδυνεύουν άμεσα με λουκέτο, αυτές είναι οι επιχειρήσεις με καθυστερημένες υποχρεώσεις, ιδίως </w:t>
      </w:r>
      <w:r w:rsidRPr="004C3DCF">
        <w:rPr>
          <w:rFonts w:ascii="Calibri" w:eastAsia="Times New Roman" w:hAnsi="Calibri" w:cs="Calibri"/>
          <w:sz w:val="24"/>
          <w:szCs w:val="24"/>
        </w:rPr>
        <w:lastRenderedPageBreak/>
        <w:t>εκείνες που είναι υπερχρεωμένες προς το Δημόσιο, οι επιχειρήσεις χωρίς προσωπικό</w:t>
      </w:r>
      <w:r w:rsidR="004C3DCF" w:rsidRPr="004C3DCF">
        <w:rPr>
          <w:rFonts w:ascii="Calibri" w:eastAsia="Times New Roman" w:hAnsi="Calibri" w:cs="Calibri"/>
          <w:sz w:val="24"/>
          <w:szCs w:val="24"/>
        </w:rPr>
        <w:t xml:space="preserve">, </w:t>
      </w:r>
      <w:r w:rsidRPr="004C3DCF">
        <w:rPr>
          <w:rFonts w:ascii="Calibri" w:eastAsia="Times New Roman" w:hAnsi="Calibri" w:cs="Calibri"/>
          <w:sz w:val="24"/>
          <w:szCs w:val="24"/>
        </w:rPr>
        <w:t>οι επιχειρήσεις με κύκλο εργασιών έως 50.000 €</w:t>
      </w:r>
      <w:r w:rsidR="004C3DCF" w:rsidRPr="004C3DCF">
        <w:rPr>
          <w:rFonts w:ascii="Calibri" w:eastAsia="Times New Roman" w:hAnsi="Calibri" w:cs="Calibri"/>
          <w:sz w:val="24"/>
          <w:szCs w:val="24"/>
        </w:rPr>
        <w:t xml:space="preserve"> </w:t>
      </w:r>
      <w:r w:rsidRPr="004C3DCF">
        <w:rPr>
          <w:rFonts w:ascii="Calibri" w:eastAsia="Times New Roman" w:hAnsi="Calibri" w:cs="Calibri"/>
          <w:sz w:val="24"/>
          <w:szCs w:val="24"/>
        </w:rPr>
        <w:t xml:space="preserve">και οι ατομικές επιχειρήσεις. </w:t>
      </w:r>
    </w:p>
    <w:p w14:paraId="7A9A37AB" w14:textId="77777777" w:rsidR="00A01605" w:rsidRDefault="00A01605" w:rsidP="00700BFC">
      <w:pPr>
        <w:spacing w:after="0" w:line="360" w:lineRule="auto"/>
        <w:jc w:val="both"/>
        <w:rPr>
          <w:rFonts w:eastAsia="Times New Roman" w:cstheme="minorHAnsi"/>
          <w:b/>
          <w:color w:val="1F497D" w:themeColor="text2"/>
          <w:sz w:val="32"/>
          <w:szCs w:val="32"/>
          <w:highlight w:val="yellow"/>
          <w:u w:val="single"/>
        </w:rPr>
      </w:pPr>
    </w:p>
    <w:p w14:paraId="2ABDCE13" w14:textId="77777777" w:rsidR="004C3DCF" w:rsidRPr="00D1594E" w:rsidRDefault="004C3DCF" w:rsidP="00700BFC">
      <w:pPr>
        <w:spacing w:after="0" w:line="360" w:lineRule="auto"/>
        <w:jc w:val="both"/>
        <w:rPr>
          <w:rFonts w:eastAsia="Times New Roman" w:cstheme="minorHAnsi"/>
          <w:b/>
          <w:color w:val="1F497D" w:themeColor="text2"/>
          <w:sz w:val="32"/>
          <w:szCs w:val="32"/>
          <w:highlight w:val="yellow"/>
          <w:u w:val="single"/>
        </w:rPr>
      </w:pPr>
    </w:p>
    <w:p w14:paraId="05B56BA2" w14:textId="09569542" w:rsidR="001B2706" w:rsidRPr="006C5E6F" w:rsidRDefault="00327B49" w:rsidP="00700BFC">
      <w:pPr>
        <w:spacing w:after="0" w:line="360" w:lineRule="auto"/>
        <w:jc w:val="both"/>
        <w:rPr>
          <w:rFonts w:eastAsia="Times New Roman" w:cstheme="minorHAnsi"/>
          <w:b/>
          <w:color w:val="1F497D" w:themeColor="text2"/>
          <w:sz w:val="32"/>
          <w:szCs w:val="32"/>
          <w:u w:val="single"/>
        </w:rPr>
      </w:pPr>
      <w:r w:rsidRPr="006C5E6F">
        <w:rPr>
          <w:rFonts w:eastAsia="Times New Roman" w:cstheme="minorHAnsi"/>
          <w:b/>
          <w:color w:val="1F497D" w:themeColor="text2"/>
          <w:sz w:val="32"/>
          <w:szCs w:val="32"/>
          <w:u w:val="single"/>
        </w:rPr>
        <w:t xml:space="preserve">ΑΝΑΛΥΤΙΚΗ ΠΑΡΟΥΣΙΑΣΗ - ΑΠΟΤΕΛΕΣΜΑΤΑ ΕΡΕΥΝΑΣ </w:t>
      </w:r>
    </w:p>
    <w:p w14:paraId="1BEECEB1" w14:textId="77777777" w:rsidR="00853788" w:rsidRPr="006C5E6F" w:rsidRDefault="00853788" w:rsidP="00700BFC">
      <w:pPr>
        <w:pStyle w:val="a3"/>
        <w:numPr>
          <w:ilvl w:val="0"/>
          <w:numId w:val="4"/>
        </w:numPr>
        <w:spacing w:after="0" w:line="360" w:lineRule="auto"/>
        <w:jc w:val="both"/>
        <w:rPr>
          <w:b/>
          <w:sz w:val="24"/>
          <w:szCs w:val="24"/>
          <w:u w:val="single"/>
        </w:rPr>
      </w:pPr>
      <w:r w:rsidRPr="006C5E6F">
        <w:rPr>
          <w:b/>
          <w:sz w:val="24"/>
          <w:szCs w:val="24"/>
          <w:u w:val="single"/>
        </w:rPr>
        <w:t>Δείκτης Οικονομικού Κλίματος</w:t>
      </w:r>
    </w:p>
    <w:p w14:paraId="3AD275BA" w14:textId="694E134E" w:rsidR="003239BA" w:rsidRDefault="0052763F" w:rsidP="0052763F">
      <w:pPr>
        <w:spacing w:after="0" w:line="360" w:lineRule="auto"/>
        <w:jc w:val="both"/>
        <w:rPr>
          <w:sz w:val="24"/>
          <w:szCs w:val="24"/>
        </w:rPr>
      </w:pPr>
      <w:r w:rsidRPr="006C5E6F">
        <w:rPr>
          <w:sz w:val="24"/>
          <w:szCs w:val="24"/>
        </w:rPr>
        <w:t xml:space="preserve">Ο Δείκτης Οικονομικού Κλίματος των μικρών και πολύ μικρών επιχειρήσεων </w:t>
      </w:r>
      <w:r w:rsidR="00973ABE">
        <w:rPr>
          <w:sz w:val="24"/>
          <w:szCs w:val="24"/>
        </w:rPr>
        <w:t xml:space="preserve">το </w:t>
      </w:r>
      <w:proofErr w:type="spellStart"/>
      <w:r w:rsidR="00973ABE">
        <w:rPr>
          <w:sz w:val="24"/>
          <w:szCs w:val="24"/>
        </w:rPr>
        <w:t>Α</w:t>
      </w:r>
      <w:r w:rsidR="00623400">
        <w:rPr>
          <w:sz w:val="24"/>
          <w:szCs w:val="24"/>
        </w:rPr>
        <w:t>΄</w:t>
      </w:r>
      <w:r w:rsidR="00973ABE">
        <w:rPr>
          <w:sz w:val="24"/>
          <w:szCs w:val="24"/>
        </w:rPr>
        <w:t>εξάμηνο</w:t>
      </w:r>
      <w:proofErr w:type="spellEnd"/>
      <w:r w:rsidR="00973ABE">
        <w:rPr>
          <w:sz w:val="24"/>
          <w:szCs w:val="24"/>
        </w:rPr>
        <w:t xml:space="preserve"> του 2024 παρουσιάζει σημαντική υποχώρηση </w:t>
      </w:r>
      <w:r w:rsidR="006C5E6F">
        <w:rPr>
          <w:sz w:val="24"/>
          <w:szCs w:val="24"/>
        </w:rPr>
        <w:t>κατά 14,3 μονάδες σε σχέση με το προηγούμενο εξάμηνο</w:t>
      </w:r>
      <w:r w:rsidR="002C4548">
        <w:rPr>
          <w:sz w:val="24"/>
          <w:szCs w:val="24"/>
        </w:rPr>
        <w:t>.</w:t>
      </w:r>
      <w:r w:rsidR="006C5E6F">
        <w:rPr>
          <w:sz w:val="24"/>
          <w:szCs w:val="24"/>
        </w:rPr>
        <w:t xml:space="preserve"> </w:t>
      </w:r>
      <w:r w:rsidR="00973ABE">
        <w:rPr>
          <w:sz w:val="24"/>
          <w:szCs w:val="24"/>
        </w:rPr>
        <w:t>Συγκεκριμένα, διαμορφώνεται</w:t>
      </w:r>
      <w:r w:rsidR="006C5E6F">
        <w:rPr>
          <w:sz w:val="24"/>
          <w:szCs w:val="24"/>
        </w:rPr>
        <w:t xml:space="preserve"> στ</w:t>
      </w:r>
      <w:r w:rsidR="00FE7F40">
        <w:rPr>
          <w:sz w:val="24"/>
          <w:szCs w:val="24"/>
        </w:rPr>
        <w:t xml:space="preserve">ις 49,6 </w:t>
      </w:r>
      <w:r w:rsidR="002C4548">
        <w:rPr>
          <w:sz w:val="24"/>
          <w:szCs w:val="24"/>
        </w:rPr>
        <w:t xml:space="preserve">μονάδες </w:t>
      </w:r>
      <w:r w:rsidR="00973ABE">
        <w:rPr>
          <w:sz w:val="24"/>
          <w:szCs w:val="24"/>
        </w:rPr>
        <w:t xml:space="preserve">από τις 63,9 που ήταν το </w:t>
      </w:r>
      <w:proofErr w:type="spellStart"/>
      <w:r w:rsidR="00973ABE">
        <w:rPr>
          <w:sz w:val="24"/>
          <w:szCs w:val="24"/>
        </w:rPr>
        <w:t>Β</w:t>
      </w:r>
      <w:r w:rsidR="001B481E">
        <w:rPr>
          <w:sz w:val="24"/>
          <w:szCs w:val="24"/>
        </w:rPr>
        <w:t>΄</w:t>
      </w:r>
      <w:r w:rsidR="00973ABE">
        <w:rPr>
          <w:sz w:val="24"/>
          <w:szCs w:val="24"/>
        </w:rPr>
        <w:t>εξάμηνο</w:t>
      </w:r>
      <w:proofErr w:type="spellEnd"/>
      <w:r w:rsidR="00973ABE">
        <w:rPr>
          <w:sz w:val="24"/>
          <w:szCs w:val="24"/>
        </w:rPr>
        <w:t xml:space="preserve"> του 2023. Η σοβαρή αυτή υποχώρηση υποδηλώνει την αβεβαιότητα που κυριαρχεί κυρίως λόγω της επίμονης πληθωριστικής κρίσης. </w:t>
      </w:r>
      <w:r w:rsidR="003239BA">
        <w:rPr>
          <w:sz w:val="24"/>
          <w:szCs w:val="24"/>
        </w:rPr>
        <w:t xml:space="preserve">Η επιδείνωση της κατάστασης των επιχειρήσεων είχε αρχίσει να γίνεται ορατή ήδη από την προηγούμενη έρευνα κλίματος τον Φεβρουάριο του 2024, όταν ο </w:t>
      </w:r>
      <w:r w:rsidR="003239BA" w:rsidRPr="006C5E6F">
        <w:rPr>
          <w:sz w:val="24"/>
          <w:szCs w:val="24"/>
        </w:rPr>
        <w:t>Δείκτης Οικονομικού Κλίματος</w:t>
      </w:r>
      <w:r w:rsidR="003239BA">
        <w:rPr>
          <w:sz w:val="24"/>
          <w:szCs w:val="24"/>
        </w:rPr>
        <w:t xml:space="preserve"> υποχώρησε από τις 66,7 μονάδες, που βρισκόταν το πρώτο εξάμηνο του 2023, στις 63,9 μονάδες</w:t>
      </w:r>
      <w:r w:rsidR="003239BA" w:rsidRPr="00E90916">
        <w:rPr>
          <w:sz w:val="24"/>
          <w:szCs w:val="24"/>
        </w:rPr>
        <w:t xml:space="preserve"> </w:t>
      </w:r>
      <w:r w:rsidR="003239BA" w:rsidRPr="006C5E6F">
        <w:rPr>
          <w:sz w:val="24"/>
          <w:szCs w:val="24"/>
        </w:rPr>
        <w:t>(Γράφημα 1)</w:t>
      </w:r>
      <w:r w:rsidR="003239BA">
        <w:rPr>
          <w:sz w:val="24"/>
          <w:szCs w:val="24"/>
        </w:rPr>
        <w:t xml:space="preserve">. </w:t>
      </w:r>
      <w:r w:rsidR="00973ABE">
        <w:rPr>
          <w:sz w:val="24"/>
          <w:szCs w:val="24"/>
        </w:rPr>
        <w:t>Περαιτέρω και δεδομένου ότι</w:t>
      </w:r>
      <w:r w:rsidR="00FD7D2D">
        <w:rPr>
          <w:sz w:val="24"/>
          <w:szCs w:val="24"/>
        </w:rPr>
        <w:t xml:space="preserve"> από τα υπόλοιπα στοιχεία της έρευν</w:t>
      </w:r>
      <w:r w:rsidR="00C35FA4">
        <w:rPr>
          <w:sz w:val="24"/>
          <w:szCs w:val="24"/>
        </w:rPr>
        <w:t>α</w:t>
      </w:r>
      <w:r w:rsidR="00FD7D2D">
        <w:rPr>
          <w:sz w:val="24"/>
          <w:szCs w:val="24"/>
        </w:rPr>
        <w:t>ς φαίνεται πως</w:t>
      </w:r>
      <w:r w:rsidR="00973ABE">
        <w:rPr>
          <w:sz w:val="24"/>
          <w:szCs w:val="24"/>
        </w:rPr>
        <w:t xml:space="preserve"> </w:t>
      </w:r>
      <w:r w:rsidR="00FD7D2D">
        <w:rPr>
          <w:sz w:val="24"/>
          <w:szCs w:val="24"/>
        </w:rPr>
        <w:t>τις μεγαλύτερες δυσκολίες αντιμετωπίζουν οι πολύ μικρές επιχειρήσεις και οι ελεύθεροι επαγγελματίες, εκτιμάται ότι σημαντικό παράγοντα για την υποχώρησ</w:t>
      </w:r>
      <w:r w:rsidR="001B481E">
        <w:rPr>
          <w:sz w:val="24"/>
          <w:szCs w:val="24"/>
        </w:rPr>
        <w:t>ή</w:t>
      </w:r>
      <w:r w:rsidR="00FD7D2D">
        <w:rPr>
          <w:sz w:val="24"/>
          <w:szCs w:val="24"/>
        </w:rPr>
        <w:t xml:space="preserve"> του έχει διαδραματίσει ο νέος τεκμαρτός τρόπος φορολόγησης των ατομικών επιχειρήσεων.</w:t>
      </w:r>
      <w:r w:rsidR="002C4548">
        <w:rPr>
          <w:sz w:val="24"/>
          <w:szCs w:val="24"/>
        </w:rPr>
        <w:t xml:space="preserve"> </w:t>
      </w:r>
    </w:p>
    <w:p w14:paraId="37280835" w14:textId="36FB419A" w:rsidR="00D11950" w:rsidRDefault="005C7742" w:rsidP="0052763F">
      <w:pPr>
        <w:spacing w:after="0" w:line="360" w:lineRule="auto"/>
        <w:jc w:val="both"/>
        <w:rPr>
          <w:sz w:val="24"/>
          <w:szCs w:val="24"/>
        </w:rPr>
      </w:pPr>
      <w:r>
        <w:rPr>
          <w:sz w:val="24"/>
          <w:szCs w:val="24"/>
        </w:rPr>
        <w:t>Η εικόνα αυτή συμβαδίζει με τις πρόσφατες προβλέψεις</w:t>
      </w:r>
      <w:r w:rsidR="002605EE">
        <w:rPr>
          <w:sz w:val="24"/>
          <w:szCs w:val="24"/>
        </w:rPr>
        <w:t xml:space="preserve"> των επίσημων φορέων για τη μεγέθυνση του </w:t>
      </w:r>
      <w:r w:rsidR="00516037">
        <w:rPr>
          <w:sz w:val="24"/>
          <w:szCs w:val="24"/>
        </w:rPr>
        <w:t xml:space="preserve">ελληνικού </w:t>
      </w:r>
      <w:r w:rsidR="002605EE">
        <w:rPr>
          <w:sz w:val="24"/>
          <w:szCs w:val="24"/>
        </w:rPr>
        <w:t>ΑΕΠ, οι οποίες βαίνουν διαρκώς μειούμενες.</w:t>
      </w:r>
      <w:r>
        <w:rPr>
          <w:sz w:val="24"/>
          <w:szCs w:val="24"/>
        </w:rPr>
        <w:t xml:space="preserve"> </w:t>
      </w:r>
      <w:r w:rsidR="002605EE">
        <w:rPr>
          <w:sz w:val="24"/>
          <w:szCs w:val="24"/>
        </w:rPr>
        <w:t>Η</w:t>
      </w:r>
      <w:r>
        <w:rPr>
          <w:sz w:val="24"/>
          <w:szCs w:val="24"/>
        </w:rPr>
        <w:t xml:space="preserve"> </w:t>
      </w:r>
      <w:proofErr w:type="spellStart"/>
      <w:r>
        <w:rPr>
          <w:sz w:val="24"/>
          <w:szCs w:val="24"/>
        </w:rPr>
        <w:t>ΤτΕ</w:t>
      </w:r>
      <w:proofErr w:type="spellEnd"/>
      <w:r>
        <w:rPr>
          <w:sz w:val="24"/>
          <w:szCs w:val="24"/>
        </w:rPr>
        <w:t xml:space="preserve"> </w:t>
      </w:r>
      <w:r w:rsidR="002605EE">
        <w:rPr>
          <w:sz w:val="24"/>
          <w:szCs w:val="24"/>
        </w:rPr>
        <w:t xml:space="preserve">(Ιούνιος 2024) </w:t>
      </w:r>
      <w:r>
        <w:rPr>
          <w:sz w:val="24"/>
          <w:szCs w:val="24"/>
        </w:rPr>
        <w:t xml:space="preserve">έθεσε στο 2,2% τον πήχη της </w:t>
      </w:r>
      <w:r w:rsidR="00270B49">
        <w:rPr>
          <w:sz w:val="24"/>
          <w:szCs w:val="24"/>
        </w:rPr>
        <w:t xml:space="preserve">μεγέθυνσης </w:t>
      </w:r>
      <w:r>
        <w:rPr>
          <w:sz w:val="24"/>
          <w:szCs w:val="24"/>
        </w:rPr>
        <w:t>για το 2024 έναντι του 2,5% του Προγράμματος Σταθερότητας ή του 2,9% που προέβλεπε αρχικά ο κρατικός προϋπολογισμός. Ακόμα χαμηλότερες είναι οι προβλέψεις του ΟΟΣΑ για τη</w:t>
      </w:r>
      <w:r w:rsidR="002C4548">
        <w:rPr>
          <w:sz w:val="24"/>
          <w:szCs w:val="24"/>
        </w:rPr>
        <w:t xml:space="preserve"> μεγέθυνση</w:t>
      </w:r>
      <w:r>
        <w:rPr>
          <w:sz w:val="24"/>
          <w:szCs w:val="24"/>
        </w:rPr>
        <w:t xml:space="preserve"> της ελληνικής οικονομίας</w:t>
      </w:r>
      <w:r w:rsidR="002605EE">
        <w:rPr>
          <w:sz w:val="24"/>
          <w:szCs w:val="24"/>
        </w:rPr>
        <w:t xml:space="preserve">, οι οποίες τοποθετούνται </w:t>
      </w:r>
      <w:r>
        <w:rPr>
          <w:sz w:val="24"/>
          <w:szCs w:val="24"/>
        </w:rPr>
        <w:t xml:space="preserve">στο 2% έναντι του 2,5% που </w:t>
      </w:r>
      <w:r w:rsidR="002605EE">
        <w:rPr>
          <w:sz w:val="24"/>
          <w:szCs w:val="24"/>
        </w:rPr>
        <w:t>ήταν αρχικά. Οι</w:t>
      </w:r>
      <w:r>
        <w:rPr>
          <w:sz w:val="24"/>
          <w:szCs w:val="24"/>
        </w:rPr>
        <w:t xml:space="preserve"> προβλέψεις επηρεάζονται </w:t>
      </w:r>
      <w:r w:rsidR="002605EE">
        <w:rPr>
          <w:sz w:val="24"/>
          <w:szCs w:val="24"/>
        </w:rPr>
        <w:t xml:space="preserve">σαφώς </w:t>
      </w:r>
      <w:r w:rsidR="00D11950">
        <w:rPr>
          <w:sz w:val="24"/>
          <w:szCs w:val="24"/>
        </w:rPr>
        <w:t xml:space="preserve">από την επιβράδυνση της </w:t>
      </w:r>
      <w:r w:rsidR="00270B49">
        <w:rPr>
          <w:sz w:val="24"/>
          <w:szCs w:val="24"/>
        </w:rPr>
        <w:t xml:space="preserve">μεγέθυνσης </w:t>
      </w:r>
      <w:r w:rsidR="00D11950">
        <w:rPr>
          <w:sz w:val="24"/>
          <w:szCs w:val="24"/>
        </w:rPr>
        <w:t>συνολικά στην ευρωζώνη, όπως και από την επίμονη διατήρηση του πληθωρισμού.</w:t>
      </w:r>
    </w:p>
    <w:p w14:paraId="09DBEB85" w14:textId="73479237" w:rsidR="0052763F" w:rsidRDefault="00D11950" w:rsidP="0052763F">
      <w:pPr>
        <w:spacing w:after="0" w:line="360" w:lineRule="auto"/>
        <w:jc w:val="both"/>
        <w:rPr>
          <w:sz w:val="24"/>
          <w:szCs w:val="24"/>
        </w:rPr>
      </w:pPr>
      <w:r>
        <w:rPr>
          <w:sz w:val="24"/>
          <w:szCs w:val="24"/>
        </w:rPr>
        <w:t xml:space="preserve">Παρόμοια εικόνα </w:t>
      </w:r>
      <w:r w:rsidR="003239BA">
        <w:rPr>
          <w:sz w:val="24"/>
          <w:szCs w:val="24"/>
        </w:rPr>
        <w:t xml:space="preserve">ενίσχυσης της </w:t>
      </w:r>
      <w:r>
        <w:rPr>
          <w:sz w:val="24"/>
          <w:szCs w:val="24"/>
        </w:rPr>
        <w:t xml:space="preserve">απαισιοδοξίας καταγράφει και ο Δείκτης Προσδοκιών των </w:t>
      </w:r>
      <w:proofErr w:type="spellStart"/>
      <w:r>
        <w:rPr>
          <w:sz w:val="24"/>
          <w:szCs w:val="24"/>
        </w:rPr>
        <w:t>ΜμΕ</w:t>
      </w:r>
      <w:proofErr w:type="spellEnd"/>
      <w:r>
        <w:rPr>
          <w:sz w:val="24"/>
          <w:szCs w:val="24"/>
        </w:rPr>
        <w:t xml:space="preserve"> που υποχωρεί στις 55 μονάδες, εμφανίζοντας πτώση 8,9 μονάδων σε σχέση με το προηγούμενο εξάμηνο και 11,7 μονάδων συγκριτικά με το πρώτο εξάμηνο του 2023</w:t>
      </w:r>
      <w:r w:rsidR="002E1420">
        <w:rPr>
          <w:sz w:val="24"/>
          <w:szCs w:val="24"/>
        </w:rPr>
        <w:t xml:space="preserve"> (Γράφημα 2)</w:t>
      </w:r>
      <w:r>
        <w:rPr>
          <w:sz w:val="24"/>
          <w:szCs w:val="24"/>
        </w:rPr>
        <w:t xml:space="preserve">. Η κάμψη του δείκτη προσδοκιών των </w:t>
      </w:r>
      <w:proofErr w:type="spellStart"/>
      <w:r>
        <w:rPr>
          <w:sz w:val="24"/>
          <w:szCs w:val="24"/>
        </w:rPr>
        <w:t>ΜμΕ</w:t>
      </w:r>
      <w:proofErr w:type="spellEnd"/>
      <w:r>
        <w:rPr>
          <w:sz w:val="24"/>
          <w:szCs w:val="24"/>
        </w:rPr>
        <w:t xml:space="preserve"> αποτυπώνει </w:t>
      </w:r>
      <w:r w:rsidR="0064693A">
        <w:rPr>
          <w:sz w:val="24"/>
          <w:szCs w:val="24"/>
        </w:rPr>
        <w:t xml:space="preserve">την </w:t>
      </w:r>
      <w:r w:rsidR="00222256">
        <w:rPr>
          <w:sz w:val="24"/>
          <w:szCs w:val="24"/>
        </w:rPr>
        <w:t xml:space="preserve">έντονη </w:t>
      </w:r>
      <w:r w:rsidR="0064693A">
        <w:rPr>
          <w:sz w:val="24"/>
          <w:szCs w:val="24"/>
        </w:rPr>
        <w:t>ανησυχία</w:t>
      </w:r>
      <w:r>
        <w:rPr>
          <w:sz w:val="24"/>
          <w:szCs w:val="24"/>
        </w:rPr>
        <w:t xml:space="preserve"> των επιχειρήσεων για την πορεία της οικονομίας και τη δυνατότητά τους να αντ</w:t>
      </w:r>
      <w:r w:rsidR="00144770">
        <w:rPr>
          <w:sz w:val="24"/>
          <w:szCs w:val="24"/>
        </w:rPr>
        <w:t>ε</w:t>
      </w:r>
      <w:r>
        <w:rPr>
          <w:sz w:val="24"/>
          <w:szCs w:val="24"/>
        </w:rPr>
        <w:t xml:space="preserve">πεξέλθουν </w:t>
      </w:r>
      <w:r w:rsidR="003239BA">
        <w:rPr>
          <w:sz w:val="24"/>
          <w:szCs w:val="24"/>
        </w:rPr>
        <w:t>στο επιχειρηματικό περιβάλλον που διαμορφώνεται</w:t>
      </w:r>
      <w:r>
        <w:rPr>
          <w:sz w:val="24"/>
          <w:szCs w:val="24"/>
        </w:rPr>
        <w:t xml:space="preserve">. </w:t>
      </w:r>
    </w:p>
    <w:p w14:paraId="6D7A6854" w14:textId="49AA3B0E" w:rsidR="00A124A2" w:rsidRDefault="0052763F" w:rsidP="0052763F">
      <w:pPr>
        <w:spacing w:after="0" w:line="360" w:lineRule="auto"/>
        <w:jc w:val="both"/>
        <w:rPr>
          <w:sz w:val="24"/>
          <w:szCs w:val="24"/>
        </w:rPr>
      </w:pPr>
      <w:r w:rsidRPr="009B4BA3">
        <w:rPr>
          <w:sz w:val="24"/>
          <w:szCs w:val="24"/>
        </w:rPr>
        <w:lastRenderedPageBreak/>
        <w:t xml:space="preserve">Σε ευρωπαϊκό επίπεδο, </w:t>
      </w:r>
      <w:r w:rsidR="002C623E" w:rsidRPr="009B4BA3">
        <w:rPr>
          <w:sz w:val="24"/>
          <w:szCs w:val="24"/>
        </w:rPr>
        <w:t xml:space="preserve">και με βάση τα στοιχεία που είναι διαθέσιμα </w:t>
      </w:r>
      <w:r w:rsidR="00615EE1" w:rsidRPr="009B4BA3">
        <w:rPr>
          <w:sz w:val="24"/>
          <w:szCs w:val="24"/>
        </w:rPr>
        <w:t>μέχρι και</w:t>
      </w:r>
      <w:r w:rsidR="002C623E" w:rsidRPr="009B4BA3">
        <w:rPr>
          <w:sz w:val="24"/>
          <w:szCs w:val="24"/>
        </w:rPr>
        <w:t xml:space="preserve"> το </w:t>
      </w:r>
      <w:r w:rsidR="009B4BA3" w:rsidRPr="009B4BA3">
        <w:rPr>
          <w:sz w:val="24"/>
          <w:szCs w:val="24"/>
        </w:rPr>
        <w:t>δεύτερο</w:t>
      </w:r>
      <w:r w:rsidR="00615EE1" w:rsidRPr="009B4BA3">
        <w:rPr>
          <w:sz w:val="24"/>
          <w:szCs w:val="24"/>
        </w:rPr>
        <w:t xml:space="preserve"> εξάμηνο του 2023</w:t>
      </w:r>
      <w:r w:rsidRPr="009B4BA3">
        <w:rPr>
          <w:sz w:val="24"/>
          <w:szCs w:val="24"/>
        </w:rPr>
        <w:t xml:space="preserve">, ο </w:t>
      </w:r>
      <w:r w:rsidR="00DA50CF">
        <w:rPr>
          <w:sz w:val="24"/>
          <w:szCs w:val="24"/>
        </w:rPr>
        <w:t>Δ</w:t>
      </w:r>
      <w:r w:rsidRPr="009B4BA3">
        <w:rPr>
          <w:sz w:val="24"/>
          <w:szCs w:val="24"/>
        </w:rPr>
        <w:t xml:space="preserve">είκτης </w:t>
      </w:r>
      <w:r w:rsidR="00DA50CF">
        <w:rPr>
          <w:sz w:val="24"/>
          <w:szCs w:val="24"/>
        </w:rPr>
        <w:t>Ο</w:t>
      </w:r>
      <w:r w:rsidRPr="009B4BA3">
        <w:rPr>
          <w:sz w:val="24"/>
          <w:szCs w:val="24"/>
        </w:rPr>
        <w:t xml:space="preserve">ικονομικού </w:t>
      </w:r>
      <w:r w:rsidR="00DA50CF">
        <w:rPr>
          <w:sz w:val="24"/>
          <w:szCs w:val="24"/>
        </w:rPr>
        <w:t>Κ</w:t>
      </w:r>
      <w:r w:rsidRPr="009B4BA3">
        <w:rPr>
          <w:sz w:val="24"/>
          <w:szCs w:val="24"/>
        </w:rPr>
        <w:t xml:space="preserve">λίματος των ευρωπαϊκών </w:t>
      </w:r>
      <w:proofErr w:type="spellStart"/>
      <w:r w:rsidRPr="009B4BA3">
        <w:rPr>
          <w:sz w:val="24"/>
          <w:szCs w:val="24"/>
        </w:rPr>
        <w:t>ΜμΕ</w:t>
      </w:r>
      <w:proofErr w:type="spellEnd"/>
      <w:r w:rsidR="00DA50CF">
        <w:rPr>
          <w:sz w:val="24"/>
          <w:szCs w:val="24"/>
        </w:rPr>
        <w:t>,</w:t>
      </w:r>
      <w:r w:rsidRPr="009B4BA3">
        <w:rPr>
          <w:sz w:val="24"/>
          <w:szCs w:val="24"/>
        </w:rPr>
        <w:t xml:space="preserve"> </w:t>
      </w:r>
      <w:r w:rsidR="00615EE1" w:rsidRPr="009B4BA3">
        <w:rPr>
          <w:sz w:val="24"/>
          <w:szCs w:val="24"/>
        </w:rPr>
        <w:t xml:space="preserve">μετά </w:t>
      </w:r>
      <w:r w:rsidR="009B4BA3" w:rsidRPr="009B4BA3">
        <w:rPr>
          <w:sz w:val="24"/>
          <w:szCs w:val="24"/>
        </w:rPr>
        <w:t xml:space="preserve">την </w:t>
      </w:r>
      <w:r w:rsidR="00615EE1" w:rsidRPr="009B4BA3">
        <w:rPr>
          <w:sz w:val="24"/>
          <w:szCs w:val="24"/>
        </w:rPr>
        <w:t xml:space="preserve">άνοδο </w:t>
      </w:r>
      <w:r w:rsidR="00CB1149" w:rsidRPr="009B4BA3">
        <w:rPr>
          <w:sz w:val="24"/>
          <w:szCs w:val="24"/>
        </w:rPr>
        <w:t xml:space="preserve">στις </w:t>
      </w:r>
      <w:r w:rsidR="00615EE1" w:rsidRPr="009B4BA3">
        <w:rPr>
          <w:sz w:val="24"/>
          <w:szCs w:val="24"/>
        </w:rPr>
        <w:t>73,8</w:t>
      </w:r>
      <w:r w:rsidR="00CB1149" w:rsidRPr="009B4BA3">
        <w:rPr>
          <w:sz w:val="24"/>
          <w:szCs w:val="24"/>
        </w:rPr>
        <w:t xml:space="preserve"> μονάδες</w:t>
      </w:r>
      <w:r w:rsidR="002C623E" w:rsidRPr="009B4BA3">
        <w:rPr>
          <w:sz w:val="24"/>
          <w:szCs w:val="24"/>
        </w:rPr>
        <w:t xml:space="preserve">, </w:t>
      </w:r>
      <w:r w:rsidR="009B4BA3" w:rsidRPr="009B4BA3">
        <w:rPr>
          <w:sz w:val="24"/>
          <w:szCs w:val="24"/>
        </w:rPr>
        <w:t>υποχωρεί σημαντικά κατά 7 μονάδες. Πρόκειται για το χαμηλότερο επίπεδο της τελευταίας δωδεκαετίας</w:t>
      </w:r>
      <w:r w:rsidR="004D407D">
        <w:rPr>
          <w:sz w:val="24"/>
          <w:szCs w:val="24"/>
        </w:rPr>
        <w:t>,</w:t>
      </w:r>
      <w:r w:rsidR="009B4BA3" w:rsidRPr="009B4BA3">
        <w:rPr>
          <w:sz w:val="24"/>
          <w:szCs w:val="24"/>
        </w:rPr>
        <w:t xml:space="preserve"> με εξαίρεση την περίοδο της πανδημίας</w:t>
      </w:r>
      <w:r w:rsidR="009B4BA3">
        <w:rPr>
          <w:sz w:val="24"/>
          <w:szCs w:val="24"/>
        </w:rPr>
        <w:t xml:space="preserve">, γεγονός που πιστοποιεί </w:t>
      </w:r>
      <w:r w:rsidR="0064693A">
        <w:rPr>
          <w:sz w:val="24"/>
          <w:szCs w:val="24"/>
        </w:rPr>
        <w:t xml:space="preserve">αφενός </w:t>
      </w:r>
      <w:r w:rsidR="009B4BA3">
        <w:rPr>
          <w:sz w:val="24"/>
          <w:szCs w:val="24"/>
        </w:rPr>
        <w:t xml:space="preserve">την πτώση του ρυθμού </w:t>
      </w:r>
      <w:r w:rsidR="004D407D">
        <w:rPr>
          <w:sz w:val="24"/>
          <w:szCs w:val="24"/>
        </w:rPr>
        <w:t>μεγέθυνσης</w:t>
      </w:r>
      <w:r w:rsidR="009B4BA3">
        <w:rPr>
          <w:sz w:val="24"/>
          <w:szCs w:val="24"/>
        </w:rPr>
        <w:t xml:space="preserve"> και </w:t>
      </w:r>
      <w:r w:rsidR="0064693A">
        <w:rPr>
          <w:sz w:val="24"/>
          <w:szCs w:val="24"/>
        </w:rPr>
        <w:t xml:space="preserve">αφετέρου </w:t>
      </w:r>
      <w:r w:rsidR="003239BA">
        <w:rPr>
          <w:sz w:val="24"/>
          <w:szCs w:val="24"/>
        </w:rPr>
        <w:t>τις δυσκολίες που έχουν προκύψει λόγω της πληθωριστικής, ενεργειακής και γεωπολιτικής κρίσης</w:t>
      </w:r>
      <w:r w:rsidR="009B4BA3">
        <w:rPr>
          <w:sz w:val="24"/>
          <w:szCs w:val="24"/>
        </w:rPr>
        <w:t xml:space="preserve"> </w:t>
      </w:r>
      <w:r w:rsidR="003239BA">
        <w:rPr>
          <w:sz w:val="24"/>
          <w:szCs w:val="24"/>
        </w:rPr>
        <w:t xml:space="preserve">οι οποίες επηρεάζουν την </w:t>
      </w:r>
      <w:r w:rsidR="009B4BA3">
        <w:rPr>
          <w:sz w:val="24"/>
          <w:szCs w:val="24"/>
        </w:rPr>
        <w:t>πορεία</w:t>
      </w:r>
      <w:r w:rsidR="003239BA">
        <w:rPr>
          <w:sz w:val="24"/>
          <w:szCs w:val="24"/>
        </w:rPr>
        <w:t xml:space="preserve"> των κρατών-μελών αλλά και συνολικά</w:t>
      </w:r>
      <w:r w:rsidR="009B4BA3">
        <w:rPr>
          <w:sz w:val="24"/>
          <w:szCs w:val="24"/>
        </w:rPr>
        <w:t xml:space="preserve"> της ΕΕ. </w:t>
      </w:r>
      <w:r w:rsidR="003239BA">
        <w:rPr>
          <w:sz w:val="24"/>
          <w:szCs w:val="24"/>
        </w:rPr>
        <w:t>Πιθανότατα σχετίζεται και με την</w:t>
      </w:r>
      <w:r w:rsidR="009B4BA3">
        <w:rPr>
          <w:sz w:val="24"/>
          <w:szCs w:val="24"/>
        </w:rPr>
        <w:t xml:space="preserve"> </w:t>
      </w:r>
      <w:r w:rsidR="003239BA">
        <w:rPr>
          <w:sz w:val="24"/>
          <w:szCs w:val="24"/>
        </w:rPr>
        <w:t>πολιτική</w:t>
      </w:r>
      <w:r w:rsidR="009B4BA3">
        <w:rPr>
          <w:sz w:val="24"/>
          <w:szCs w:val="24"/>
        </w:rPr>
        <w:t xml:space="preserve"> ρευστότητα</w:t>
      </w:r>
      <w:r w:rsidR="003239BA">
        <w:rPr>
          <w:sz w:val="24"/>
          <w:szCs w:val="24"/>
        </w:rPr>
        <w:t xml:space="preserve"> που κυριαρχεί</w:t>
      </w:r>
      <w:r w:rsidR="009B4BA3">
        <w:rPr>
          <w:sz w:val="24"/>
          <w:szCs w:val="24"/>
        </w:rPr>
        <w:t xml:space="preserve"> στην ΕΕ και τη</w:t>
      </w:r>
      <w:r w:rsidR="00DA50CF">
        <w:rPr>
          <w:sz w:val="24"/>
          <w:szCs w:val="24"/>
        </w:rPr>
        <w:t>ν</w:t>
      </w:r>
      <w:r w:rsidR="009B4BA3">
        <w:rPr>
          <w:sz w:val="24"/>
          <w:szCs w:val="24"/>
        </w:rPr>
        <w:t xml:space="preserve"> αδυναμίας</w:t>
      </w:r>
      <w:r w:rsidR="003239BA">
        <w:rPr>
          <w:sz w:val="24"/>
          <w:szCs w:val="24"/>
        </w:rPr>
        <w:t xml:space="preserve"> της</w:t>
      </w:r>
      <w:r w:rsidR="009B4BA3">
        <w:rPr>
          <w:sz w:val="24"/>
          <w:szCs w:val="24"/>
        </w:rPr>
        <w:t xml:space="preserve"> </w:t>
      </w:r>
      <w:r w:rsidR="003239BA">
        <w:rPr>
          <w:sz w:val="24"/>
          <w:szCs w:val="24"/>
        </w:rPr>
        <w:t>να ανταποκριθεί</w:t>
      </w:r>
      <w:r w:rsidR="009B4BA3">
        <w:rPr>
          <w:sz w:val="24"/>
          <w:szCs w:val="24"/>
        </w:rPr>
        <w:t xml:space="preserve"> στις ανάγκες των </w:t>
      </w:r>
      <w:proofErr w:type="spellStart"/>
      <w:r w:rsidR="009B4BA3">
        <w:rPr>
          <w:sz w:val="24"/>
          <w:szCs w:val="24"/>
        </w:rPr>
        <w:t>ΜμΕ</w:t>
      </w:r>
      <w:proofErr w:type="spellEnd"/>
      <w:r w:rsidR="008E4D55">
        <w:rPr>
          <w:sz w:val="24"/>
          <w:szCs w:val="24"/>
        </w:rPr>
        <w:t xml:space="preserve">. </w:t>
      </w:r>
      <w:r w:rsidR="009B4BA3" w:rsidRPr="009B4BA3">
        <w:rPr>
          <w:sz w:val="24"/>
          <w:szCs w:val="24"/>
        </w:rPr>
        <w:t xml:space="preserve"> </w:t>
      </w:r>
    </w:p>
    <w:p w14:paraId="0325DCB1" w14:textId="1DA118AE" w:rsidR="007B00AB" w:rsidRDefault="007B00AB" w:rsidP="0052763F">
      <w:pPr>
        <w:spacing w:after="0" w:line="360" w:lineRule="auto"/>
        <w:jc w:val="both"/>
        <w:rPr>
          <w:b/>
          <w:bCs/>
          <w:sz w:val="24"/>
          <w:szCs w:val="24"/>
        </w:rPr>
      </w:pPr>
      <w:r>
        <w:rPr>
          <w:noProof/>
        </w:rPr>
        <w:drawing>
          <wp:inline distT="0" distB="0" distL="0" distR="0" wp14:anchorId="483C897A" wp14:editId="28A0497E">
            <wp:extent cx="6660515" cy="3383280"/>
            <wp:effectExtent l="0" t="0" r="6985" b="7620"/>
            <wp:docPr id="1005932653" name="Γράφημα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C760469" w14:textId="77777777" w:rsidR="007B00AB" w:rsidRPr="009B4BA3" w:rsidRDefault="007B00AB" w:rsidP="0052763F">
      <w:pPr>
        <w:spacing w:after="0" w:line="360" w:lineRule="auto"/>
        <w:jc w:val="both"/>
        <w:rPr>
          <w:b/>
          <w:bCs/>
          <w:sz w:val="24"/>
          <w:szCs w:val="24"/>
        </w:rPr>
      </w:pPr>
    </w:p>
    <w:p w14:paraId="14CBB89A" w14:textId="4839189F" w:rsidR="00413CE5" w:rsidRPr="000932B4" w:rsidRDefault="007B00AB" w:rsidP="00700BFC">
      <w:pPr>
        <w:spacing w:line="360" w:lineRule="auto"/>
        <w:jc w:val="both"/>
        <w:rPr>
          <w:highlight w:val="yellow"/>
        </w:rPr>
      </w:pPr>
      <w:r>
        <w:rPr>
          <w:noProof/>
        </w:rPr>
        <w:lastRenderedPageBreak/>
        <w:drawing>
          <wp:inline distT="0" distB="0" distL="0" distR="0" wp14:anchorId="51727350" wp14:editId="40217EEF">
            <wp:extent cx="6660515" cy="3304540"/>
            <wp:effectExtent l="0" t="0" r="6985" b="10160"/>
            <wp:docPr id="1521524535" name="Γράφημα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759A53" w14:textId="77777777" w:rsidR="00F83283" w:rsidRPr="000932B4" w:rsidRDefault="00A774AE" w:rsidP="00700BFC">
      <w:pPr>
        <w:pStyle w:val="a3"/>
        <w:numPr>
          <w:ilvl w:val="0"/>
          <w:numId w:val="4"/>
        </w:numPr>
        <w:spacing w:after="0" w:line="360" w:lineRule="auto"/>
        <w:rPr>
          <w:b/>
          <w:sz w:val="24"/>
          <w:szCs w:val="24"/>
          <w:u w:val="single"/>
        </w:rPr>
      </w:pPr>
      <w:bookmarkStart w:id="0" w:name="_Toc104456946"/>
      <w:r w:rsidRPr="000932B4">
        <w:rPr>
          <w:b/>
          <w:sz w:val="24"/>
          <w:szCs w:val="24"/>
          <w:u w:val="single"/>
        </w:rPr>
        <w:t>Κύκλος εργασιών</w:t>
      </w:r>
      <w:bookmarkEnd w:id="0"/>
    </w:p>
    <w:p w14:paraId="29795BD1" w14:textId="1AE438F4" w:rsidR="00C70C53" w:rsidRDefault="00D90A4D" w:rsidP="003B5CAF">
      <w:pPr>
        <w:spacing w:after="160" w:line="360" w:lineRule="auto"/>
        <w:jc w:val="both"/>
        <w:rPr>
          <w:rFonts w:ascii="Calibri" w:eastAsia="Calibri" w:hAnsi="Calibri" w:cs="Times New Roman"/>
          <w:sz w:val="24"/>
          <w:szCs w:val="24"/>
          <w:lang w:eastAsia="en-US"/>
        </w:rPr>
      </w:pPr>
      <w:r>
        <w:rPr>
          <w:rFonts w:ascii="Calibri" w:eastAsia="Calibri" w:hAnsi="Calibri" w:cs="Times New Roman"/>
          <w:sz w:val="24"/>
          <w:szCs w:val="24"/>
          <w:lang w:eastAsia="en-US"/>
        </w:rPr>
        <w:t>Ε</w:t>
      </w:r>
      <w:r w:rsidR="00614856">
        <w:rPr>
          <w:rFonts w:ascii="Calibri" w:eastAsia="Calibri" w:hAnsi="Calibri" w:cs="Times New Roman"/>
          <w:sz w:val="24"/>
          <w:szCs w:val="24"/>
          <w:lang w:eastAsia="en-US"/>
        </w:rPr>
        <w:t>πιδείνωση</w:t>
      </w:r>
      <w:r>
        <w:rPr>
          <w:rFonts w:ascii="Calibri" w:eastAsia="Calibri" w:hAnsi="Calibri" w:cs="Times New Roman"/>
          <w:sz w:val="24"/>
          <w:szCs w:val="24"/>
          <w:lang w:eastAsia="en-US"/>
        </w:rPr>
        <w:t xml:space="preserve"> καταγράφεται στον</w:t>
      </w:r>
      <w:r w:rsidR="00C70C53" w:rsidRPr="003B5CAF">
        <w:rPr>
          <w:rFonts w:ascii="Calibri" w:eastAsia="Calibri" w:hAnsi="Calibri" w:cs="Times New Roman"/>
          <w:sz w:val="24"/>
          <w:szCs w:val="24"/>
          <w:lang w:eastAsia="en-US"/>
        </w:rPr>
        <w:t xml:space="preserve"> κύκλο εργασιών των μικρών και πολύ μικρών επιχειρήσεων σε σύγκριση </w:t>
      </w:r>
      <w:r w:rsidR="00625D74">
        <w:rPr>
          <w:rFonts w:ascii="Calibri" w:eastAsia="Calibri" w:hAnsi="Calibri" w:cs="Times New Roman"/>
          <w:sz w:val="24"/>
          <w:szCs w:val="24"/>
          <w:lang w:eastAsia="en-US"/>
        </w:rPr>
        <w:t>με</w:t>
      </w:r>
      <w:r w:rsidR="003601A2">
        <w:rPr>
          <w:rFonts w:ascii="Calibri" w:eastAsia="Calibri" w:hAnsi="Calibri" w:cs="Times New Roman"/>
          <w:sz w:val="24"/>
          <w:szCs w:val="24"/>
          <w:lang w:eastAsia="en-US"/>
        </w:rPr>
        <w:t xml:space="preserve"> </w:t>
      </w:r>
      <w:r w:rsidR="00625D74">
        <w:rPr>
          <w:rFonts w:ascii="Calibri" w:eastAsia="Calibri" w:hAnsi="Calibri" w:cs="Times New Roman"/>
          <w:sz w:val="24"/>
          <w:szCs w:val="24"/>
          <w:lang w:eastAsia="en-US"/>
        </w:rPr>
        <w:t>ολόκληρο το</w:t>
      </w:r>
      <w:r w:rsidR="00C70C53" w:rsidRPr="003B5CAF">
        <w:rPr>
          <w:rFonts w:ascii="Calibri" w:eastAsia="Calibri" w:hAnsi="Calibri" w:cs="Times New Roman"/>
          <w:sz w:val="24"/>
          <w:szCs w:val="24"/>
          <w:lang w:eastAsia="en-US"/>
        </w:rPr>
        <w:t xml:space="preserve"> 2023</w:t>
      </w:r>
      <w:r w:rsidR="00625D74">
        <w:rPr>
          <w:rFonts w:ascii="Calibri" w:eastAsia="Calibri" w:hAnsi="Calibri" w:cs="Times New Roman"/>
          <w:sz w:val="24"/>
          <w:szCs w:val="24"/>
          <w:lang w:eastAsia="en-US"/>
        </w:rPr>
        <w:t xml:space="preserve"> αλλά και το δεύτερο εξάμηνο του 2022. Η εικόνα του κύκλου εργασιών παραπέμπει στην εικόνα της πρώιμης μεταπανδημικής περιόδου, όταν η οικονομ</w:t>
      </w:r>
      <w:r w:rsidR="0064693A">
        <w:rPr>
          <w:rFonts w:ascii="Calibri" w:eastAsia="Calibri" w:hAnsi="Calibri" w:cs="Times New Roman"/>
          <w:sz w:val="24"/>
          <w:szCs w:val="24"/>
          <w:lang w:eastAsia="en-US"/>
        </w:rPr>
        <w:t>ία</w:t>
      </w:r>
      <w:r w:rsidR="00625D74">
        <w:rPr>
          <w:rFonts w:ascii="Calibri" w:eastAsia="Calibri" w:hAnsi="Calibri" w:cs="Times New Roman"/>
          <w:sz w:val="24"/>
          <w:szCs w:val="24"/>
          <w:lang w:eastAsia="en-US"/>
        </w:rPr>
        <w:t xml:space="preserve"> αναζητούσε την επιστροφή στην κανονικότητα μετά το υγειονομικό σοκ</w:t>
      </w:r>
      <w:r w:rsidR="0064693A">
        <w:rPr>
          <w:rFonts w:ascii="Calibri" w:eastAsia="Calibri" w:hAnsi="Calibri" w:cs="Times New Roman"/>
          <w:sz w:val="24"/>
          <w:szCs w:val="24"/>
          <w:lang w:eastAsia="en-US"/>
        </w:rPr>
        <w:t>. Ωστόσο,</w:t>
      </w:r>
      <w:r w:rsidR="00625D74">
        <w:rPr>
          <w:rFonts w:ascii="Calibri" w:eastAsia="Calibri" w:hAnsi="Calibri" w:cs="Times New Roman"/>
          <w:sz w:val="24"/>
          <w:szCs w:val="24"/>
          <w:lang w:eastAsia="en-US"/>
        </w:rPr>
        <w:t xml:space="preserve"> στη</w:t>
      </w:r>
      <w:r w:rsidR="0064693A">
        <w:rPr>
          <w:rFonts w:ascii="Calibri" w:eastAsia="Calibri" w:hAnsi="Calibri" w:cs="Times New Roman"/>
          <w:sz w:val="24"/>
          <w:szCs w:val="24"/>
          <w:lang w:eastAsia="en-US"/>
        </w:rPr>
        <w:t>ν</w:t>
      </w:r>
      <w:r w:rsidR="00625D74">
        <w:rPr>
          <w:rFonts w:ascii="Calibri" w:eastAsia="Calibri" w:hAnsi="Calibri" w:cs="Times New Roman"/>
          <w:sz w:val="24"/>
          <w:szCs w:val="24"/>
          <w:lang w:eastAsia="en-US"/>
        </w:rPr>
        <w:t xml:space="preserve"> </w:t>
      </w:r>
      <w:r w:rsidR="0064693A">
        <w:rPr>
          <w:rFonts w:ascii="Calibri" w:eastAsia="Calibri" w:hAnsi="Calibri" w:cs="Times New Roman"/>
          <w:sz w:val="24"/>
          <w:szCs w:val="24"/>
          <w:lang w:eastAsia="en-US"/>
        </w:rPr>
        <w:t xml:space="preserve">παρούσα </w:t>
      </w:r>
      <w:r w:rsidR="00625D74">
        <w:rPr>
          <w:rFonts w:ascii="Calibri" w:eastAsia="Calibri" w:hAnsi="Calibri" w:cs="Times New Roman"/>
          <w:sz w:val="24"/>
          <w:szCs w:val="24"/>
          <w:lang w:eastAsia="en-US"/>
        </w:rPr>
        <w:t>χρονική συγκυρία</w:t>
      </w:r>
      <w:r w:rsidR="00E740BA">
        <w:rPr>
          <w:rFonts w:ascii="Calibri" w:eastAsia="Calibri" w:hAnsi="Calibri" w:cs="Times New Roman"/>
          <w:sz w:val="24"/>
          <w:szCs w:val="24"/>
          <w:lang w:eastAsia="en-US"/>
        </w:rPr>
        <w:t>, ο περιορισμός του ποσοστού των μικρών και πολύ μικρών επιχειρήσεων που σημειώνουν</w:t>
      </w:r>
      <w:r w:rsidR="00625D74">
        <w:rPr>
          <w:rFonts w:ascii="Calibri" w:eastAsia="Calibri" w:hAnsi="Calibri" w:cs="Times New Roman"/>
          <w:sz w:val="24"/>
          <w:szCs w:val="24"/>
          <w:lang w:eastAsia="en-US"/>
        </w:rPr>
        <w:t xml:space="preserve"> </w:t>
      </w:r>
      <w:r w:rsidR="008378AD">
        <w:rPr>
          <w:rFonts w:ascii="Calibri" w:eastAsia="Calibri" w:hAnsi="Calibri" w:cs="Times New Roman"/>
          <w:sz w:val="24"/>
          <w:szCs w:val="24"/>
          <w:lang w:eastAsia="en-US"/>
        </w:rPr>
        <w:t>αύξηση</w:t>
      </w:r>
      <w:r w:rsidR="00625D74">
        <w:rPr>
          <w:rFonts w:ascii="Calibri" w:eastAsia="Calibri" w:hAnsi="Calibri" w:cs="Times New Roman"/>
          <w:sz w:val="24"/>
          <w:szCs w:val="24"/>
          <w:lang w:eastAsia="en-US"/>
        </w:rPr>
        <w:t xml:space="preserve"> του κύκλου εργασιών </w:t>
      </w:r>
      <w:r w:rsidR="00E740BA">
        <w:rPr>
          <w:rFonts w:ascii="Calibri" w:eastAsia="Calibri" w:hAnsi="Calibri" w:cs="Times New Roman"/>
          <w:sz w:val="24"/>
          <w:szCs w:val="24"/>
          <w:lang w:eastAsia="en-US"/>
        </w:rPr>
        <w:t xml:space="preserve">τους σε </w:t>
      </w:r>
      <w:r w:rsidR="00625D74">
        <w:rPr>
          <w:rFonts w:ascii="Calibri" w:eastAsia="Calibri" w:hAnsi="Calibri" w:cs="Times New Roman"/>
          <w:sz w:val="24"/>
          <w:szCs w:val="24"/>
          <w:lang w:eastAsia="en-US"/>
        </w:rPr>
        <w:t xml:space="preserve">μόλις 20,5% </w:t>
      </w:r>
      <w:r w:rsidR="00E740BA">
        <w:rPr>
          <w:rFonts w:ascii="Calibri" w:eastAsia="Calibri" w:hAnsi="Calibri" w:cs="Times New Roman"/>
          <w:sz w:val="24"/>
          <w:szCs w:val="24"/>
          <w:lang w:eastAsia="en-US"/>
        </w:rPr>
        <w:t>επί του συνόλου,</w:t>
      </w:r>
      <w:r w:rsidR="00625D74">
        <w:rPr>
          <w:rFonts w:ascii="Calibri" w:eastAsia="Calibri" w:hAnsi="Calibri" w:cs="Times New Roman"/>
          <w:sz w:val="24"/>
          <w:szCs w:val="24"/>
          <w:lang w:eastAsia="en-US"/>
        </w:rPr>
        <w:t xml:space="preserve"> έναντι των μισών περίπου που βιώνουν συρρίκνωση του κύκλου εργασιών (46,2%)</w:t>
      </w:r>
      <w:r w:rsidR="005549E1">
        <w:rPr>
          <w:rFonts w:ascii="Calibri" w:eastAsia="Calibri" w:hAnsi="Calibri" w:cs="Times New Roman"/>
          <w:sz w:val="24"/>
          <w:szCs w:val="24"/>
          <w:lang w:eastAsia="en-US"/>
        </w:rPr>
        <w:t>,</w:t>
      </w:r>
      <w:r w:rsidR="00C70C53" w:rsidRPr="003B5CAF">
        <w:rPr>
          <w:rFonts w:ascii="Calibri" w:eastAsia="Calibri" w:hAnsi="Calibri" w:cs="Times New Roman"/>
          <w:sz w:val="24"/>
          <w:szCs w:val="24"/>
          <w:lang w:eastAsia="en-US"/>
        </w:rPr>
        <w:t xml:space="preserve"> </w:t>
      </w:r>
      <w:r w:rsidR="002B492D">
        <w:rPr>
          <w:rFonts w:ascii="Calibri" w:eastAsia="Calibri" w:hAnsi="Calibri" w:cs="Times New Roman"/>
          <w:sz w:val="24"/>
          <w:szCs w:val="24"/>
          <w:lang w:eastAsia="en-US"/>
        </w:rPr>
        <w:t xml:space="preserve">συσχετίζεται προφανώς με τη μακρόχρονη κρίση ακρίβειας και εξασθένησης της αγοραστικής δύναμης των καταναλωτών. </w:t>
      </w:r>
    </w:p>
    <w:p w14:paraId="2E54DF8C" w14:textId="302868D6" w:rsidR="00D90A4D" w:rsidRPr="00446C4F" w:rsidRDefault="00D90A4D" w:rsidP="003B5CAF">
      <w:pPr>
        <w:spacing w:after="160" w:line="360" w:lineRule="auto"/>
        <w:jc w:val="both"/>
        <w:rPr>
          <w:rFonts w:ascii="Calibri" w:eastAsia="Calibri" w:hAnsi="Calibri" w:cs="Times New Roman"/>
          <w:b/>
          <w:bCs/>
          <w:sz w:val="24"/>
          <w:szCs w:val="24"/>
          <w:lang w:eastAsia="en-US"/>
        </w:rPr>
      </w:pPr>
      <w:r>
        <w:rPr>
          <w:noProof/>
        </w:rPr>
        <w:lastRenderedPageBreak/>
        <w:drawing>
          <wp:inline distT="0" distB="0" distL="0" distR="0" wp14:anchorId="194AA340" wp14:editId="768485E7">
            <wp:extent cx="6660515" cy="3792855"/>
            <wp:effectExtent l="0" t="0" r="6985" b="17145"/>
            <wp:docPr id="803291868" name="Γράφημα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FC424BD" w14:textId="6E502153" w:rsidR="00C70C53" w:rsidRPr="00C70C53" w:rsidRDefault="00C70C53" w:rsidP="00C70C53">
      <w:pPr>
        <w:spacing w:after="160" w:line="259" w:lineRule="auto"/>
        <w:rPr>
          <w:rFonts w:ascii="Calibri" w:eastAsia="Calibri" w:hAnsi="Calibri" w:cs="Times New Roman"/>
          <w:lang w:eastAsia="en-US"/>
        </w:rPr>
      </w:pPr>
    </w:p>
    <w:p w14:paraId="68D365D0" w14:textId="57BAE05E" w:rsidR="00C70C53" w:rsidRDefault="00C70C53" w:rsidP="003B5CAF">
      <w:pPr>
        <w:spacing w:after="160" w:line="360" w:lineRule="auto"/>
        <w:jc w:val="both"/>
        <w:rPr>
          <w:rFonts w:ascii="Calibri" w:eastAsia="Calibri" w:hAnsi="Calibri" w:cs="Times New Roman"/>
          <w:sz w:val="24"/>
          <w:szCs w:val="24"/>
          <w:lang w:eastAsia="en-US"/>
        </w:rPr>
      </w:pPr>
      <w:r w:rsidRPr="00C70C53">
        <w:rPr>
          <w:rFonts w:ascii="Calibri" w:eastAsia="Calibri" w:hAnsi="Calibri" w:cs="Times New Roman"/>
          <w:sz w:val="24"/>
          <w:szCs w:val="24"/>
          <w:lang w:eastAsia="en-US"/>
        </w:rPr>
        <w:t xml:space="preserve">Από τα επιμέρους στοιχεία της έρευνας </w:t>
      </w:r>
      <w:r w:rsidR="00B60D6C">
        <w:rPr>
          <w:rFonts w:ascii="Calibri" w:eastAsia="Calibri" w:hAnsi="Calibri" w:cs="Times New Roman"/>
          <w:sz w:val="24"/>
          <w:szCs w:val="24"/>
          <w:lang w:eastAsia="en-US"/>
        </w:rPr>
        <w:t>(</w:t>
      </w:r>
      <w:r w:rsidR="007F09E4">
        <w:rPr>
          <w:rFonts w:ascii="Calibri" w:eastAsia="Calibri" w:hAnsi="Calibri" w:cs="Times New Roman"/>
          <w:sz w:val="24"/>
          <w:szCs w:val="24"/>
          <w:lang w:eastAsia="en-US"/>
        </w:rPr>
        <w:t>Γ</w:t>
      </w:r>
      <w:r w:rsidR="00B60D6C">
        <w:rPr>
          <w:rFonts w:ascii="Calibri" w:eastAsia="Calibri" w:hAnsi="Calibri" w:cs="Times New Roman"/>
          <w:sz w:val="24"/>
          <w:szCs w:val="24"/>
          <w:lang w:eastAsia="en-US"/>
        </w:rPr>
        <w:t>ράφημα 4)</w:t>
      </w:r>
      <w:r w:rsidR="007F09E4">
        <w:rPr>
          <w:rFonts w:ascii="Calibri" w:eastAsia="Calibri" w:hAnsi="Calibri" w:cs="Times New Roman"/>
          <w:sz w:val="24"/>
          <w:szCs w:val="24"/>
          <w:lang w:eastAsia="en-US"/>
        </w:rPr>
        <w:t xml:space="preserve"> </w:t>
      </w:r>
      <w:r w:rsidRPr="00C70C53">
        <w:rPr>
          <w:rFonts w:ascii="Calibri" w:eastAsia="Calibri" w:hAnsi="Calibri" w:cs="Times New Roman"/>
          <w:sz w:val="24"/>
          <w:szCs w:val="24"/>
          <w:lang w:eastAsia="en-US"/>
        </w:rPr>
        <w:t>σχετικά με τον κύκλο εργασιών</w:t>
      </w:r>
      <w:r w:rsidR="00E3788A">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w:t>
      </w:r>
      <w:r w:rsidR="00E3788A">
        <w:rPr>
          <w:rFonts w:ascii="Calibri" w:eastAsia="Calibri" w:hAnsi="Calibri" w:cs="Times New Roman"/>
          <w:sz w:val="24"/>
          <w:szCs w:val="24"/>
          <w:lang w:eastAsia="en-US"/>
        </w:rPr>
        <w:t>διαφαίνεται μια</w:t>
      </w:r>
      <w:r w:rsidR="002B492D">
        <w:rPr>
          <w:rFonts w:ascii="Calibri" w:eastAsia="Calibri" w:hAnsi="Calibri" w:cs="Times New Roman"/>
          <w:sz w:val="24"/>
          <w:szCs w:val="24"/>
          <w:lang w:eastAsia="en-US"/>
        </w:rPr>
        <w:t xml:space="preserve"> συσχέτιση της εξέλιξης του κύκλου εργασιών με τη</w:t>
      </w:r>
      <w:r w:rsidR="007F09E4">
        <w:rPr>
          <w:rFonts w:ascii="Calibri" w:eastAsia="Calibri" w:hAnsi="Calibri" w:cs="Times New Roman"/>
          <w:sz w:val="24"/>
          <w:szCs w:val="24"/>
          <w:lang w:eastAsia="en-US"/>
        </w:rPr>
        <w:t>ν</w:t>
      </w:r>
      <w:r w:rsidR="002B492D">
        <w:rPr>
          <w:rFonts w:ascii="Calibri" w:eastAsia="Calibri" w:hAnsi="Calibri" w:cs="Times New Roman"/>
          <w:sz w:val="24"/>
          <w:szCs w:val="24"/>
          <w:lang w:eastAsia="en-US"/>
        </w:rPr>
        <w:t xml:space="preserve"> εταιρική μορφή και το μέγεθος της επιχείρησης. Συγκεκριμένα</w:t>
      </w:r>
      <w:r w:rsidR="007F09E4">
        <w:rPr>
          <w:rFonts w:ascii="Calibri" w:eastAsia="Calibri" w:hAnsi="Calibri" w:cs="Times New Roman"/>
          <w:sz w:val="24"/>
          <w:szCs w:val="24"/>
          <w:lang w:eastAsia="en-US"/>
        </w:rPr>
        <w:t>,</w:t>
      </w:r>
      <w:r w:rsidR="002B492D">
        <w:rPr>
          <w:rFonts w:ascii="Calibri" w:eastAsia="Calibri" w:hAnsi="Calibri" w:cs="Times New Roman"/>
          <w:sz w:val="24"/>
          <w:szCs w:val="24"/>
          <w:lang w:eastAsia="en-US"/>
        </w:rPr>
        <w:t xml:space="preserve"> οι μισές Α.Ε. (50%)  δήλωσαν ότι ο κύκλος εργασιών τους αυξήθηκε το πρώτο εξάμηνο του 2024</w:t>
      </w:r>
      <w:r w:rsidR="000E5F16">
        <w:rPr>
          <w:rFonts w:ascii="Calibri" w:eastAsia="Calibri" w:hAnsi="Calibri" w:cs="Times New Roman"/>
          <w:sz w:val="24"/>
          <w:szCs w:val="24"/>
          <w:lang w:eastAsia="en-US"/>
        </w:rPr>
        <w:t>,</w:t>
      </w:r>
      <w:r w:rsidR="002B492D">
        <w:rPr>
          <w:rFonts w:ascii="Calibri" w:eastAsia="Calibri" w:hAnsi="Calibri" w:cs="Times New Roman"/>
          <w:sz w:val="24"/>
          <w:szCs w:val="24"/>
          <w:lang w:eastAsia="en-US"/>
        </w:rPr>
        <w:t xml:space="preserve"> έναντι </w:t>
      </w:r>
      <w:r w:rsidR="007F09E4">
        <w:rPr>
          <w:rFonts w:ascii="Calibri" w:eastAsia="Calibri" w:hAnsi="Calibri" w:cs="Times New Roman"/>
          <w:sz w:val="24"/>
          <w:szCs w:val="24"/>
          <w:lang w:eastAsia="en-US"/>
        </w:rPr>
        <w:t xml:space="preserve">του </w:t>
      </w:r>
      <w:r w:rsidR="002B492D">
        <w:rPr>
          <w:rFonts w:ascii="Calibri" w:eastAsia="Calibri" w:hAnsi="Calibri" w:cs="Times New Roman"/>
          <w:sz w:val="24"/>
          <w:szCs w:val="24"/>
          <w:lang w:eastAsia="en-US"/>
        </w:rPr>
        <w:t xml:space="preserve">22,7% που διαπίστωσαν μείωση και </w:t>
      </w:r>
      <w:r w:rsidR="007F09E4">
        <w:rPr>
          <w:rFonts w:ascii="Calibri" w:eastAsia="Calibri" w:hAnsi="Calibri" w:cs="Times New Roman"/>
          <w:sz w:val="24"/>
          <w:szCs w:val="24"/>
          <w:lang w:eastAsia="en-US"/>
        </w:rPr>
        <w:t xml:space="preserve">του </w:t>
      </w:r>
      <w:r w:rsidR="002B492D">
        <w:rPr>
          <w:rFonts w:ascii="Calibri" w:eastAsia="Calibri" w:hAnsi="Calibri" w:cs="Times New Roman"/>
          <w:sz w:val="24"/>
          <w:szCs w:val="24"/>
          <w:lang w:eastAsia="en-US"/>
        </w:rPr>
        <w:t xml:space="preserve">27,3% </w:t>
      </w:r>
      <w:r w:rsidR="007F09E4">
        <w:rPr>
          <w:rFonts w:ascii="Calibri" w:eastAsia="Calibri" w:hAnsi="Calibri" w:cs="Times New Roman"/>
          <w:sz w:val="24"/>
          <w:szCs w:val="24"/>
          <w:lang w:eastAsia="en-US"/>
        </w:rPr>
        <w:t>τ</w:t>
      </w:r>
      <w:r w:rsidR="000E5F16">
        <w:rPr>
          <w:rFonts w:ascii="Calibri" w:eastAsia="Calibri" w:hAnsi="Calibri" w:cs="Times New Roman"/>
          <w:sz w:val="24"/>
          <w:szCs w:val="24"/>
          <w:lang w:eastAsia="en-US"/>
        </w:rPr>
        <w:t>ου</w:t>
      </w:r>
      <w:r w:rsidR="007F09E4">
        <w:rPr>
          <w:rFonts w:ascii="Calibri" w:eastAsia="Calibri" w:hAnsi="Calibri" w:cs="Times New Roman"/>
          <w:sz w:val="24"/>
          <w:szCs w:val="24"/>
          <w:lang w:eastAsia="en-US"/>
        </w:rPr>
        <w:t xml:space="preserve"> οποί</w:t>
      </w:r>
      <w:r w:rsidR="000E5F16">
        <w:rPr>
          <w:rFonts w:ascii="Calibri" w:eastAsia="Calibri" w:hAnsi="Calibri" w:cs="Times New Roman"/>
          <w:sz w:val="24"/>
          <w:szCs w:val="24"/>
          <w:lang w:eastAsia="en-US"/>
        </w:rPr>
        <w:t>ου</w:t>
      </w:r>
      <w:r w:rsidR="002B492D">
        <w:rPr>
          <w:rFonts w:ascii="Calibri" w:eastAsia="Calibri" w:hAnsi="Calibri" w:cs="Times New Roman"/>
          <w:sz w:val="24"/>
          <w:szCs w:val="24"/>
          <w:lang w:eastAsia="en-US"/>
        </w:rPr>
        <w:t xml:space="preserve"> ο κύκλος εργασιών παρέμεινε αμετάβλητος. Αντίστροφη είναι η εικόνα για όλες τις άλλες εταιρικές μορφές (Ο.Ε.-ΕΕ,ΕΠΕ,ΙΚΕ, ατομικές επιχειρήσεις)</w:t>
      </w:r>
      <w:r w:rsidR="003D58A2">
        <w:rPr>
          <w:rFonts w:ascii="Calibri" w:eastAsia="Calibri" w:hAnsi="Calibri" w:cs="Times New Roman"/>
          <w:sz w:val="24"/>
          <w:szCs w:val="24"/>
          <w:lang w:eastAsia="en-US"/>
        </w:rPr>
        <w:t>. Σχεδόν μία στις δύο Ο.Ε.-Ε.Ε.-ΕΠΕ (45,3%) δήλωσαν μείωση του κύκλου εργασιών και μόλις μία στις τέσσερις (26%) αύξηση. Πιο ισορροπημένη είναι η εικόνα των ΙΚΕ</w:t>
      </w:r>
      <w:r w:rsidR="007F09E4">
        <w:rPr>
          <w:rFonts w:ascii="Calibri" w:eastAsia="Calibri" w:hAnsi="Calibri" w:cs="Times New Roman"/>
          <w:sz w:val="24"/>
          <w:szCs w:val="24"/>
          <w:lang w:eastAsia="en-US"/>
        </w:rPr>
        <w:t>,</w:t>
      </w:r>
      <w:r w:rsidR="003D58A2">
        <w:rPr>
          <w:rFonts w:ascii="Calibri" w:eastAsia="Calibri" w:hAnsi="Calibri" w:cs="Times New Roman"/>
          <w:sz w:val="24"/>
          <w:szCs w:val="24"/>
          <w:lang w:eastAsia="en-US"/>
        </w:rPr>
        <w:t xml:space="preserve"> </w:t>
      </w:r>
      <w:r w:rsidR="000E5F16">
        <w:rPr>
          <w:rFonts w:ascii="Calibri" w:eastAsia="Calibri" w:hAnsi="Calibri" w:cs="Times New Roman"/>
          <w:sz w:val="24"/>
          <w:szCs w:val="24"/>
          <w:lang w:eastAsia="en-US"/>
        </w:rPr>
        <w:t>για τις οποίες</w:t>
      </w:r>
      <w:r w:rsidR="003D58A2">
        <w:rPr>
          <w:rFonts w:ascii="Calibri" w:eastAsia="Calibri" w:hAnsi="Calibri" w:cs="Times New Roman"/>
          <w:sz w:val="24"/>
          <w:szCs w:val="24"/>
          <w:lang w:eastAsia="en-US"/>
        </w:rPr>
        <w:t xml:space="preserve"> η αύξηση του κύκλου εργασιών υπερτερεί ελαφρώς των επιχειρήσεων που δήλωσαν μείωση, 26,8% έναντι 24,4% αντίστοιχα, ενώ ιδιαίτερα δυσχερής είναι η κατάσταση της ατομικών επιχειρήσεων (που αποτελούν και την πλειοψηφία των πολύ μικρών και μικρών επιχειρήσεων)</w:t>
      </w:r>
      <w:r w:rsidR="007F09E4">
        <w:rPr>
          <w:rFonts w:ascii="Calibri" w:eastAsia="Calibri" w:hAnsi="Calibri" w:cs="Times New Roman"/>
          <w:sz w:val="24"/>
          <w:szCs w:val="24"/>
          <w:lang w:eastAsia="en-US"/>
        </w:rPr>
        <w:t xml:space="preserve">, από τις οποίες </w:t>
      </w:r>
      <w:r w:rsidR="003D58A2">
        <w:rPr>
          <w:rFonts w:ascii="Calibri" w:eastAsia="Calibri" w:hAnsi="Calibri" w:cs="Times New Roman"/>
          <w:sz w:val="24"/>
          <w:szCs w:val="24"/>
          <w:lang w:eastAsia="en-US"/>
        </w:rPr>
        <w:t>μόλις το 15,8% παρουσιάζει αύξηση του κύκλου των εργασιών</w:t>
      </w:r>
      <w:r w:rsidR="007F09E4">
        <w:rPr>
          <w:rFonts w:ascii="Calibri" w:eastAsia="Calibri" w:hAnsi="Calibri" w:cs="Times New Roman"/>
          <w:sz w:val="24"/>
          <w:szCs w:val="24"/>
          <w:lang w:eastAsia="en-US"/>
        </w:rPr>
        <w:t>,</w:t>
      </w:r>
      <w:r w:rsidR="003D58A2">
        <w:rPr>
          <w:rFonts w:ascii="Calibri" w:eastAsia="Calibri" w:hAnsi="Calibri" w:cs="Times New Roman"/>
          <w:sz w:val="24"/>
          <w:szCs w:val="24"/>
          <w:lang w:eastAsia="en-US"/>
        </w:rPr>
        <w:t xml:space="preserve"> τη στιγμή που το 50,3% εμφανίζει συρρίκνωση. </w:t>
      </w:r>
      <w:r w:rsidR="002B492D">
        <w:rPr>
          <w:rFonts w:ascii="Calibri" w:eastAsia="Calibri" w:hAnsi="Calibri" w:cs="Times New Roman"/>
          <w:sz w:val="24"/>
          <w:szCs w:val="24"/>
          <w:lang w:eastAsia="en-US"/>
        </w:rPr>
        <w:t xml:space="preserve"> </w:t>
      </w:r>
      <w:r w:rsidR="007F09E4">
        <w:rPr>
          <w:rFonts w:ascii="Calibri" w:eastAsia="Calibri" w:hAnsi="Calibri" w:cs="Times New Roman"/>
          <w:sz w:val="24"/>
          <w:szCs w:val="24"/>
          <w:lang w:eastAsia="en-US"/>
        </w:rPr>
        <w:t>Όσον αφορά</w:t>
      </w:r>
      <w:r w:rsidR="003D58A2">
        <w:rPr>
          <w:rFonts w:ascii="Calibri" w:eastAsia="Calibri" w:hAnsi="Calibri" w:cs="Times New Roman"/>
          <w:sz w:val="24"/>
          <w:szCs w:val="24"/>
          <w:lang w:eastAsia="en-US"/>
        </w:rPr>
        <w:t xml:space="preserve"> τον τζίρο των επιχειρήσεων</w:t>
      </w:r>
      <w:r w:rsidR="007F09E4">
        <w:rPr>
          <w:rFonts w:ascii="Calibri" w:eastAsia="Calibri" w:hAnsi="Calibri" w:cs="Times New Roman"/>
          <w:sz w:val="24"/>
          <w:szCs w:val="24"/>
          <w:lang w:eastAsia="en-US"/>
        </w:rPr>
        <w:t>,</w:t>
      </w:r>
      <w:r w:rsidR="003D58A2">
        <w:rPr>
          <w:rFonts w:ascii="Calibri" w:eastAsia="Calibri" w:hAnsi="Calibri" w:cs="Times New Roman"/>
          <w:sz w:val="24"/>
          <w:szCs w:val="24"/>
          <w:lang w:eastAsia="en-US"/>
        </w:rPr>
        <w:t xml:space="preserve"> παρατηρείται ότι περίπου των 50% των επιχειρήσεων με τζίρο μέχρι 300.000€ διαπιστώνουν </w:t>
      </w:r>
      <w:r w:rsidR="00D90A4D">
        <w:rPr>
          <w:rFonts w:ascii="Calibri" w:eastAsia="Calibri" w:hAnsi="Calibri" w:cs="Times New Roman"/>
          <w:sz w:val="24"/>
          <w:szCs w:val="24"/>
          <w:lang w:eastAsia="en-US"/>
        </w:rPr>
        <w:t>μείωση</w:t>
      </w:r>
      <w:r w:rsidR="003D58A2">
        <w:rPr>
          <w:rFonts w:ascii="Calibri" w:eastAsia="Calibri" w:hAnsi="Calibri" w:cs="Times New Roman"/>
          <w:sz w:val="24"/>
          <w:szCs w:val="24"/>
          <w:lang w:eastAsia="en-US"/>
        </w:rPr>
        <w:t xml:space="preserve"> του κύκλου εργασιών, σε αντιδιαστολή με τις επιχειρήσεις που ξεπερνούν τις 300.000€ τζίρο</w:t>
      </w:r>
      <w:r w:rsidR="007F09E4">
        <w:rPr>
          <w:rFonts w:ascii="Calibri" w:eastAsia="Calibri" w:hAnsi="Calibri" w:cs="Times New Roman"/>
          <w:sz w:val="24"/>
          <w:szCs w:val="24"/>
          <w:lang w:eastAsia="en-US"/>
        </w:rPr>
        <w:t>,</w:t>
      </w:r>
      <w:r w:rsidR="003D58A2">
        <w:rPr>
          <w:rFonts w:ascii="Calibri" w:eastAsia="Calibri" w:hAnsi="Calibri" w:cs="Times New Roman"/>
          <w:sz w:val="24"/>
          <w:szCs w:val="24"/>
          <w:lang w:eastAsia="en-US"/>
        </w:rPr>
        <w:t xml:space="preserve"> </w:t>
      </w:r>
      <w:r w:rsidR="000E5F16">
        <w:rPr>
          <w:rFonts w:ascii="Calibri" w:eastAsia="Calibri" w:hAnsi="Calibri" w:cs="Times New Roman"/>
          <w:sz w:val="24"/>
          <w:szCs w:val="24"/>
          <w:lang w:eastAsia="en-US"/>
        </w:rPr>
        <w:t>από τις οποίες</w:t>
      </w:r>
      <w:r w:rsidR="003D58A2">
        <w:rPr>
          <w:rFonts w:ascii="Calibri" w:eastAsia="Calibri" w:hAnsi="Calibri" w:cs="Times New Roman"/>
          <w:sz w:val="24"/>
          <w:szCs w:val="24"/>
          <w:lang w:eastAsia="en-US"/>
        </w:rPr>
        <w:t xml:space="preserve"> το 40,2% παρουσιάζει </w:t>
      </w:r>
      <w:r w:rsidR="00D90A4D">
        <w:rPr>
          <w:rFonts w:ascii="Calibri" w:eastAsia="Calibri" w:hAnsi="Calibri" w:cs="Times New Roman"/>
          <w:sz w:val="24"/>
          <w:szCs w:val="24"/>
          <w:lang w:eastAsia="en-US"/>
        </w:rPr>
        <w:t>αύξηση</w:t>
      </w:r>
      <w:r w:rsidR="003D58A2">
        <w:rPr>
          <w:rFonts w:ascii="Calibri" w:eastAsia="Calibri" w:hAnsi="Calibri" w:cs="Times New Roman"/>
          <w:sz w:val="24"/>
          <w:szCs w:val="24"/>
          <w:lang w:eastAsia="en-US"/>
        </w:rPr>
        <w:t xml:space="preserve"> του κύκλου εργασιών. </w:t>
      </w:r>
    </w:p>
    <w:p w14:paraId="35535185" w14:textId="0CD56563" w:rsidR="003D58A2" w:rsidRDefault="003D58A2" w:rsidP="003B5CAF">
      <w:pPr>
        <w:spacing w:after="160" w:line="360" w:lineRule="auto"/>
        <w:jc w:val="both"/>
        <w:rPr>
          <w:rFonts w:ascii="Calibri" w:eastAsia="Calibri" w:hAnsi="Calibri" w:cs="Times New Roman"/>
          <w:sz w:val="24"/>
          <w:szCs w:val="24"/>
          <w:lang w:eastAsia="en-US"/>
        </w:rPr>
      </w:pPr>
      <w:r>
        <w:rPr>
          <w:rFonts w:ascii="Calibri" w:eastAsia="Calibri" w:hAnsi="Calibri" w:cs="Times New Roman"/>
          <w:sz w:val="24"/>
          <w:szCs w:val="24"/>
          <w:lang w:eastAsia="en-US"/>
        </w:rPr>
        <w:t>Η εικόνα αυτή της αγοράς είναι παρόμοια σε όλη την επικράτεια</w:t>
      </w:r>
      <w:r w:rsidR="00C908F0">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γεγονός που </w:t>
      </w:r>
      <w:r w:rsidR="00C908F0">
        <w:rPr>
          <w:rFonts w:ascii="Calibri" w:eastAsia="Calibri" w:hAnsi="Calibri" w:cs="Times New Roman"/>
          <w:sz w:val="24"/>
          <w:szCs w:val="24"/>
          <w:lang w:eastAsia="en-US"/>
        </w:rPr>
        <w:t xml:space="preserve">συνδέεται </w:t>
      </w:r>
      <w:r w:rsidR="00B60D6C">
        <w:rPr>
          <w:rFonts w:ascii="Calibri" w:eastAsia="Calibri" w:hAnsi="Calibri" w:cs="Times New Roman"/>
          <w:sz w:val="24"/>
          <w:szCs w:val="24"/>
          <w:lang w:eastAsia="en-US"/>
        </w:rPr>
        <w:t xml:space="preserve">με την παρατεταμένη κρίση ακρίβειας. Μεγαλύτερο είναι το πλήγμα σε κλάδους που σχετίζονται με την άμεση </w:t>
      </w:r>
      <w:r w:rsidR="00B60D6C">
        <w:rPr>
          <w:rFonts w:ascii="Calibri" w:eastAsia="Calibri" w:hAnsi="Calibri" w:cs="Times New Roman"/>
          <w:sz w:val="24"/>
          <w:szCs w:val="24"/>
          <w:lang w:eastAsia="en-US"/>
        </w:rPr>
        <w:lastRenderedPageBreak/>
        <w:t>κατανάλωση, όπως είναι το εμπόριο</w:t>
      </w:r>
      <w:r w:rsidR="00C908F0">
        <w:rPr>
          <w:rFonts w:ascii="Calibri" w:eastAsia="Calibri" w:hAnsi="Calibri" w:cs="Times New Roman"/>
          <w:sz w:val="24"/>
          <w:szCs w:val="24"/>
          <w:lang w:eastAsia="en-US"/>
        </w:rPr>
        <w:t>,</w:t>
      </w:r>
      <w:r w:rsidR="00B60D6C">
        <w:rPr>
          <w:rFonts w:ascii="Calibri" w:eastAsia="Calibri" w:hAnsi="Calibri" w:cs="Times New Roman"/>
          <w:sz w:val="24"/>
          <w:szCs w:val="24"/>
          <w:lang w:eastAsia="en-US"/>
        </w:rPr>
        <w:t xml:space="preserve"> όπου το 57,9% των επιχειρήσεων </w:t>
      </w:r>
      <w:r w:rsidR="00D90A4D">
        <w:rPr>
          <w:rFonts w:ascii="Calibri" w:eastAsia="Calibri" w:hAnsi="Calibri" w:cs="Times New Roman"/>
          <w:sz w:val="24"/>
          <w:szCs w:val="24"/>
          <w:lang w:eastAsia="en-US"/>
        </w:rPr>
        <w:t>δηλώνουν</w:t>
      </w:r>
      <w:r w:rsidR="00B60D6C">
        <w:rPr>
          <w:rFonts w:ascii="Calibri" w:eastAsia="Calibri" w:hAnsi="Calibri" w:cs="Times New Roman"/>
          <w:sz w:val="24"/>
          <w:szCs w:val="24"/>
          <w:lang w:eastAsia="en-US"/>
        </w:rPr>
        <w:t xml:space="preserve"> μείωση του κύκλου εργασιών έναντι </w:t>
      </w:r>
      <w:r w:rsidR="0048186B">
        <w:rPr>
          <w:rFonts w:ascii="Calibri" w:eastAsia="Calibri" w:hAnsi="Calibri" w:cs="Times New Roman"/>
          <w:sz w:val="24"/>
          <w:szCs w:val="24"/>
          <w:lang w:eastAsia="en-US"/>
        </w:rPr>
        <w:t xml:space="preserve">του </w:t>
      </w:r>
      <w:r w:rsidR="00B60D6C">
        <w:rPr>
          <w:rFonts w:ascii="Calibri" w:eastAsia="Calibri" w:hAnsi="Calibri" w:cs="Times New Roman"/>
          <w:sz w:val="24"/>
          <w:szCs w:val="24"/>
          <w:lang w:eastAsia="en-US"/>
        </w:rPr>
        <w:t>μόλις 13,4% που είχαν αύξηση του κύκλου εργασιών. Ελαφρώς καλύτερη</w:t>
      </w:r>
      <w:r w:rsidR="003F42F9">
        <w:rPr>
          <w:rFonts w:ascii="Calibri" w:eastAsia="Calibri" w:hAnsi="Calibri" w:cs="Times New Roman"/>
          <w:sz w:val="24"/>
          <w:szCs w:val="24"/>
          <w:lang w:eastAsia="en-US"/>
        </w:rPr>
        <w:t>,</w:t>
      </w:r>
      <w:r w:rsidR="00B60D6C">
        <w:rPr>
          <w:rFonts w:ascii="Calibri" w:eastAsia="Calibri" w:hAnsi="Calibri" w:cs="Times New Roman"/>
          <w:sz w:val="24"/>
          <w:szCs w:val="24"/>
          <w:lang w:eastAsia="en-US"/>
        </w:rPr>
        <w:t xml:space="preserve"> αλλά σε κάθε περίπτωση αρνητική</w:t>
      </w:r>
      <w:r w:rsidR="003F42F9">
        <w:rPr>
          <w:rFonts w:ascii="Calibri" w:eastAsia="Calibri" w:hAnsi="Calibri" w:cs="Times New Roman"/>
          <w:sz w:val="24"/>
          <w:szCs w:val="24"/>
          <w:lang w:eastAsia="en-US"/>
        </w:rPr>
        <w:t>,</w:t>
      </w:r>
      <w:r w:rsidR="00B60D6C">
        <w:rPr>
          <w:rFonts w:ascii="Calibri" w:eastAsia="Calibri" w:hAnsi="Calibri" w:cs="Times New Roman"/>
          <w:sz w:val="24"/>
          <w:szCs w:val="24"/>
          <w:lang w:eastAsia="en-US"/>
        </w:rPr>
        <w:t xml:space="preserve"> είναι η εικόνα των επιχειρήσεων </w:t>
      </w:r>
      <w:r w:rsidR="00D90A4D">
        <w:rPr>
          <w:rFonts w:ascii="Calibri" w:eastAsia="Calibri" w:hAnsi="Calibri" w:cs="Times New Roman"/>
          <w:sz w:val="24"/>
          <w:szCs w:val="24"/>
          <w:lang w:eastAsia="en-US"/>
        </w:rPr>
        <w:t xml:space="preserve">της </w:t>
      </w:r>
      <w:r w:rsidR="00B60D6C">
        <w:rPr>
          <w:rFonts w:ascii="Calibri" w:eastAsia="Calibri" w:hAnsi="Calibri" w:cs="Times New Roman"/>
          <w:sz w:val="24"/>
          <w:szCs w:val="24"/>
          <w:lang w:eastAsia="en-US"/>
        </w:rPr>
        <w:t xml:space="preserve">μεταποίησης και </w:t>
      </w:r>
      <w:r w:rsidR="00D90A4D">
        <w:rPr>
          <w:rFonts w:ascii="Calibri" w:eastAsia="Calibri" w:hAnsi="Calibri" w:cs="Times New Roman"/>
          <w:sz w:val="24"/>
          <w:szCs w:val="24"/>
          <w:lang w:eastAsia="en-US"/>
        </w:rPr>
        <w:t xml:space="preserve">των </w:t>
      </w:r>
      <w:r w:rsidR="00B60D6C">
        <w:rPr>
          <w:rFonts w:ascii="Calibri" w:eastAsia="Calibri" w:hAnsi="Calibri" w:cs="Times New Roman"/>
          <w:sz w:val="24"/>
          <w:szCs w:val="24"/>
          <w:lang w:eastAsia="en-US"/>
        </w:rPr>
        <w:t>υπηρεσιών</w:t>
      </w:r>
      <w:r w:rsidR="00C908F0">
        <w:rPr>
          <w:rFonts w:ascii="Calibri" w:eastAsia="Calibri" w:hAnsi="Calibri" w:cs="Times New Roman"/>
          <w:sz w:val="24"/>
          <w:szCs w:val="24"/>
          <w:lang w:eastAsia="en-US"/>
        </w:rPr>
        <w:t>,</w:t>
      </w:r>
      <w:r w:rsidR="00B60D6C">
        <w:rPr>
          <w:rFonts w:ascii="Calibri" w:eastAsia="Calibri" w:hAnsi="Calibri" w:cs="Times New Roman"/>
          <w:sz w:val="24"/>
          <w:szCs w:val="24"/>
          <w:lang w:eastAsia="en-US"/>
        </w:rPr>
        <w:t xml:space="preserve"> όπου το 43,8% και το 36,5% αντίστοιχα </w:t>
      </w:r>
      <w:r w:rsidR="00D90A4D">
        <w:rPr>
          <w:rFonts w:ascii="Calibri" w:eastAsia="Calibri" w:hAnsi="Calibri" w:cs="Times New Roman"/>
          <w:sz w:val="24"/>
          <w:szCs w:val="24"/>
          <w:lang w:eastAsia="en-US"/>
        </w:rPr>
        <w:t>δηλώνουν</w:t>
      </w:r>
      <w:r w:rsidR="00B60D6C">
        <w:rPr>
          <w:rFonts w:ascii="Calibri" w:eastAsia="Calibri" w:hAnsi="Calibri" w:cs="Times New Roman"/>
          <w:sz w:val="24"/>
          <w:szCs w:val="24"/>
          <w:lang w:eastAsia="en-US"/>
        </w:rPr>
        <w:t xml:space="preserve"> μείωση του κύκλου εργασιών</w:t>
      </w:r>
      <w:r w:rsidR="00C908F0">
        <w:rPr>
          <w:rFonts w:ascii="Calibri" w:eastAsia="Calibri" w:hAnsi="Calibri" w:cs="Times New Roman"/>
          <w:sz w:val="24"/>
          <w:szCs w:val="24"/>
          <w:lang w:eastAsia="en-US"/>
        </w:rPr>
        <w:t>,</w:t>
      </w:r>
      <w:r w:rsidR="00B60D6C">
        <w:rPr>
          <w:rFonts w:ascii="Calibri" w:eastAsia="Calibri" w:hAnsi="Calibri" w:cs="Times New Roman"/>
          <w:sz w:val="24"/>
          <w:szCs w:val="24"/>
          <w:lang w:eastAsia="en-US"/>
        </w:rPr>
        <w:t xml:space="preserve"> έναντι </w:t>
      </w:r>
      <w:r w:rsidR="00C908F0">
        <w:rPr>
          <w:rFonts w:ascii="Calibri" w:eastAsia="Calibri" w:hAnsi="Calibri" w:cs="Times New Roman"/>
          <w:sz w:val="24"/>
          <w:szCs w:val="24"/>
          <w:lang w:eastAsia="en-US"/>
        </w:rPr>
        <w:t xml:space="preserve">του </w:t>
      </w:r>
      <w:r w:rsidR="00B60D6C">
        <w:rPr>
          <w:rFonts w:ascii="Calibri" w:eastAsia="Calibri" w:hAnsi="Calibri" w:cs="Times New Roman"/>
          <w:sz w:val="24"/>
          <w:szCs w:val="24"/>
          <w:lang w:eastAsia="en-US"/>
        </w:rPr>
        <w:t xml:space="preserve">26,6% και 23,7% αντίστοιχα  που </w:t>
      </w:r>
      <w:r w:rsidR="00D90A4D">
        <w:rPr>
          <w:rFonts w:ascii="Calibri" w:eastAsia="Calibri" w:hAnsi="Calibri" w:cs="Times New Roman"/>
          <w:sz w:val="24"/>
          <w:szCs w:val="24"/>
          <w:lang w:eastAsia="en-US"/>
        </w:rPr>
        <w:t xml:space="preserve">δηλώνουν </w:t>
      </w:r>
      <w:r w:rsidR="00B60D6C">
        <w:rPr>
          <w:rFonts w:ascii="Calibri" w:eastAsia="Calibri" w:hAnsi="Calibri" w:cs="Times New Roman"/>
          <w:sz w:val="24"/>
          <w:szCs w:val="24"/>
          <w:lang w:eastAsia="en-US"/>
        </w:rPr>
        <w:t xml:space="preserve">αύξηση του κύκλου εργασιών. </w:t>
      </w:r>
    </w:p>
    <w:p w14:paraId="7E09B8E1" w14:textId="15D7C2F0" w:rsidR="00446C4F" w:rsidRDefault="0029015C" w:rsidP="00A9409B">
      <w:pPr>
        <w:spacing w:after="160" w:line="360" w:lineRule="auto"/>
        <w:jc w:val="both"/>
        <w:rPr>
          <w:rFonts w:ascii="Calibri" w:eastAsia="Calibri" w:hAnsi="Calibri" w:cs="Times New Roman"/>
          <w:sz w:val="24"/>
          <w:szCs w:val="24"/>
          <w:lang w:eastAsia="en-US"/>
        </w:rPr>
      </w:pPr>
      <w:r>
        <w:rPr>
          <w:rFonts w:ascii="Calibri" w:eastAsia="Calibri" w:hAnsi="Calibri" w:cs="Times New Roman"/>
          <w:sz w:val="24"/>
          <w:szCs w:val="24"/>
          <w:lang w:eastAsia="en-US"/>
        </w:rPr>
        <w:t>Θετική</w:t>
      </w:r>
      <w:r w:rsidR="00F65541">
        <w:rPr>
          <w:rFonts w:ascii="Calibri" w:eastAsia="Calibri" w:hAnsi="Calibri" w:cs="Times New Roman"/>
          <w:sz w:val="24"/>
          <w:szCs w:val="24"/>
          <w:lang w:eastAsia="en-US"/>
        </w:rPr>
        <w:t>,</w:t>
      </w:r>
      <w:r w:rsidR="00446C4F" w:rsidRPr="001305B4">
        <w:rPr>
          <w:rFonts w:ascii="Calibri" w:eastAsia="Calibri" w:hAnsi="Calibri" w:cs="Times New Roman"/>
          <w:sz w:val="24"/>
          <w:szCs w:val="24"/>
          <w:lang w:eastAsia="en-US"/>
        </w:rPr>
        <w:t xml:space="preserve"> επίσης</w:t>
      </w:r>
      <w:r w:rsidR="00F65541">
        <w:rPr>
          <w:rFonts w:ascii="Calibri" w:eastAsia="Calibri" w:hAnsi="Calibri" w:cs="Times New Roman"/>
          <w:sz w:val="24"/>
          <w:szCs w:val="24"/>
          <w:lang w:eastAsia="en-US"/>
        </w:rPr>
        <w:t>,</w:t>
      </w:r>
      <w:r w:rsidR="00446C4F" w:rsidRPr="001305B4">
        <w:rPr>
          <w:rFonts w:ascii="Calibri" w:eastAsia="Calibri" w:hAnsi="Calibri" w:cs="Times New Roman"/>
          <w:sz w:val="24"/>
          <w:szCs w:val="24"/>
          <w:lang w:eastAsia="en-US"/>
        </w:rPr>
        <w:t xml:space="preserve"> είναι η συσχέτιση της αύξησης ή μείωσης του κύκλου εργασιών ανάλογα με τον αριθμό των απασχολούμενων στην επιχείρηση. Συγκεκριμένα</w:t>
      </w:r>
      <w:r w:rsidR="004721CA">
        <w:rPr>
          <w:rFonts w:ascii="Calibri" w:eastAsia="Calibri" w:hAnsi="Calibri" w:cs="Times New Roman"/>
          <w:sz w:val="24"/>
          <w:szCs w:val="24"/>
          <w:lang w:eastAsia="en-US"/>
        </w:rPr>
        <w:t>,</w:t>
      </w:r>
      <w:r w:rsidR="00E61EE5" w:rsidRPr="001305B4">
        <w:rPr>
          <w:rFonts w:ascii="Calibri" w:eastAsia="Calibri" w:hAnsi="Calibri" w:cs="Times New Roman"/>
          <w:sz w:val="24"/>
          <w:szCs w:val="24"/>
          <w:lang w:eastAsia="en-US"/>
        </w:rPr>
        <w:t xml:space="preserve"> μεγαλύτερη ανθεκτικότητα και δυνατότητες ανάπτυξης εμφανίζουν οι επιχειρήσεις που απασχολούν προσωπικό, έναντι όσων δεν απασχολούν προσωπικό</w:t>
      </w:r>
      <w:r>
        <w:rPr>
          <w:rFonts w:ascii="Calibri" w:eastAsia="Calibri" w:hAnsi="Calibri" w:cs="Times New Roman"/>
          <w:sz w:val="24"/>
          <w:szCs w:val="24"/>
          <w:lang w:eastAsia="en-US"/>
        </w:rPr>
        <w:t>,</w:t>
      </w:r>
      <w:r w:rsidR="00E61EE5" w:rsidRPr="001305B4">
        <w:rPr>
          <w:rFonts w:ascii="Calibri" w:eastAsia="Calibri" w:hAnsi="Calibri" w:cs="Times New Roman"/>
          <w:sz w:val="24"/>
          <w:szCs w:val="24"/>
          <w:lang w:eastAsia="en-US"/>
        </w:rPr>
        <w:t xml:space="preserve"> με τη θέση τους να βελτιώνεται όσο αυξάνονται οι θέσεις εργασίας που διατηρούν.</w:t>
      </w:r>
      <w:r w:rsidR="00E61EE5">
        <w:rPr>
          <w:rFonts w:ascii="Calibri" w:eastAsia="Calibri" w:hAnsi="Calibri" w:cs="Times New Roman"/>
          <w:sz w:val="24"/>
          <w:szCs w:val="24"/>
          <w:lang w:eastAsia="en-US"/>
        </w:rPr>
        <w:t xml:space="preserve"> </w:t>
      </w:r>
      <w:r w:rsidR="004721CA">
        <w:rPr>
          <w:rFonts w:ascii="Calibri" w:eastAsia="Calibri" w:hAnsi="Calibri" w:cs="Times New Roman"/>
          <w:sz w:val="24"/>
          <w:szCs w:val="24"/>
          <w:lang w:eastAsia="en-US"/>
        </w:rPr>
        <w:t>Ο</w:t>
      </w:r>
      <w:r w:rsidR="001305B4">
        <w:rPr>
          <w:rFonts w:ascii="Calibri" w:eastAsia="Calibri" w:hAnsi="Calibri" w:cs="Times New Roman"/>
          <w:sz w:val="24"/>
          <w:szCs w:val="24"/>
          <w:lang w:eastAsia="en-US"/>
        </w:rPr>
        <w:t xml:space="preserve">ι επιχειρήσεις που απασχολούν περισσότερα από δέκα άτομα προσωπικό έχουν σαφώς καλύτερα αποτελέσματα συγκριτικά με τις υπόλοιπες επιχειρήσεις, αφού περίπου </w:t>
      </w:r>
      <w:r w:rsidR="00D90A4D">
        <w:rPr>
          <w:rFonts w:ascii="Calibri" w:eastAsia="Calibri" w:hAnsi="Calibri" w:cs="Times New Roman"/>
          <w:sz w:val="24"/>
          <w:szCs w:val="24"/>
          <w:lang w:eastAsia="en-US"/>
        </w:rPr>
        <w:t>1</w:t>
      </w:r>
      <w:r w:rsidR="001305B4">
        <w:rPr>
          <w:rFonts w:ascii="Calibri" w:eastAsia="Calibri" w:hAnsi="Calibri" w:cs="Times New Roman"/>
          <w:sz w:val="24"/>
          <w:szCs w:val="24"/>
          <w:lang w:eastAsia="en-US"/>
        </w:rPr>
        <w:t xml:space="preserve"> στις </w:t>
      </w:r>
      <w:r w:rsidR="00D90A4D">
        <w:rPr>
          <w:rFonts w:ascii="Calibri" w:eastAsia="Calibri" w:hAnsi="Calibri" w:cs="Times New Roman"/>
          <w:sz w:val="24"/>
          <w:szCs w:val="24"/>
          <w:lang w:eastAsia="en-US"/>
        </w:rPr>
        <w:t>2</w:t>
      </w:r>
      <w:r w:rsidR="000A2459">
        <w:rPr>
          <w:rFonts w:ascii="Calibri" w:eastAsia="Calibri" w:hAnsi="Calibri" w:cs="Times New Roman"/>
          <w:sz w:val="24"/>
          <w:szCs w:val="24"/>
          <w:lang w:eastAsia="en-US"/>
        </w:rPr>
        <w:t xml:space="preserve"> (47,6%)</w:t>
      </w:r>
      <w:r w:rsidR="001305B4">
        <w:rPr>
          <w:rFonts w:ascii="Calibri" w:eastAsia="Calibri" w:hAnsi="Calibri" w:cs="Times New Roman"/>
          <w:sz w:val="24"/>
          <w:szCs w:val="24"/>
          <w:lang w:eastAsia="en-US"/>
        </w:rPr>
        <w:t xml:space="preserve"> εμφανίζουν αύξηση </w:t>
      </w:r>
      <w:r w:rsidR="004721CA">
        <w:rPr>
          <w:rFonts w:ascii="Calibri" w:eastAsia="Calibri" w:hAnsi="Calibri" w:cs="Times New Roman"/>
          <w:sz w:val="24"/>
          <w:szCs w:val="24"/>
          <w:lang w:eastAsia="en-US"/>
        </w:rPr>
        <w:t xml:space="preserve">του </w:t>
      </w:r>
      <w:r w:rsidR="001305B4">
        <w:rPr>
          <w:rFonts w:ascii="Calibri" w:eastAsia="Calibri" w:hAnsi="Calibri" w:cs="Times New Roman"/>
          <w:sz w:val="24"/>
          <w:szCs w:val="24"/>
          <w:lang w:eastAsia="en-US"/>
        </w:rPr>
        <w:t>κύκλου εργασιών, 27% αυτών δεν παρουσίασαν μεταβολή και το 25,4% δήλωσ</w:t>
      </w:r>
      <w:r w:rsidR="004721CA">
        <w:rPr>
          <w:rFonts w:ascii="Calibri" w:eastAsia="Calibri" w:hAnsi="Calibri" w:cs="Times New Roman"/>
          <w:sz w:val="24"/>
          <w:szCs w:val="24"/>
          <w:lang w:eastAsia="en-US"/>
        </w:rPr>
        <w:t>ε</w:t>
      </w:r>
      <w:r w:rsidR="001305B4">
        <w:rPr>
          <w:rFonts w:ascii="Calibri" w:eastAsia="Calibri" w:hAnsi="Calibri" w:cs="Times New Roman"/>
          <w:sz w:val="24"/>
          <w:szCs w:val="24"/>
          <w:lang w:eastAsia="en-US"/>
        </w:rPr>
        <w:t xml:space="preserve"> μείωση κύκλου εργασιών. Αντίστροφη είναι η εικόνα των επιχειρήσεων με 7 έως 10 άτομα προσωπικό, </w:t>
      </w:r>
      <w:r w:rsidR="004721CA">
        <w:rPr>
          <w:rFonts w:ascii="Calibri" w:eastAsia="Calibri" w:hAnsi="Calibri" w:cs="Times New Roman"/>
          <w:sz w:val="24"/>
          <w:szCs w:val="24"/>
          <w:lang w:eastAsia="en-US"/>
        </w:rPr>
        <w:t xml:space="preserve">αφού </w:t>
      </w:r>
      <w:r w:rsidR="001305B4">
        <w:rPr>
          <w:rFonts w:ascii="Calibri" w:eastAsia="Calibri" w:hAnsi="Calibri" w:cs="Times New Roman"/>
          <w:sz w:val="24"/>
          <w:szCs w:val="24"/>
          <w:lang w:eastAsia="en-US"/>
        </w:rPr>
        <w:t>το 54,7% εμφανίζ</w:t>
      </w:r>
      <w:r w:rsidR="004721CA">
        <w:rPr>
          <w:rFonts w:ascii="Calibri" w:eastAsia="Calibri" w:hAnsi="Calibri" w:cs="Times New Roman"/>
          <w:sz w:val="24"/>
          <w:szCs w:val="24"/>
          <w:lang w:eastAsia="en-US"/>
        </w:rPr>
        <w:t>ει</w:t>
      </w:r>
      <w:r w:rsidR="001305B4">
        <w:rPr>
          <w:rFonts w:ascii="Calibri" w:eastAsia="Calibri" w:hAnsi="Calibri" w:cs="Times New Roman"/>
          <w:sz w:val="24"/>
          <w:szCs w:val="24"/>
          <w:lang w:eastAsia="en-US"/>
        </w:rPr>
        <w:t xml:space="preserve"> μείωση του κύκλου εργασιών, έναντι </w:t>
      </w:r>
      <w:r w:rsidR="004721CA">
        <w:rPr>
          <w:rFonts w:ascii="Calibri" w:eastAsia="Calibri" w:hAnsi="Calibri" w:cs="Times New Roman"/>
          <w:sz w:val="24"/>
          <w:szCs w:val="24"/>
          <w:lang w:eastAsia="en-US"/>
        </w:rPr>
        <w:t xml:space="preserve">του </w:t>
      </w:r>
      <w:r w:rsidR="001305B4">
        <w:rPr>
          <w:rFonts w:ascii="Calibri" w:eastAsia="Calibri" w:hAnsi="Calibri" w:cs="Times New Roman"/>
          <w:sz w:val="24"/>
          <w:szCs w:val="24"/>
          <w:lang w:eastAsia="en-US"/>
        </w:rPr>
        <w:t>μόλις 20,8% που εμφανίζ</w:t>
      </w:r>
      <w:r w:rsidR="004721CA">
        <w:rPr>
          <w:rFonts w:ascii="Calibri" w:eastAsia="Calibri" w:hAnsi="Calibri" w:cs="Times New Roman"/>
          <w:sz w:val="24"/>
          <w:szCs w:val="24"/>
          <w:lang w:eastAsia="en-US"/>
        </w:rPr>
        <w:t>ει</w:t>
      </w:r>
      <w:r w:rsidR="001305B4">
        <w:rPr>
          <w:rFonts w:ascii="Calibri" w:eastAsia="Calibri" w:hAnsi="Calibri" w:cs="Times New Roman"/>
          <w:sz w:val="24"/>
          <w:szCs w:val="24"/>
          <w:lang w:eastAsia="en-US"/>
        </w:rPr>
        <w:t xml:space="preserve"> αύξηση και </w:t>
      </w:r>
      <w:r w:rsidR="004721CA">
        <w:rPr>
          <w:rFonts w:ascii="Calibri" w:eastAsia="Calibri" w:hAnsi="Calibri" w:cs="Times New Roman"/>
          <w:sz w:val="24"/>
          <w:szCs w:val="24"/>
          <w:lang w:eastAsia="en-US"/>
        </w:rPr>
        <w:t xml:space="preserve">του </w:t>
      </w:r>
      <w:r w:rsidR="001305B4">
        <w:rPr>
          <w:rFonts w:ascii="Calibri" w:eastAsia="Calibri" w:hAnsi="Calibri" w:cs="Times New Roman"/>
          <w:sz w:val="24"/>
          <w:szCs w:val="24"/>
          <w:lang w:eastAsia="en-US"/>
        </w:rPr>
        <w:t>24,5% που εμφανίζ</w:t>
      </w:r>
      <w:r w:rsidR="004721CA">
        <w:rPr>
          <w:rFonts w:ascii="Calibri" w:eastAsia="Calibri" w:hAnsi="Calibri" w:cs="Times New Roman"/>
          <w:sz w:val="24"/>
          <w:szCs w:val="24"/>
          <w:lang w:eastAsia="en-US"/>
        </w:rPr>
        <w:t>ει</w:t>
      </w:r>
      <w:r w:rsidR="001305B4">
        <w:rPr>
          <w:rFonts w:ascii="Calibri" w:eastAsia="Calibri" w:hAnsi="Calibri" w:cs="Times New Roman"/>
          <w:sz w:val="24"/>
          <w:szCs w:val="24"/>
          <w:lang w:eastAsia="en-US"/>
        </w:rPr>
        <w:t xml:space="preserve"> αμετάβλητο κύκλο εργασιών.  </w:t>
      </w:r>
    </w:p>
    <w:p w14:paraId="38F0979D" w14:textId="3D52268B" w:rsidR="001E5FC8" w:rsidRDefault="001E5FC8" w:rsidP="00A9409B">
      <w:pPr>
        <w:spacing w:before="120" w:after="120" w:line="360" w:lineRule="auto"/>
        <w:jc w:val="both"/>
        <w:rPr>
          <w:rFonts w:ascii="Calibri" w:eastAsia="Calibri" w:hAnsi="Calibri" w:cs="Times New Roman"/>
          <w:sz w:val="24"/>
          <w:szCs w:val="24"/>
          <w:lang w:eastAsia="en-US"/>
        </w:rPr>
      </w:pPr>
      <w:r>
        <w:rPr>
          <w:noProof/>
        </w:rPr>
        <w:lastRenderedPageBreak/>
        <w:drawing>
          <wp:inline distT="0" distB="0" distL="0" distR="0" wp14:anchorId="139D65C9" wp14:editId="3BBCE425">
            <wp:extent cx="6660515" cy="5646420"/>
            <wp:effectExtent l="0" t="0" r="6985" b="11430"/>
            <wp:docPr id="1368245126" name="Γράφημα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AEA0761" w14:textId="5923452B" w:rsidR="00A9409B" w:rsidRDefault="00A9409B" w:rsidP="00A9409B">
      <w:pPr>
        <w:spacing w:before="120" w:after="120" w:line="360" w:lineRule="auto"/>
        <w:jc w:val="both"/>
        <w:rPr>
          <w:rFonts w:ascii="Calibri" w:eastAsia="Calibri" w:hAnsi="Calibri" w:cs="Times New Roman"/>
          <w:sz w:val="24"/>
          <w:szCs w:val="24"/>
          <w:lang w:eastAsia="en-US"/>
        </w:rPr>
      </w:pPr>
      <w:r w:rsidRPr="00A9409B">
        <w:rPr>
          <w:rFonts w:ascii="Calibri" w:eastAsia="Calibri" w:hAnsi="Calibri" w:cs="Times New Roman"/>
          <w:sz w:val="24"/>
          <w:szCs w:val="24"/>
          <w:lang w:eastAsia="en-US"/>
        </w:rPr>
        <w:t xml:space="preserve">Παρατηρείται, επομένως, γενικά ότι όσο μεγαλύτερο είναι το μέγεθος της επιχείρησης, τόσο </w:t>
      </w:r>
      <w:r w:rsidR="00D90A4D">
        <w:rPr>
          <w:rFonts w:ascii="Calibri" w:eastAsia="Calibri" w:hAnsi="Calibri" w:cs="Times New Roman"/>
          <w:sz w:val="24"/>
          <w:szCs w:val="24"/>
          <w:lang w:eastAsia="en-US"/>
        </w:rPr>
        <w:t>καλύτερες είναι και οι επιδόσεις ως προς τον κύκλο εργασιών</w:t>
      </w:r>
      <w:r w:rsidRPr="00A9409B">
        <w:rPr>
          <w:rFonts w:ascii="Calibri" w:eastAsia="Calibri" w:hAnsi="Calibri" w:cs="Times New Roman"/>
          <w:sz w:val="24"/>
          <w:szCs w:val="24"/>
          <w:lang w:eastAsia="en-US"/>
        </w:rPr>
        <w:t xml:space="preserve">. </w:t>
      </w:r>
      <w:r w:rsidR="00D90A4D">
        <w:rPr>
          <w:rFonts w:ascii="Calibri" w:eastAsia="Calibri" w:hAnsi="Calibri" w:cs="Times New Roman"/>
          <w:sz w:val="24"/>
          <w:szCs w:val="24"/>
          <w:lang w:eastAsia="en-US"/>
        </w:rPr>
        <w:t>Σ</w:t>
      </w:r>
      <w:r w:rsidRPr="00A9409B">
        <w:rPr>
          <w:rFonts w:ascii="Calibri" w:eastAsia="Calibri" w:hAnsi="Calibri" w:cs="Times New Roman"/>
          <w:sz w:val="24"/>
          <w:szCs w:val="24"/>
          <w:lang w:eastAsia="en-US"/>
        </w:rPr>
        <w:t xml:space="preserve">υγκεκριμένα, το 47,6% των επιχειρήσεων με προσωπικό από 10 άτομα και πάνω δήλωσε ότι ο κύκλος εργασιών του έχει αυξηθεί, </w:t>
      </w:r>
      <w:r w:rsidR="00D90A4D">
        <w:rPr>
          <w:rFonts w:ascii="Calibri" w:eastAsia="Calibri" w:hAnsi="Calibri" w:cs="Times New Roman"/>
          <w:sz w:val="24"/>
          <w:szCs w:val="24"/>
          <w:lang w:eastAsia="en-US"/>
        </w:rPr>
        <w:t xml:space="preserve">ενώ από την άλλη μεριά μόλις το </w:t>
      </w:r>
      <w:r w:rsidRPr="00A9409B">
        <w:rPr>
          <w:rFonts w:ascii="Calibri" w:eastAsia="Calibri" w:hAnsi="Calibri" w:cs="Times New Roman"/>
          <w:sz w:val="24"/>
          <w:szCs w:val="24"/>
          <w:lang w:eastAsia="en-US"/>
        </w:rPr>
        <w:t xml:space="preserve">23,3% των πολύ μικρών επιχειρήσεων δήλωσε ότι έχει αυξηθεί, ενώ το ποσοστό αυτό πέφτει ακόμα περισσότερο, στο 10,2%, </w:t>
      </w:r>
      <w:r w:rsidR="00D90A4D">
        <w:rPr>
          <w:rFonts w:ascii="Calibri" w:eastAsia="Calibri" w:hAnsi="Calibri" w:cs="Times New Roman"/>
          <w:sz w:val="24"/>
          <w:szCs w:val="24"/>
          <w:lang w:eastAsia="en-US"/>
        </w:rPr>
        <w:t xml:space="preserve">για τις </w:t>
      </w:r>
      <w:r w:rsidRPr="00A9409B">
        <w:rPr>
          <w:rFonts w:ascii="Calibri" w:eastAsia="Calibri" w:hAnsi="Calibri" w:cs="Times New Roman"/>
          <w:sz w:val="24"/>
          <w:szCs w:val="24"/>
          <w:lang w:eastAsia="en-US"/>
        </w:rPr>
        <w:t>επιχειρήσεις χωρίς προσωπικό. Αντίστοιχα, λοιπόν, οι μικρές και μεσαίες επιχειρήσεις, με προσωπικό από 10 άτομα και πάνω, εμφανίζουν το μικρότερο ποσοστό μείωσης κύκλου εργασιών (25,4%), με το ποσοστό αυτό, σε μια αντιστρόφως ανάλογη πορεία, να αυξάνεται όσο το μέγεθος της επιχείρησης μειώνεται. Πιο συγκεκριμένα, το 44,5% των πολύ μικρών επιχειρήσεων, με προσωπικό από 1 έως 9 άτομα, δήλωσε ότι ο κύκλος εργασιών του μειώθηκε, με το ποσοστό αυτό να φτάνει στο 53,5% για επιχειρήσεις χωρίς προσωπικό.</w:t>
      </w:r>
    </w:p>
    <w:p w14:paraId="4BC6C100" w14:textId="77777777" w:rsidR="00D90A4D" w:rsidRPr="00A9409B" w:rsidRDefault="00D90A4D" w:rsidP="00A9409B">
      <w:pPr>
        <w:spacing w:before="120" w:after="120" w:line="360" w:lineRule="auto"/>
        <w:jc w:val="both"/>
        <w:rPr>
          <w:rFonts w:ascii="Calibri" w:eastAsia="Calibri" w:hAnsi="Calibri" w:cs="Times New Roman"/>
          <w:sz w:val="24"/>
          <w:szCs w:val="24"/>
          <w:lang w:eastAsia="en-US"/>
        </w:rPr>
      </w:pPr>
    </w:p>
    <w:tbl>
      <w:tblPr>
        <w:tblW w:w="5000" w:type="pct"/>
        <w:tblLook w:val="04A0" w:firstRow="1" w:lastRow="0" w:firstColumn="1" w:lastColumn="0" w:noHBand="0" w:noVBand="1"/>
      </w:tblPr>
      <w:tblGrid>
        <w:gridCol w:w="1800"/>
        <w:gridCol w:w="1425"/>
        <w:gridCol w:w="1939"/>
        <w:gridCol w:w="5315"/>
      </w:tblGrid>
      <w:tr w:rsidR="00D90A4D" w:rsidRPr="00177844" w14:paraId="334C2931" w14:textId="77777777" w:rsidTr="00D90A4D">
        <w:trPr>
          <w:trHeight w:val="482"/>
        </w:trPr>
        <w:tc>
          <w:tcPr>
            <w:tcW w:w="5000" w:type="pct"/>
            <w:gridSpan w:val="4"/>
            <w:tcBorders>
              <w:top w:val="single" w:sz="4" w:space="0" w:color="auto"/>
              <w:left w:val="single" w:sz="4" w:space="0" w:color="auto"/>
              <w:bottom w:val="single" w:sz="4" w:space="0" w:color="auto"/>
              <w:right w:val="single" w:sz="4" w:space="0" w:color="auto"/>
            </w:tcBorders>
            <w:shd w:val="clear" w:color="D9E1F2" w:fill="D9E1F2"/>
            <w:vAlign w:val="bottom"/>
          </w:tcPr>
          <w:p w14:paraId="223B3719" w14:textId="5FBC985C" w:rsidR="001E5FC8" w:rsidRDefault="001E5FC8" w:rsidP="00973AB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Πίνακας 1</w:t>
            </w:r>
          </w:p>
          <w:p w14:paraId="33800F58" w14:textId="0AD82CCC" w:rsidR="00D90A4D" w:rsidRDefault="00D90A4D" w:rsidP="00973AB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Μεταβολή κύκλου εργασιών Α εξάμηνο  </w:t>
            </w:r>
            <w:r w:rsidR="001E5FC8">
              <w:rPr>
                <w:rFonts w:ascii="Calibri" w:eastAsia="Times New Roman" w:hAnsi="Calibri" w:cs="Calibri"/>
                <w:b/>
                <w:bCs/>
                <w:color w:val="000000"/>
              </w:rPr>
              <w:t xml:space="preserve">2024 </w:t>
            </w:r>
          </w:p>
          <w:p w14:paraId="4AE7A25A" w14:textId="6CBB1D5A" w:rsidR="001E5FC8" w:rsidRPr="00A9409B" w:rsidRDefault="001E5FC8" w:rsidP="00973ABE">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-Επιχειρήσεις βάσει τάξη μεγέθους απασχόλησης-</w:t>
            </w:r>
          </w:p>
        </w:tc>
      </w:tr>
      <w:tr w:rsidR="00A9409B" w:rsidRPr="00177844" w14:paraId="1E1A4F80" w14:textId="77777777" w:rsidTr="00D90A4D">
        <w:trPr>
          <w:trHeight w:val="482"/>
        </w:trPr>
        <w:tc>
          <w:tcPr>
            <w:tcW w:w="859" w:type="pct"/>
            <w:tcBorders>
              <w:top w:val="single" w:sz="4" w:space="0" w:color="auto"/>
              <w:left w:val="single" w:sz="4" w:space="0" w:color="auto"/>
              <w:bottom w:val="single" w:sz="4" w:space="0" w:color="auto"/>
              <w:right w:val="single" w:sz="4" w:space="0" w:color="auto"/>
            </w:tcBorders>
            <w:shd w:val="clear" w:color="D9E1F2" w:fill="D9E1F2"/>
            <w:vAlign w:val="bottom"/>
            <w:hideMark/>
          </w:tcPr>
          <w:p w14:paraId="2F2A0AC7" w14:textId="77777777" w:rsidR="00A9409B" w:rsidRPr="00A9409B" w:rsidRDefault="00A9409B" w:rsidP="00973ABE">
            <w:pPr>
              <w:spacing w:after="0" w:line="240" w:lineRule="auto"/>
              <w:jc w:val="center"/>
              <w:rPr>
                <w:rFonts w:ascii="Calibri" w:eastAsia="Times New Roman" w:hAnsi="Calibri" w:cs="Calibri"/>
                <w:b/>
                <w:bCs/>
                <w:color w:val="000000"/>
              </w:rPr>
            </w:pPr>
            <w:r w:rsidRPr="00A9409B">
              <w:rPr>
                <w:rFonts w:ascii="Calibri" w:eastAsia="Times New Roman" w:hAnsi="Calibri" w:cs="Calibri"/>
                <w:b/>
                <w:bCs/>
                <w:color w:val="000000"/>
              </w:rPr>
              <w:t> </w:t>
            </w:r>
          </w:p>
        </w:tc>
        <w:tc>
          <w:tcPr>
            <w:tcW w:w="680" w:type="pct"/>
            <w:tcBorders>
              <w:top w:val="single" w:sz="4" w:space="0" w:color="auto"/>
              <w:left w:val="nil"/>
              <w:bottom w:val="single" w:sz="4" w:space="0" w:color="auto"/>
              <w:right w:val="single" w:sz="4" w:space="0" w:color="auto"/>
            </w:tcBorders>
            <w:shd w:val="clear" w:color="D9E1F2" w:fill="D9E1F2"/>
            <w:vAlign w:val="bottom"/>
            <w:hideMark/>
          </w:tcPr>
          <w:p w14:paraId="7AEC358D" w14:textId="77777777" w:rsidR="00A9409B" w:rsidRPr="00A9409B" w:rsidRDefault="00A9409B" w:rsidP="00973ABE">
            <w:pPr>
              <w:spacing w:after="0" w:line="240" w:lineRule="auto"/>
              <w:jc w:val="center"/>
              <w:rPr>
                <w:rFonts w:ascii="Calibri" w:eastAsia="Times New Roman" w:hAnsi="Calibri" w:cs="Calibri"/>
                <w:b/>
                <w:bCs/>
                <w:color w:val="000000"/>
              </w:rPr>
            </w:pPr>
            <w:r w:rsidRPr="00A9409B">
              <w:rPr>
                <w:rFonts w:ascii="Calibri" w:eastAsia="Times New Roman" w:hAnsi="Calibri" w:cs="Calibri"/>
                <w:b/>
                <w:bCs/>
                <w:color w:val="000000"/>
              </w:rPr>
              <w:t>Χωρίς προσωπικό</w:t>
            </w:r>
          </w:p>
        </w:tc>
        <w:tc>
          <w:tcPr>
            <w:tcW w:w="925" w:type="pct"/>
            <w:tcBorders>
              <w:top w:val="single" w:sz="4" w:space="0" w:color="auto"/>
              <w:left w:val="nil"/>
              <w:bottom w:val="single" w:sz="4" w:space="0" w:color="auto"/>
              <w:right w:val="single" w:sz="4" w:space="0" w:color="auto"/>
            </w:tcBorders>
            <w:shd w:val="clear" w:color="D9E1F2" w:fill="D9E1F2"/>
            <w:vAlign w:val="bottom"/>
            <w:hideMark/>
          </w:tcPr>
          <w:p w14:paraId="52CF6A71" w14:textId="62FF9234" w:rsidR="00A9409B" w:rsidRPr="00A9409B" w:rsidRDefault="00A9409B" w:rsidP="00973ABE">
            <w:pPr>
              <w:spacing w:after="0" w:line="240" w:lineRule="auto"/>
              <w:jc w:val="center"/>
              <w:rPr>
                <w:rFonts w:ascii="Calibri" w:eastAsia="Times New Roman" w:hAnsi="Calibri" w:cs="Calibri"/>
                <w:b/>
                <w:bCs/>
                <w:color w:val="000000"/>
              </w:rPr>
            </w:pPr>
            <w:r w:rsidRPr="00A9409B">
              <w:rPr>
                <w:rFonts w:ascii="Calibri" w:eastAsia="Times New Roman" w:hAnsi="Calibri" w:cs="Calibri"/>
                <w:b/>
                <w:bCs/>
                <w:color w:val="000000"/>
              </w:rPr>
              <w:t>Πολύ μικρή (1-9 εργαζόμενοι</w:t>
            </w:r>
            <w:r w:rsidR="002650CB">
              <w:rPr>
                <w:rFonts w:ascii="Calibri" w:eastAsia="Times New Roman" w:hAnsi="Calibri" w:cs="Calibri"/>
                <w:b/>
                <w:bCs/>
                <w:color w:val="000000"/>
              </w:rPr>
              <w:t>/ες</w:t>
            </w:r>
            <w:r w:rsidRPr="00A9409B">
              <w:rPr>
                <w:rFonts w:ascii="Calibri" w:eastAsia="Times New Roman" w:hAnsi="Calibri" w:cs="Calibri"/>
                <w:b/>
                <w:bCs/>
                <w:color w:val="000000"/>
              </w:rPr>
              <w:t>)</w:t>
            </w:r>
          </w:p>
        </w:tc>
        <w:tc>
          <w:tcPr>
            <w:tcW w:w="2536" w:type="pct"/>
            <w:tcBorders>
              <w:top w:val="single" w:sz="4" w:space="0" w:color="auto"/>
              <w:left w:val="nil"/>
              <w:bottom w:val="single" w:sz="4" w:space="0" w:color="auto"/>
              <w:right w:val="single" w:sz="4" w:space="0" w:color="auto"/>
            </w:tcBorders>
            <w:shd w:val="clear" w:color="D9E1F2" w:fill="D9E1F2"/>
            <w:vAlign w:val="bottom"/>
            <w:hideMark/>
          </w:tcPr>
          <w:p w14:paraId="7A335394" w14:textId="77777777" w:rsidR="00A9409B" w:rsidRPr="00A9409B" w:rsidRDefault="00A9409B" w:rsidP="00973ABE">
            <w:pPr>
              <w:spacing w:after="0" w:line="240" w:lineRule="auto"/>
              <w:jc w:val="center"/>
              <w:rPr>
                <w:rFonts w:ascii="Calibri" w:eastAsia="Times New Roman" w:hAnsi="Calibri" w:cs="Calibri"/>
                <w:b/>
                <w:bCs/>
                <w:color w:val="000000"/>
              </w:rPr>
            </w:pPr>
            <w:r w:rsidRPr="00A9409B">
              <w:rPr>
                <w:rFonts w:ascii="Calibri" w:eastAsia="Times New Roman" w:hAnsi="Calibri" w:cs="Calibri"/>
                <w:b/>
                <w:bCs/>
                <w:color w:val="000000"/>
              </w:rPr>
              <w:t>Μικρή - Μεσαία (10 και άνω άτομα προσωπικό)</w:t>
            </w:r>
          </w:p>
        </w:tc>
      </w:tr>
      <w:tr w:rsidR="00A9409B" w:rsidRPr="00177844" w14:paraId="0F582CF3" w14:textId="77777777" w:rsidTr="00D90A4D">
        <w:trPr>
          <w:trHeight w:val="241"/>
        </w:trPr>
        <w:tc>
          <w:tcPr>
            <w:tcW w:w="859" w:type="pct"/>
            <w:tcBorders>
              <w:top w:val="nil"/>
              <w:left w:val="single" w:sz="4" w:space="0" w:color="auto"/>
              <w:bottom w:val="single" w:sz="4" w:space="0" w:color="auto"/>
              <w:right w:val="single" w:sz="4" w:space="0" w:color="auto"/>
            </w:tcBorders>
            <w:shd w:val="clear" w:color="auto" w:fill="auto"/>
            <w:vAlign w:val="bottom"/>
            <w:hideMark/>
          </w:tcPr>
          <w:p w14:paraId="7268A95A" w14:textId="77777777" w:rsidR="00A9409B" w:rsidRPr="00A9409B" w:rsidRDefault="00A9409B" w:rsidP="00973ABE">
            <w:pPr>
              <w:spacing w:after="0" w:line="240" w:lineRule="auto"/>
              <w:rPr>
                <w:rFonts w:ascii="Calibri" w:eastAsia="Times New Roman" w:hAnsi="Calibri" w:cs="Calibri"/>
                <w:color w:val="000000"/>
              </w:rPr>
            </w:pPr>
            <w:r w:rsidRPr="00A9409B">
              <w:rPr>
                <w:rFonts w:ascii="Calibri" w:eastAsia="Times New Roman" w:hAnsi="Calibri" w:cs="Calibri"/>
                <w:color w:val="000000"/>
              </w:rPr>
              <w:t>αυξήθηκε</w:t>
            </w:r>
          </w:p>
        </w:tc>
        <w:tc>
          <w:tcPr>
            <w:tcW w:w="680" w:type="pct"/>
            <w:tcBorders>
              <w:top w:val="nil"/>
              <w:left w:val="nil"/>
              <w:bottom w:val="single" w:sz="4" w:space="0" w:color="auto"/>
              <w:right w:val="single" w:sz="4" w:space="0" w:color="auto"/>
            </w:tcBorders>
            <w:shd w:val="clear" w:color="auto" w:fill="auto"/>
            <w:vAlign w:val="bottom"/>
            <w:hideMark/>
          </w:tcPr>
          <w:p w14:paraId="3435E951"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10,2%</w:t>
            </w:r>
          </w:p>
        </w:tc>
        <w:tc>
          <w:tcPr>
            <w:tcW w:w="925" w:type="pct"/>
            <w:tcBorders>
              <w:top w:val="nil"/>
              <w:left w:val="nil"/>
              <w:bottom w:val="single" w:sz="4" w:space="0" w:color="auto"/>
              <w:right w:val="single" w:sz="4" w:space="0" w:color="auto"/>
            </w:tcBorders>
            <w:shd w:val="clear" w:color="auto" w:fill="auto"/>
            <w:vAlign w:val="bottom"/>
            <w:hideMark/>
          </w:tcPr>
          <w:p w14:paraId="13449994"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23,3%</w:t>
            </w:r>
          </w:p>
        </w:tc>
        <w:tc>
          <w:tcPr>
            <w:tcW w:w="2536" w:type="pct"/>
            <w:tcBorders>
              <w:top w:val="nil"/>
              <w:left w:val="nil"/>
              <w:bottom w:val="single" w:sz="4" w:space="0" w:color="auto"/>
              <w:right w:val="single" w:sz="4" w:space="0" w:color="auto"/>
            </w:tcBorders>
            <w:shd w:val="clear" w:color="auto" w:fill="auto"/>
            <w:vAlign w:val="bottom"/>
            <w:hideMark/>
          </w:tcPr>
          <w:p w14:paraId="49C46B60"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47,6%</w:t>
            </w:r>
          </w:p>
        </w:tc>
      </w:tr>
      <w:tr w:rsidR="00A9409B" w:rsidRPr="00177844" w14:paraId="1F8A1DE8" w14:textId="77777777" w:rsidTr="00D90A4D">
        <w:trPr>
          <w:trHeight w:val="241"/>
        </w:trPr>
        <w:tc>
          <w:tcPr>
            <w:tcW w:w="859" w:type="pct"/>
            <w:tcBorders>
              <w:top w:val="nil"/>
              <w:left w:val="single" w:sz="4" w:space="0" w:color="auto"/>
              <w:bottom w:val="single" w:sz="4" w:space="0" w:color="auto"/>
              <w:right w:val="single" w:sz="4" w:space="0" w:color="auto"/>
            </w:tcBorders>
            <w:shd w:val="clear" w:color="auto" w:fill="auto"/>
            <w:vAlign w:val="bottom"/>
            <w:hideMark/>
          </w:tcPr>
          <w:p w14:paraId="44C12F68" w14:textId="189B50AB" w:rsidR="00A9409B" w:rsidRPr="00A9409B" w:rsidRDefault="00A9409B" w:rsidP="00973ABE">
            <w:pPr>
              <w:spacing w:after="0" w:line="240" w:lineRule="auto"/>
              <w:rPr>
                <w:rFonts w:ascii="Calibri" w:eastAsia="Times New Roman" w:hAnsi="Calibri" w:cs="Calibri"/>
                <w:color w:val="000000"/>
              </w:rPr>
            </w:pPr>
            <w:r w:rsidRPr="00A9409B">
              <w:rPr>
                <w:rFonts w:ascii="Calibri" w:eastAsia="Times New Roman" w:hAnsi="Calibri" w:cs="Calibri"/>
                <w:color w:val="000000"/>
              </w:rPr>
              <w:t>αμετάβλητος</w:t>
            </w:r>
          </w:p>
        </w:tc>
        <w:tc>
          <w:tcPr>
            <w:tcW w:w="680" w:type="pct"/>
            <w:tcBorders>
              <w:top w:val="nil"/>
              <w:left w:val="nil"/>
              <w:bottom w:val="single" w:sz="4" w:space="0" w:color="auto"/>
              <w:right w:val="single" w:sz="4" w:space="0" w:color="auto"/>
            </w:tcBorders>
            <w:shd w:val="clear" w:color="auto" w:fill="auto"/>
            <w:vAlign w:val="bottom"/>
            <w:hideMark/>
          </w:tcPr>
          <w:p w14:paraId="42448D69"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34,9%</w:t>
            </w:r>
          </w:p>
        </w:tc>
        <w:tc>
          <w:tcPr>
            <w:tcW w:w="925" w:type="pct"/>
            <w:tcBorders>
              <w:top w:val="nil"/>
              <w:left w:val="nil"/>
              <w:bottom w:val="single" w:sz="4" w:space="0" w:color="auto"/>
              <w:right w:val="single" w:sz="4" w:space="0" w:color="auto"/>
            </w:tcBorders>
            <w:shd w:val="clear" w:color="auto" w:fill="auto"/>
            <w:vAlign w:val="bottom"/>
            <w:hideMark/>
          </w:tcPr>
          <w:p w14:paraId="5AF1CCCF"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29,3%</w:t>
            </w:r>
          </w:p>
        </w:tc>
        <w:tc>
          <w:tcPr>
            <w:tcW w:w="2536" w:type="pct"/>
            <w:tcBorders>
              <w:top w:val="nil"/>
              <w:left w:val="nil"/>
              <w:bottom w:val="single" w:sz="4" w:space="0" w:color="auto"/>
              <w:right w:val="single" w:sz="4" w:space="0" w:color="auto"/>
            </w:tcBorders>
            <w:shd w:val="clear" w:color="auto" w:fill="auto"/>
            <w:vAlign w:val="bottom"/>
            <w:hideMark/>
          </w:tcPr>
          <w:p w14:paraId="094B0EF9"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27,0%</w:t>
            </w:r>
          </w:p>
        </w:tc>
      </w:tr>
      <w:tr w:rsidR="00A9409B" w:rsidRPr="00177844" w14:paraId="47DF554F" w14:textId="77777777" w:rsidTr="00D90A4D">
        <w:trPr>
          <w:trHeight w:val="241"/>
        </w:trPr>
        <w:tc>
          <w:tcPr>
            <w:tcW w:w="859" w:type="pct"/>
            <w:tcBorders>
              <w:top w:val="nil"/>
              <w:left w:val="single" w:sz="4" w:space="0" w:color="auto"/>
              <w:bottom w:val="single" w:sz="4" w:space="0" w:color="auto"/>
              <w:right w:val="single" w:sz="4" w:space="0" w:color="auto"/>
            </w:tcBorders>
            <w:shd w:val="clear" w:color="auto" w:fill="auto"/>
            <w:vAlign w:val="bottom"/>
            <w:hideMark/>
          </w:tcPr>
          <w:p w14:paraId="10AA10A5" w14:textId="77777777" w:rsidR="00A9409B" w:rsidRPr="00A9409B" w:rsidRDefault="00A9409B" w:rsidP="00973ABE">
            <w:pPr>
              <w:spacing w:after="0" w:line="240" w:lineRule="auto"/>
              <w:rPr>
                <w:rFonts w:ascii="Calibri" w:eastAsia="Times New Roman" w:hAnsi="Calibri" w:cs="Calibri"/>
                <w:color w:val="000000"/>
              </w:rPr>
            </w:pPr>
            <w:r w:rsidRPr="00A9409B">
              <w:rPr>
                <w:rFonts w:ascii="Calibri" w:eastAsia="Times New Roman" w:hAnsi="Calibri" w:cs="Calibri"/>
                <w:color w:val="000000"/>
              </w:rPr>
              <w:t>μειώθηκε</w:t>
            </w:r>
          </w:p>
        </w:tc>
        <w:tc>
          <w:tcPr>
            <w:tcW w:w="680" w:type="pct"/>
            <w:tcBorders>
              <w:top w:val="nil"/>
              <w:left w:val="nil"/>
              <w:bottom w:val="single" w:sz="4" w:space="0" w:color="auto"/>
              <w:right w:val="single" w:sz="4" w:space="0" w:color="auto"/>
            </w:tcBorders>
            <w:shd w:val="clear" w:color="auto" w:fill="auto"/>
            <w:vAlign w:val="bottom"/>
            <w:hideMark/>
          </w:tcPr>
          <w:p w14:paraId="674D48BB"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53,5%</w:t>
            </w:r>
          </w:p>
        </w:tc>
        <w:tc>
          <w:tcPr>
            <w:tcW w:w="925" w:type="pct"/>
            <w:tcBorders>
              <w:top w:val="nil"/>
              <w:left w:val="nil"/>
              <w:bottom w:val="single" w:sz="4" w:space="0" w:color="auto"/>
              <w:right w:val="single" w:sz="4" w:space="0" w:color="auto"/>
            </w:tcBorders>
            <w:shd w:val="clear" w:color="auto" w:fill="auto"/>
            <w:vAlign w:val="bottom"/>
            <w:hideMark/>
          </w:tcPr>
          <w:p w14:paraId="1AEC1004"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44,5%</w:t>
            </w:r>
          </w:p>
        </w:tc>
        <w:tc>
          <w:tcPr>
            <w:tcW w:w="2536" w:type="pct"/>
            <w:tcBorders>
              <w:top w:val="nil"/>
              <w:left w:val="nil"/>
              <w:bottom w:val="single" w:sz="4" w:space="0" w:color="auto"/>
              <w:right w:val="single" w:sz="4" w:space="0" w:color="auto"/>
            </w:tcBorders>
            <w:shd w:val="clear" w:color="auto" w:fill="auto"/>
            <w:vAlign w:val="bottom"/>
            <w:hideMark/>
          </w:tcPr>
          <w:p w14:paraId="6D2F3A60" w14:textId="77777777" w:rsidR="00A9409B" w:rsidRPr="00A9409B" w:rsidRDefault="00A9409B" w:rsidP="00973ABE">
            <w:pPr>
              <w:spacing w:after="0" w:line="240" w:lineRule="auto"/>
              <w:jc w:val="center"/>
              <w:rPr>
                <w:rFonts w:ascii="Calibri" w:eastAsia="Times New Roman" w:hAnsi="Calibri" w:cs="Calibri"/>
                <w:color w:val="000000"/>
              </w:rPr>
            </w:pPr>
            <w:r w:rsidRPr="00A9409B">
              <w:rPr>
                <w:rFonts w:ascii="Calibri" w:eastAsia="Times New Roman" w:hAnsi="Calibri" w:cs="Calibri"/>
                <w:color w:val="000000"/>
              </w:rPr>
              <w:t>25,4%</w:t>
            </w:r>
          </w:p>
        </w:tc>
      </w:tr>
    </w:tbl>
    <w:p w14:paraId="5597486A" w14:textId="77777777" w:rsidR="00790731" w:rsidRDefault="00790731" w:rsidP="003B5CAF">
      <w:pPr>
        <w:spacing w:after="160" w:line="360" w:lineRule="auto"/>
        <w:jc w:val="both"/>
        <w:rPr>
          <w:rFonts w:ascii="Calibri" w:eastAsia="Calibri" w:hAnsi="Calibri" w:cs="Times New Roman"/>
          <w:b/>
          <w:bCs/>
          <w:sz w:val="24"/>
          <w:szCs w:val="24"/>
          <w:lang w:eastAsia="en-US"/>
        </w:rPr>
      </w:pPr>
    </w:p>
    <w:p w14:paraId="1CFD1C4B" w14:textId="19726B9E" w:rsidR="00446C4F" w:rsidRPr="00446C4F" w:rsidRDefault="00446C4F" w:rsidP="003B5CAF">
      <w:pPr>
        <w:spacing w:after="160" w:line="360" w:lineRule="auto"/>
        <w:jc w:val="both"/>
        <w:rPr>
          <w:rFonts w:ascii="Calibri" w:eastAsia="Calibri" w:hAnsi="Calibri" w:cs="Times New Roman"/>
          <w:b/>
          <w:bCs/>
          <w:sz w:val="24"/>
          <w:szCs w:val="24"/>
          <w:lang w:eastAsia="en-US"/>
        </w:rPr>
      </w:pPr>
      <w:r w:rsidRPr="00446C4F">
        <w:rPr>
          <w:rFonts w:ascii="Calibri" w:eastAsia="Calibri" w:hAnsi="Calibri" w:cs="Times New Roman"/>
          <w:b/>
          <w:bCs/>
          <w:sz w:val="24"/>
          <w:szCs w:val="24"/>
          <w:lang w:eastAsia="en-US"/>
        </w:rPr>
        <w:t xml:space="preserve">Γράφημα 4 Κύκλος εργασιών Α εξαμήνου 2024 Ανά κατηγορία </w:t>
      </w:r>
    </w:p>
    <w:p w14:paraId="23BB57FA" w14:textId="47A0FE5B" w:rsidR="00C70C53" w:rsidRPr="00C70C53" w:rsidRDefault="00C70C53" w:rsidP="00C70C53">
      <w:pPr>
        <w:spacing w:after="160" w:line="259" w:lineRule="auto"/>
        <w:rPr>
          <w:rFonts w:ascii="Calibri" w:eastAsia="Calibri" w:hAnsi="Calibri" w:cs="Times New Roman"/>
          <w:lang w:eastAsia="en-US"/>
        </w:rPr>
      </w:pPr>
    </w:p>
    <w:p w14:paraId="652AE417" w14:textId="2E4749A4" w:rsidR="00C70C53" w:rsidRPr="00C70C53" w:rsidRDefault="00C70C53" w:rsidP="003B5CAF">
      <w:pPr>
        <w:spacing w:after="160" w:line="360" w:lineRule="auto"/>
        <w:jc w:val="both"/>
        <w:rPr>
          <w:rFonts w:ascii="Calibri" w:eastAsia="Calibri" w:hAnsi="Calibri" w:cs="Times New Roman"/>
          <w:sz w:val="24"/>
          <w:szCs w:val="24"/>
          <w:lang w:eastAsia="en-US"/>
        </w:rPr>
      </w:pPr>
      <w:r w:rsidRPr="00C70C53">
        <w:rPr>
          <w:rFonts w:ascii="Calibri" w:eastAsia="Calibri" w:hAnsi="Calibri" w:cs="Times New Roman"/>
          <w:sz w:val="24"/>
          <w:szCs w:val="24"/>
          <w:lang w:eastAsia="en-US"/>
        </w:rPr>
        <w:t>Όσον αφορά τις επιχειρήσεις οι οποίες δήλωσαν αύξηση κύκλου εργασιών (2</w:t>
      </w:r>
      <w:r w:rsidR="008378AD">
        <w:rPr>
          <w:rFonts w:ascii="Calibri" w:eastAsia="Calibri" w:hAnsi="Calibri" w:cs="Times New Roman"/>
          <w:sz w:val="24"/>
          <w:szCs w:val="24"/>
          <w:lang w:eastAsia="en-US"/>
        </w:rPr>
        <w:t>0</w:t>
      </w:r>
      <w:r w:rsidRPr="00C70C53">
        <w:rPr>
          <w:rFonts w:ascii="Calibri" w:eastAsia="Calibri" w:hAnsi="Calibri" w:cs="Times New Roman"/>
          <w:sz w:val="24"/>
          <w:szCs w:val="24"/>
          <w:lang w:eastAsia="en-US"/>
        </w:rPr>
        <w:t>,</w:t>
      </w:r>
      <w:r w:rsidR="008378AD">
        <w:rPr>
          <w:rFonts w:ascii="Calibri" w:eastAsia="Calibri" w:hAnsi="Calibri" w:cs="Times New Roman"/>
          <w:sz w:val="24"/>
          <w:szCs w:val="24"/>
          <w:lang w:eastAsia="en-US"/>
        </w:rPr>
        <w:t>5</w:t>
      </w:r>
      <w:r w:rsidRPr="00C70C53">
        <w:rPr>
          <w:rFonts w:ascii="Calibri" w:eastAsia="Calibri" w:hAnsi="Calibri" w:cs="Times New Roman"/>
          <w:sz w:val="24"/>
          <w:szCs w:val="24"/>
          <w:lang w:eastAsia="en-US"/>
        </w:rPr>
        <w:t xml:space="preserve">%) το </w:t>
      </w:r>
      <w:r w:rsidR="008378AD">
        <w:rPr>
          <w:rFonts w:ascii="Calibri" w:eastAsia="Calibri" w:hAnsi="Calibri" w:cs="Times New Roman"/>
          <w:sz w:val="24"/>
          <w:szCs w:val="24"/>
          <w:lang w:eastAsia="en-US"/>
        </w:rPr>
        <w:t>πρώτο</w:t>
      </w:r>
      <w:r w:rsidRPr="00C70C53">
        <w:rPr>
          <w:rFonts w:ascii="Calibri" w:eastAsia="Calibri" w:hAnsi="Calibri" w:cs="Times New Roman"/>
          <w:sz w:val="24"/>
          <w:szCs w:val="24"/>
          <w:lang w:eastAsia="en-US"/>
        </w:rPr>
        <w:t xml:space="preserve"> εξάμηνο του 202</w:t>
      </w:r>
      <w:r w:rsidR="008378AD">
        <w:rPr>
          <w:rFonts w:ascii="Calibri" w:eastAsia="Calibri" w:hAnsi="Calibri" w:cs="Times New Roman"/>
          <w:sz w:val="24"/>
          <w:szCs w:val="24"/>
          <w:lang w:eastAsia="en-US"/>
        </w:rPr>
        <w:t>4</w:t>
      </w:r>
      <w:r w:rsidRPr="00C70C53">
        <w:rPr>
          <w:rFonts w:ascii="Calibri" w:eastAsia="Calibri" w:hAnsi="Calibri" w:cs="Times New Roman"/>
          <w:sz w:val="24"/>
          <w:szCs w:val="24"/>
          <w:lang w:eastAsia="en-US"/>
        </w:rPr>
        <w:t xml:space="preserve">, για </w:t>
      </w:r>
      <w:r w:rsidR="008378AD">
        <w:rPr>
          <w:rFonts w:ascii="Calibri" w:eastAsia="Calibri" w:hAnsi="Calibri" w:cs="Times New Roman"/>
          <w:sz w:val="24"/>
          <w:szCs w:val="24"/>
          <w:lang w:eastAsia="en-US"/>
        </w:rPr>
        <w:t>τις μισές περίπου (49</w:t>
      </w:r>
      <w:r w:rsidRPr="00C70C53">
        <w:rPr>
          <w:rFonts w:ascii="Calibri" w:eastAsia="Calibri" w:hAnsi="Calibri" w:cs="Times New Roman"/>
          <w:sz w:val="24"/>
          <w:szCs w:val="24"/>
          <w:lang w:eastAsia="en-US"/>
        </w:rPr>
        <w:t>,1%</w:t>
      </w:r>
      <w:r w:rsidR="008378AD">
        <w:rPr>
          <w:rFonts w:ascii="Calibri" w:eastAsia="Calibri" w:hAnsi="Calibri" w:cs="Times New Roman"/>
          <w:sz w:val="24"/>
          <w:szCs w:val="24"/>
          <w:lang w:eastAsia="en-US"/>
        </w:rPr>
        <w:t>)</w:t>
      </w:r>
      <w:r w:rsidRPr="00C70C53">
        <w:rPr>
          <w:rFonts w:ascii="Calibri" w:eastAsia="Calibri" w:hAnsi="Calibri" w:cs="Times New Roman"/>
          <w:sz w:val="24"/>
          <w:szCs w:val="24"/>
          <w:lang w:eastAsia="en-US"/>
        </w:rPr>
        <w:t xml:space="preserve"> η αύξηση ήταν έως 10%, για το </w:t>
      </w:r>
      <w:r w:rsidR="008378AD">
        <w:rPr>
          <w:rFonts w:ascii="Calibri" w:eastAsia="Calibri" w:hAnsi="Calibri" w:cs="Times New Roman"/>
          <w:sz w:val="24"/>
          <w:szCs w:val="24"/>
          <w:lang w:eastAsia="en-US"/>
        </w:rPr>
        <w:t>26,7</w:t>
      </w:r>
      <w:r w:rsidRPr="00C70C53">
        <w:rPr>
          <w:rFonts w:ascii="Calibri" w:eastAsia="Calibri" w:hAnsi="Calibri" w:cs="Times New Roman"/>
          <w:sz w:val="24"/>
          <w:szCs w:val="24"/>
          <w:lang w:eastAsia="en-US"/>
        </w:rPr>
        <w:t>%</w:t>
      </w:r>
      <w:r w:rsidR="00EE3DCA">
        <w:rPr>
          <w:rFonts w:ascii="Calibri" w:eastAsia="Calibri" w:hAnsi="Calibri" w:cs="Times New Roman"/>
          <w:sz w:val="24"/>
          <w:szCs w:val="24"/>
          <w:lang w:eastAsia="en-US"/>
        </w:rPr>
        <w:t xml:space="preserve"> </w:t>
      </w:r>
      <w:r w:rsidR="008378AD">
        <w:rPr>
          <w:rFonts w:ascii="Calibri" w:eastAsia="Calibri" w:hAnsi="Calibri" w:cs="Times New Roman"/>
          <w:sz w:val="24"/>
          <w:szCs w:val="24"/>
          <w:lang w:eastAsia="en-US"/>
        </w:rPr>
        <w:t xml:space="preserve">η αύξηση κυμαίνεται μεταξύ </w:t>
      </w:r>
      <w:r w:rsidRPr="00C70C53">
        <w:rPr>
          <w:rFonts w:ascii="Calibri" w:eastAsia="Calibri" w:hAnsi="Calibri" w:cs="Times New Roman"/>
          <w:sz w:val="24"/>
          <w:szCs w:val="24"/>
          <w:lang w:eastAsia="en-US"/>
        </w:rPr>
        <w:t xml:space="preserve"> 11% έως 20%, για το </w:t>
      </w:r>
      <w:r w:rsidR="008378AD">
        <w:rPr>
          <w:rFonts w:ascii="Calibri" w:eastAsia="Calibri" w:hAnsi="Calibri" w:cs="Times New Roman"/>
          <w:sz w:val="24"/>
          <w:szCs w:val="24"/>
          <w:lang w:eastAsia="en-US"/>
        </w:rPr>
        <w:t>7</w:t>
      </w:r>
      <w:r w:rsidRPr="00C70C53">
        <w:rPr>
          <w:rFonts w:ascii="Calibri" w:eastAsia="Calibri" w:hAnsi="Calibri" w:cs="Times New Roman"/>
          <w:sz w:val="24"/>
          <w:szCs w:val="24"/>
          <w:lang w:eastAsia="en-US"/>
        </w:rPr>
        <w:t xml:space="preserve">,9% από 21% έως 40% και για το </w:t>
      </w:r>
      <w:r w:rsidR="008378AD">
        <w:rPr>
          <w:rFonts w:ascii="Calibri" w:eastAsia="Calibri" w:hAnsi="Calibri" w:cs="Times New Roman"/>
          <w:sz w:val="24"/>
          <w:szCs w:val="24"/>
          <w:lang w:eastAsia="en-US"/>
        </w:rPr>
        <w:t>7,3</w:t>
      </w:r>
      <w:r w:rsidRPr="00C70C53">
        <w:rPr>
          <w:rFonts w:ascii="Calibri" w:eastAsia="Calibri" w:hAnsi="Calibri" w:cs="Times New Roman"/>
          <w:sz w:val="24"/>
          <w:szCs w:val="24"/>
          <w:lang w:eastAsia="en-US"/>
        </w:rPr>
        <w:t xml:space="preserve">% πάνω από 40%. </w:t>
      </w:r>
    </w:p>
    <w:p w14:paraId="15182CB7" w14:textId="1EF7D581" w:rsidR="00C70C53" w:rsidRPr="003B5CAF" w:rsidRDefault="00C70C53" w:rsidP="003B5CAF">
      <w:pPr>
        <w:spacing w:after="160" w:line="360" w:lineRule="auto"/>
        <w:jc w:val="both"/>
        <w:rPr>
          <w:rFonts w:ascii="Calibri" w:eastAsia="Calibri" w:hAnsi="Calibri" w:cs="Times New Roman"/>
          <w:sz w:val="24"/>
          <w:szCs w:val="24"/>
          <w:lang w:eastAsia="en-US"/>
        </w:rPr>
      </w:pPr>
      <w:r w:rsidRPr="00C70C53">
        <w:rPr>
          <w:rFonts w:ascii="Calibri" w:eastAsia="Calibri" w:hAnsi="Calibri" w:cs="Times New Roman"/>
          <w:sz w:val="24"/>
          <w:szCs w:val="24"/>
          <w:lang w:eastAsia="en-US"/>
        </w:rPr>
        <w:t>Αναφορικά με τις επιχειρήσεις που δήλωσαν μείωση κύκλου εργασιών (</w:t>
      </w:r>
      <w:r w:rsidR="008378AD">
        <w:rPr>
          <w:rFonts w:ascii="Calibri" w:eastAsia="Calibri" w:hAnsi="Calibri" w:cs="Times New Roman"/>
          <w:sz w:val="24"/>
          <w:szCs w:val="24"/>
          <w:lang w:eastAsia="en-US"/>
        </w:rPr>
        <w:t>46</w:t>
      </w:r>
      <w:r w:rsidRPr="00C70C53">
        <w:rPr>
          <w:rFonts w:ascii="Calibri" w:eastAsia="Calibri" w:hAnsi="Calibri" w:cs="Times New Roman"/>
          <w:sz w:val="24"/>
          <w:szCs w:val="24"/>
          <w:lang w:eastAsia="en-US"/>
        </w:rPr>
        <w:t xml:space="preserve">,2%), το </w:t>
      </w:r>
      <w:r w:rsidR="008378AD">
        <w:rPr>
          <w:rFonts w:ascii="Calibri" w:eastAsia="Calibri" w:hAnsi="Calibri" w:cs="Times New Roman"/>
          <w:sz w:val="24"/>
          <w:szCs w:val="24"/>
          <w:lang w:eastAsia="en-US"/>
        </w:rPr>
        <w:t>16</w:t>
      </w:r>
      <w:r w:rsidRPr="00C70C53">
        <w:rPr>
          <w:rFonts w:ascii="Calibri" w:eastAsia="Calibri" w:hAnsi="Calibri" w:cs="Times New Roman"/>
          <w:sz w:val="24"/>
          <w:szCs w:val="24"/>
          <w:lang w:eastAsia="en-US"/>
        </w:rPr>
        <w:t>,7% δήλωσε ότι είχε πτώση έως 10%, το 2</w:t>
      </w:r>
      <w:r w:rsidR="008378AD">
        <w:rPr>
          <w:rFonts w:ascii="Calibri" w:eastAsia="Calibri" w:hAnsi="Calibri" w:cs="Times New Roman"/>
          <w:sz w:val="24"/>
          <w:szCs w:val="24"/>
          <w:lang w:eastAsia="en-US"/>
        </w:rPr>
        <w:t>8</w:t>
      </w:r>
      <w:r w:rsidRPr="00C70C53">
        <w:rPr>
          <w:rFonts w:ascii="Calibri" w:eastAsia="Calibri" w:hAnsi="Calibri" w:cs="Times New Roman"/>
          <w:sz w:val="24"/>
          <w:szCs w:val="24"/>
          <w:lang w:eastAsia="en-US"/>
        </w:rPr>
        <w:t>,</w:t>
      </w:r>
      <w:r w:rsidR="008378AD">
        <w:rPr>
          <w:rFonts w:ascii="Calibri" w:eastAsia="Calibri" w:hAnsi="Calibri" w:cs="Times New Roman"/>
          <w:sz w:val="24"/>
          <w:szCs w:val="24"/>
          <w:lang w:eastAsia="en-US"/>
        </w:rPr>
        <w:t>8</w:t>
      </w:r>
      <w:r w:rsidRPr="00C70C53">
        <w:rPr>
          <w:rFonts w:ascii="Calibri" w:eastAsia="Calibri" w:hAnsi="Calibri" w:cs="Times New Roman"/>
          <w:sz w:val="24"/>
          <w:szCs w:val="24"/>
          <w:lang w:eastAsia="en-US"/>
        </w:rPr>
        <w:t xml:space="preserve">% μεταξύ 11%-20%, το </w:t>
      </w:r>
      <w:r w:rsidR="008378AD">
        <w:rPr>
          <w:rFonts w:ascii="Calibri" w:eastAsia="Calibri" w:hAnsi="Calibri" w:cs="Times New Roman"/>
          <w:sz w:val="24"/>
          <w:szCs w:val="24"/>
          <w:lang w:eastAsia="en-US"/>
        </w:rPr>
        <w:t>30</w:t>
      </w:r>
      <w:r w:rsidRPr="00C70C53">
        <w:rPr>
          <w:rFonts w:ascii="Calibri" w:eastAsia="Calibri" w:hAnsi="Calibri" w:cs="Times New Roman"/>
          <w:sz w:val="24"/>
          <w:szCs w:val="24"/>
          <w:lang w:eastAsia="en-US"/>
        </w:rPr>
        <w:t>,</w:t>
      </w:r>
      <w:r w:rsidR="008378AD">
        <w:rPr>
          <w:rFonts w:ascii="Calibri" w:eastAsia="Calibri" w:hAnsi="Calibri" w:cs="Times New Roman"/>
          <w:sz w:val="24"/>
          <w:szCs w:val="24"/>
          <w:lang w:eastAsia="en-US"/>
        </w:rPr>
        <w:t>7</w:t>
      </w:r>
      <w:r w:rsidRPr="00C70C53">
        <w:rPr>
          <w:rFonts w:ascii="Calibri" w:eastAsia="Calibri" w:hAnsi="Calibri" w:cs="Times New Roman"/>
          <w:sz w:val="24"/>
          <w:szCs w:val="24"/>
          <w:lang w:eastAsia="en-US"/>
        </w:rPr>
        <w:t>% μεταξύ 21%-40% και το 1</w:t>
      </w:r>
      <w:r w:rsidR="008378AD">
        <w:rPr>
          <w:rFonts w:ascii="Calibri" w:eastAsia="Calibri" w:hAnsi="Calibri" w:cs="Times New Roman"/>
          <w:sz w:val="24"/>
          <w:szCs w:val="24"/>
          <w:lang w:eastAsia="en-US"/>
        </w:rPr>
        <w:t>3</w:t>
      </w:r>
      <w:r w:rsidRPr="00C70C53">
        <w:rPr>
          <w:rFonts w:ascii="Calibri" w:eastAsia="Calibri" w:hAnsi="Calibri" w:cs="Times New Roman"/>
          <w:sz w:val="24"/>
          <w:szCs w:val="24"/>
          <w:lang w:eastAsia="en-US"/>
        </w:rPr>
        <w:t>,</w:t>
      </w:r>
      <w:r w:rsidR="008378AD">
        <w:rPr>
          <w:rFonts w:ascii="Calibri" w:eastAsia="Calibri" w:hAnsi="Calibri" w:cs="Times New Roman"/>
          <w:sz w:val="24"/>
          <w:szCs w:val="24"/>
          <w:lang w:eastAsia="en-US"/>
        </w:rPr>
        <w:t>7</w:t>
      </w:r>
      <w:r w:rsidRPr="00C70C53">
        <w:rPr>
          <w:rFonts w:ascii="Calibri" w:eastAsia="Calibri" w:hAnsi="Calibri" w:cs="Times New Roman"/>
          <w:sz w:val="24"/>
          <w:szCs w:val="24"/>
          <w:lang w:eastAsia="en-US"/>
        </w:rPr>
        <w:t>% άνω του 40%.</w:t>
      </w:r>
      <w:r w:rsidR="00EE3DCA">
        <w:rPr>
          <w:rFonts w:ascii="Calibri" w:eastAsia="Calibri" w:hAnsi="Calibri" w:cs="Times New Roman"/>
          <w:sz w:val="24"/>
          <w:szCs w:val="24"/>
          <w:lang w:eastAsia="en-US"/>
        </w:rPr>
        <w:t xml:space="preserve"> </w:t>
      </w:r>
    </w:p>
    <w:p w14:paraId="53B11967" w14:textId="42A88A97" w:rsidR="00F67D2C" w:rsidRPr="00F67D2C" w:rsidRDefault="00F67D2C" w:rsidP="00F67D2C">
      <w:pPr>
        <w:spacing w:after="160" w:line="360" w:lineRule="auto"/>
        <w:jc w:val="both"/>
        <w:rPr>
          <w:rFonts w:ascii="Calibri" w:eastAsia="Calibri" w:hAnsi="Calibri" w:cs="Times New Roman"/>
          <w:sz w:val="24"/>
          <w:szCs w:val="24"/>
          <w:lang w:eastAsia="en-US"/>
        </w:rPr>
      </w:pPr>
      <w:r w:rsidRPr="00F67D2C">
        <w:rPr>
          <w:rFonts w:ascii="Calibri" w:eastAsia="Calibri" w:hAnsi="Calibri" w:cs="Times New Roman"/>
          <w:sz w:val="24"/>
          <w:szCs w:val="24"/>
          <w:lang w:eastAsia="en-US"/>
        </w:rPr>
        <w:t>Σε ό</w:t>
      </w:r>
      <w:r w:rsidR="00911A86">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τι αφορά τις προβλέψεις των επιχειρήσεων για το </w:t>
      </w:r>
      <w:r w:rsidR="008378AD">
        <w:rPr>
          <w:rFonts w:ascii="Calibri" w:eastAsia="Calibri" w:hAnsi="Calibri" w:cs="Times New Roman"/>
          <w:sz w:val="24"/>
          <w:szCs w:val="24"/>
          <w:lang w:eastAsia="en-US"/>
        </w:rPr>
        <w:t>δεύτερο</w:t>
      </w:r>
      <w:r w:rsidRPr="00F67D2C">
        <w:rPr>
          <w:rFonts w:ascii="Calibri" w:eastAsia="Calibri" w:hAnsi="Calibri" w:cs="Times New Roman"/>
          <w:sz w:val="24"/>
          <w:szCs w:val="24"/>
          <w:lang w:eastAsia="en-US"/>
        </w:rPr>
        <w:t xml:space="preserve"> εξάμηνο</w:t>
      </w:r>
      <w:r>
        <w:rPr>
          <w:rFonts w:ascii="Calibri" w:eastAsia="Calibri" w:hAnsi="Calibri" w:cs="Times New Roman"/>
          <w:sz w:val="24"/>
          <w:szCs w:val="24"/>
          <w:lang w:eastAsia="en-US"/>
        </w:rPr>
        <w:t xml:space="preserve"> του 2024</w:t>
      </w:r>
      <w:r w:rsidRPr="00F67D2C">
        <w:rPr>
          <w:rFonts w:ascii="Calibri" w:eastAsia="Calibri" w:hAnsi="Calibri" w:cs="Times New Roman"/>
          <w:sz w:val="24"/>
          <w:szCs w:val="24"/>
          <w:lang w:eastAsia="en-US"/>
        </w:rPr>
        <w:t xml:space="preserve">, </w:t>
      </w:r>
      <w:r w:rsidR="002B022A">
        <w:rPr>
          <w:rFonts w:ascii="Calibri" w:eastAsia="Calibri" w:hAnsi="Calibri" w:cs="Times New Roman"/>
          <w:sz w:val="24"/>
          <w:szCs w:val="24"/>
          <w:lang w:eastAsia="en-US"/>
        </w:rPr>
        <w:t>συνεχίζεται ο περιορισμός</w:t>
      </w:r>
      <w:r w:rsidRPr="00F67D2C">
        <w:rPr>
          <w:rFonts w:ascii="Calibri" w:eastAsia="Calibri" w:hAnsi="Calibri" w:cs="Times New Roman"/>
          <w:sz w:val="24"/>
          <w:szCs w:val="24"/>
          <w:lang w:eastAsia="en-US"/>
        </w:rPr>
        <w:t xml:space="preserve"> της αισιοδοξίας</w:t>
      </w:r>
      <w:r w:rsidR="008378AD">
        <w:rPr>
          <w:rFonts w:ascii="Calibri" w:eastAsia="Calibri" w:hAnsi="Calibri" w:cs="Times New Roman"/>
          <w:sz w:val="24"/>
          <w:szCs w:val="24"/>
          <w:lang w:eastAsia="en-US"/>
        </w:rPr>
        <w:t xml:space="preserve"> που παρατηρήθηκε και στην προηγουμένη έρευνα κλίματος </w:t>
      </w:r>
      <w:r w:rsidR="00926680">
        <w:rPr>
          <w:rFonts w:ascii="Calibri" w:eastAsia="Calibri" w:hAnsi="Calibri" w:cs="Times New Roman"/>
          <w:sz w:val="24"/>
          <w:szCs w:val="24"/>
          <w:lang w:eastAsia="en-US"/>
        </w:rPr>
        <w:t>(Φεβ</w:t>
      </w:r>
      <w:r w:rsidR="00F612F6">
        <w:rPr>
          <w:rFonts w:ascii="Calibri" w:eastAsia="Calibri" w:hAnsi="Calibri" w:cs="Times New Roman"/>
          <w:sz w:val="24"/>
          <w:szCs w:val="24"/>
          <w:lang w:eastAsia="en-US"/>
        </w:rPr>
        <w:t>ρουάριος</w:t>
      </w:r>
      <w:r w:rsidR="002B022A">
        <w:rPr>
          <w:rFonts w:ascii="Calibri" w:eastAsia="Calibri" w:hAnsi="Calibri" w:cs="Times New Roman"/>
          <w:sz w:val="24"/>
          <w:szCs w:val="24"/>
          <w:lang w:eastAsia="en-US"/>
        </w:rPr>
        <w:t xml:space="preserve"> </w:t>
      </w:r>
      <w:r w:rsidR="00926680">
        <w:rPr>
          <w:rFonts w:ascii="Calibri" w:eastAsia="Calibri" w:hAnsi="Calibri" w:cs="Times New Roman"/>
          <w:sz w:val="24"/>
          <w:szCs w:val="24"/>
          <w:lang w:eastAsia="en-US"/>
        </w:rPr>
        <w:t>2024)</w:t>
      </w:r>
      <w:r w:rsidR="00A82E67">
        <w:rPr>
          <w:rFonts w:ascii="Calibri" w:eastAsia="Calibri" w:hAnsi="Calibri" w:cs="Times New Roman"/>
          <w:sz w:val="24"/>
          <w:szCs w:val="24"/>
          <w:lang w:eastAsia="en-US"/>
        </w:rPr>
        <w:t>,</w:t>
      </w:r>
      <w:r w:rsidRPr="00F67D2C">
        <w:rPr>
          <w:rFonts w:ascii="Calibri" w:eastAsia="Calibri" w:hAnsi="Calibri" w:cs="Times New Roman"/>
          <w:sz w:val="24"/>
          <w:szCs w:val="24"/>
          <w:lang w:eastAsia="en-US"/>
        </w:rPr>
        <w:t xml:space="preserve"> καθώς </w:t>
      </w:r>
      <w:r w:rsidR="00926680">
        <w:rPr>
          <w:rFonts w:ascii="Calibri" w:eastAsia="Calibri" w:hAnsi="Calibri" w:cs="Times New Roman"/>
          <w:sz w:val="24"/>
          <w:szCs w:val="24"/>
          <w:lang w:eastAsia="en-US"/>
        </w:rPr>
        <w:t xml:space="preserve">μόλις </w:t>
      </w:r>
      <w:r w:rsidRPr="00F67D2C">
        <w:rPr>
          <w:rFonts w:ascii="Calibri" w:eastAsia="Calibri" w:hAnsi="Calibri" w:cs="Times New Roman"/>
          <w:sz w:val="24"/>
          <w:szCs w:val="24"/>
          <w:lang w:eastAsia="en-US"/>
        </w:rPr>
        <w:t xml:space="preserve">το </w:t>
      </w:r>
      <w:r w:rsidR="00926680">
        <w:rPr>
          <w:rFonts w:ascii="Calibri" w:eastAsia="Calibri" w:hAnsi="Calibri" w:cs="Times New Roman"/>
          <w:sz w:val="24"/>
          <w:szCs w:val="24"/>
          <w:lang w:eastAsia="en-US"/>
        </w:rPr>
        <w:t>19,7</w:t>
      </w:r>
      <w:r w:rsidRPr="00F67D2C">
        <w:rPr>
          <w:rFonts w:ascii="Calibri" w:eastAsia="Calibri" w:hAnsi="Calibri" w:cs="Times New Roman"/>
          <w:sz w:val="24"/>
          <w:szCs w:val="24"/>
          <w:lang w:eastAsia="en-US"/>
        </w:rPr>
        <w:t xml:space="preserve">% </w:t>
      </w:r>
      <w:r>
        <w:rPr>
          <w:rFonts w:ascii="Calibri" w:eastAsia="Calibri" w:hAnsi="Calibri" w:cs="Times New Roman"/>
          <w:sz w:val="24"/>
          <w:szCs w:val="24"/>
          <w:lang w:eastAsia="en-US"/>
        </w:rPr>
        <w:t xml:space="preserve">εκτιμά </w:t>
      </w:r>
      <w:r w:rsidRPr="00F67D2C">
        <w:rPr>
          <w:rFonts w:ascii="Calibri" w:eastAsia="Calibri" w:hAnsi="Calibri" w:cs="Times New Roman"/>
          <w:sz w:val="24"/>
          <w:szCs w:val="24"/>
          <w:lang w:eastAsia="en-US"/>
        </w:rPr>
        <w:t xml:space="preserve">αύξηση του κύκλου εργασιών, έναντι </w:t>
      </w:r>
      <w:r w:rsidR="00F612F6">
        <w:rPr>
          <w:rFonts w:ascii="Calibri" w:eastAsia="Calibri" w:hAnsi="Calibri" w:cs="Times New Roman"/>
          <w:sz w:val="24"/>
          <w:szCs w:val="24"/>
          <w:lang w:eastAsia="en-US"/>
        </w:rPr>
        <w:t xml:space="preserve">του </w:t>
      </w:r>
      <w:r w:rsidR="00926680">
        <w:rPr>
          <w:rFonts w:ascii="Calibri" w:eastAsia="Calibri" w:hAnsi="Calibri" w:cs="Times New Roman"/>
          <w:sz w:val="24"/>
          <w:szCs w:val="24"/>
          <w:lang w:eastAsia="en-US"/>
        </w:rPr>
        <w:t>37,5</w:t>
      </w:r>
      <w:r w:rsidRPr="00F67D2C">
        <w:rPr>
          <w:rFonts w:ascii="Calibri" w:eastAsia="Calibri" w:hAnsi="Calibri" w:cs="Times New Roman"/>
          <w:sz w:val="24"/>
          <w:szCs w:val="24"/>
          <w:lang w:eastAsia="en-US"/>
        </w:rPr>
        <w:t xml:space="preserve">% που </w:t>
      </w:r>
      <w:r w:rsidR="00926680">
        <w:rPr>
          <w:rFonts w:ascii="Calibri" w:eastAsia="Calibri" w:hAnsi="Calibri" w:cs="Times New Roman"/>
          <w:sz w:val="24"/>
          <w:szCs w:val="24"/>
          <w:lang w:eastAsia="en-US"/>
        </w:rPr>
        <w:t>προβλέπει</w:t>
      </w:r>
      <w:r w:rsidRPr="00F67D2C">
        <w:rPr>
          <w:rFonts w:ascii="Calibri" w:eastAsia="Calibri" w:hAnsi="Calibri" w:cs="Times New Roman"/>
          <w:sz w:val="24"/>
          <w:szCs w:val="24"/>
          <w:lang w:eastAsia="en-US"/>
        </w:rPr>
        <w:t xml:space="preserve"> μείωση και </w:t>
      </w:r>
      <w:r w:rsidR="00926680">
        <w:rPr>
          <w:rFonts w:ascii="Calibri" w:eastAsia="Calibri" w:hAnsi="Calibri" w:cs="Times New Roman"/>
          <w:sz w:val="24"/>
          <w:szCs w:val="24"/>
          <w:lang w:eastAsia="en-US"/>
        </w:rPr>
        <w:t>36,3</w:t>
      </w:r>
      <w:r w:rsidRPr="00F67D2C">
        <w:rPr>
          <w:rFonts w:ascii="Calibri" w:eastAsia="Calibri" w:hAnsi="Calibri" w:cs="Times New Roman"/>
          <w:sz w:val="24"/>
          <w:szCs w:val="24"/>
          <w:lang w:eastAsia="en-US"/>
        </w:rPr>
        <w:t xml:space="preserve">% που </w:t>
      </w:r>
      <w:r w:rsidR="00926680">
        <w:rPr>
          <w:rFonts w:ascii="Calibri" w:eastAsia="Calibri" w:hAnsi="Calibri" w:cs="Times New Roman"/>
          <w:sz w:val="24"/>
          <w:szCs w:val="24"/>
          <w:lang w:eastAsia="en-US"/>
        </w:rPr>
        <w:t>εκτιμά</w:t>
      </w:r>
      <w:r>
        <w:rPr>
          <w:rFonts w:ascii="Calibri" w:eastAsia="Calibri" w:hAnsi="Calibri" w:cs="Times New Roman"/>
          <w:sz w:val="24"/>
          <w:szCs w:val="24"/>
          <w:lang w:eastAsia="en-US"/>
        </w:rPr>
        <w:t xml:space="preserve"> ότι θα παραμείνει </w:t>
      </w:r>
      <w:r w:rsidR="001E5FC8">
        <w:rPr>
          <w:rFonts w:ascii="Calibri" w:eastAsia="Calibri" w:hAnsi="Calibri" w:cs="Times New Roman"/>
          <w:sz w:val="24"/>
          <w:szCs w:val="24"/>
          <w:lang w:eastAsia="en-US"/>
        </w:rPr>
        <w:t>στο ίδιο</w:t>
      </w:r>
      <w:r w:rsidRPr="00F67D2C">
        <w:rPr>
          <w:rFonts w:ascii="Calibri" w:eastAsia="Calibri" w:hAnsi="Calibri" w:cs="Times New Roman"/>
          <w:sz w:val="24"/>
          <w:szCs w:val="24"/>
          <w:lang w:eastAsia="en-US"/>
        </w:rPr>
        <w:t xml:space="preserve"> επίπεδ</w:t>
      </w:r>
      <w:r w:rsidR="001E5FC8">
        <w:rPr>
          <w:rFonts w:ascii="Calibri" w:eastAsia="Calibri" w:hAnsi="Calibri" w:cs="Times New Roman"/>
          <w:sz w:val="24"/>
          <w:szCs w:val="24"/>
          <w:lang w:eastAsia="en-US"/>
        </w:rPr>
        <w:t>ο</w:t>
      </w:r>
      <w:r w:rsidRPr="00F67D2C">
        <w:rPr>
          <w:rFonts w:ascii="Calibri" w:eastAsia="Calibri" w:hAnsi="Calibri" w:cs="Times New Roman"/>
          <w:sz w:val="24"/>
          <w:szCs w:val="24"/>
          <w:lang w:eastAsia="en-US"/>
        </w:rPr>
        <w:t xml:space="preserve">. </w:t>
      </w:r>
    </w:p>
    <w:p w14:paraId="4C2876E8" w14:textId="22A859AF" w:rsidR="00F67D2C" w:rsidRPr="00F67D2C" w:rsidRDefault="002B022A" w:rsidP="00F67D2C">
      <w:pPr>
        <w:spacing w:after="160" w:line="360" w:lineRule="auto"/>
        <w:jc w:val="both"/>
        <w:rPr>
          <w:rFonts w:ascii="Calibri" w:eastAsia="Calibri" w:hAnsi="Calibri" w:cs="Times New Roman"/>
          <w:sz w:val="24"/>
          <w:szCs w:val="24"/>
          <w:lang w:eastAsia="en-US"/>
        </w:rPr>
      </w:pPr>
      <w:r>
        <w:rPr>
          <w:rFonts w:ascii="Calibri" w:eastAsia="Calibri" w:hAnsi="Calibri" w:cs="Times New Roman"/>
          <w:sz w:val="24"/>
          <w:szCs w:val="24"/>
          <w:lang w:eastAsia="en-US"/>
        </w:rPr>
        <w:t>Η απαισιοδοξία είναι κυρίαρχη στις επιχειρήσεις που δραστηριοποιούνται στο εμπόριο</w:t>
      </w:r>
      <w:r w:rsidR="003E0554">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όπου μόλις το 14,1% αναμένει αύξηση του κύκλου εργασιών του</w:t>
      </w:r>
      <w:r w:rsidR="005D0251">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έναντι </w:t>
      </w:r>
      <w:r w:rsidR="003E0554">
        <w:rPr>
          <w:rFonts w:ascii="Calibri" w:eastAsia="Calibri" w:hAnsi="Calibri" w:cs="Times New Roman"/>
          <w:sz w:val="24"/>
          <w:szCs w:val="24"/>
          <w:lang w:eastAsia="en-US"/>
        </w:rPr>
        <w:t xml:space="preserve">του </w:t>
      </w:r>
      <w:r>
        <w:rPr>
          <w:rFonts w:ascii="Calibri" w:eastAsia="Calibri" w:hAnsi="Calibri" w:cs="Times New Roman"/>
          <w:sz w:val="24"/>
          <w:szCs w:val="24"/>
          <w:lang w:eastAsia="en-US"/>
        </w:rPr>
        <w:t xml:space="preserve">42,3% που αναμένει μείωση και </w:t>
      </w:r>
      <w:r w:rsidR="003E0554">
        <w:rPr>
          <w:rFonts w:ascii="Calibri" w:eastAsia="Calibri" w:hAnsi="Calibri" w:cs="Times New Roman"/>
          <w:sz w:val="24"/>
          <w:szCs w:val="24"/>
          <w:lang w:eastAsia="en-US"/>
        </w:rPr>
        <w:t xml:space="preserve">του </w:t>
      </w:r>
      <w:r>
        <w:rPr>
          <w:rFonts w:ascii="Calibri" w:eastAsia="Calibri" w:hAnsi="Calibri" w:cs="Times New Roman"/>
          <w:sz w:val="24"/>
          <w:szCs w:val="24"/>
          <w:lang w:eastAsia="en-US"/>
        </w:rPr>
        <w:t xml:space="preserve">37,9% που προβλέπει σταθερό κύκλο εργασιών. </w:t>
      </w:r>
      <w:proofErr w:type="spellStart"/>
      <w:r w:rsidR="007011E0">
        <w:rPr>
          <w:rFonts w:ascii="Calibri" w:eastAsia="Calibri" w:hAnsi="Calibri" w:cs="Times New Roman"/>
          <w:sz w:val="24"/>
          <w:szCs w:val="24"/>
          <w:lang w:eastAsia="en-US"/>
        </w:rPr>
        <w:t>Πλειονοτική</w:t>
      </w:r>
      <w:proofErr w:type="spellEnd"/>
      <w:r w:rsidR="007011E0">
        <w:rPr>
          <w:rFonts w:ascii="Calibri" w:eastAsia="Calibri" w:hAnsi="Calibri" w:cs="Times New Roman"/>
          <w:sz w:val="24"/>
          <w:szCs w:val="24"/>
          <w:lang w:eastAsia="en-US"/>
        </w:rPr>
        <w:t xml:space="preserve"> </w:t>
      </w:r>
      <w:r>
        <w:rPr>
          <w:rFonts w:ascii="Calibri" w:eastAsia="Calibri" w:hAnsi="Calibri" w:cs="Times New Roman"/>
          <w:sz w:val="24"/>
          <w:szCs w:val="24"/>
          <w:lang w:eastAsia="en-US"/>
        </w:rPr>
        <w:t xml:space="preserve">είναι η </w:t>
      </w:r>
      <w:r w:rsidR="001E5FC8">
        <w:rPr>
          <w:rFonts w:ascii="Calibri" w:eastAsia="Calibri" w:hAnsi="Calibri" w:cs="Times New Roman"/>
          <w:sz w:val="24"/>
          <w:szCs w:val="24"/>
          <w:lang w:eastAsia="en-US"/>
        </w:rPr>
        <w:t>εκτίμηση</w:t>
      </w:r>
      <w:r>
        <w:rPr>
          <w:rFonts w:ascii="Calibri" w:eastAsia="Calibri" w:hAnsi="Calibri" w:cs="Times New Roman"/>
          <w:sz w:val="24"/>
          <w:szCs w:val="24"/>
          <w:lang w:eastAsia="en-US"/>
        </w:rPr>
        <w:t xml:space="preserve"> μείωσης του κύκλου εργασιών και στους </w:t>
      </w:r>
      <w:r w:rsidR="001E5FC8">
        <w:rPr>
          <w:rFonts w:ascii="Calibri" w:eastAsia="Calibri" w:hAnsi="Calibri" w:cs="Times New Roman"/>
          <w:sz w:val="24"/>
          <w:szCs w:val="24"/>
          <w:lang w:eastAsia="en-US"/>
        </w:rPr>
        <w:t>τομείς</w:t>
      </w:r>
      <w:r>
        <w:rPr>
          <w:rFonts w:ascii="Calibri" w:eastAsia="Calibri" w:hAnsi="Calibri" w:cs="Times New Roman"/>
          <w:sz w:val="24"/>
          <w:szCs w:val="24"/>
          <w:lang w:eastAsia="en-US"/>
        </w:rPr>
        <w:t xml:space="preserve"> μεταποίησης – βιοτεχνίας και υπηρεσιών, όπου μόλις το 22,9% και </w:t>
      </w:r>
      <w:r w:rsidR="003E0554">
        <w:rPr>
          <w:rFonts w:ascii="Calibri" w:eastAsia="Calibri" w:hAnsi="Calibri" w:cs="Times New Roman"/>
          <w:sz w:val="24"/>
          <w:szCs w:val="24"/>
          <w:lang w:eastAsia="en-US"/>
        </w:rPr>
        <w:t xml:space="preserve">το </w:t>
      </w:r>
      <w:r>
        <w:rPr>
          <w:rFonts w:ascii="Calibri" w:eastAsia="Calibri" w:hAnsi="Calibri" w:cs="Times New Roman"/>
          <w:sz w:val="24"/>
          <w:szCs w:val="24"/>
          <w:lang w:eastAsia="en-US"/>
        </w:rPr>
        <w:t>23,1% αντίστοιχα αναμένουν αύξηση του κύκλου εργασιών</w:t>
      </w:r>
      <w:r w:rsidR="003E0554">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έναντι </w:t>
      </w:r>
      <w:r w:rsidR="003E0554">
        <w:rPr>
          <w:rFonts w:ascii="Calibri" w:eastAsia="Calibri" w:hAnsi="Calibri" w:cs="Times New Roman"/>
          <w:sz w:val="24"/>
          <w:szCs w:val="24"/>
          <w:lang w:eastAsia="en-US"/>
        </w:rPr>
        <w:t xml:space="preserve">του </w:t>
      </w:r>
      <w:r>
        <w:rPr>
          <w:rFonts w:ascii="Calibri" w:eastAsia="Calibri" w:hAnsi="Calibri" w:cs="Times New Roman"/>
          <w:sz w:val="24"/>
          <w:szCs w:val="24"/>
          <w:lang w:eastAsia="en-US"/>
        </w:rPr>
        <w:t xml:space="preserve">33,9% και </w:t>
      </w:r>
      <w:r w:rsidR="003E0554">
        <w:rPr>
          <w:rFonts w:ascii="Calibri" w:eastAsia="Calibri" w:hAnsi="Calibri" w:cs="Times New Roman"/>
          <w:sz w:val="24"/>
          <w:szCs w:val="24"/>
          <w:lang w:eastAsia="en-US"/>
        </w:rPr>
        <w:t xml:space="preserve">του </w:t>
      </w:r>
      <w:r>
        <w:rPr>
          <w:rFonts w:ascii="Calibri" w:eastAsia="Calibri" w:hAnsi="Calibri" w:cs="Times New Roman"/>
          <w:sz w:val="24"/>
          <w:szCs w:val="24"/>
          <w:lang w:eastAsia="en-US"/>
        </w:rPr>
        <w:t xml:space="preserve">35,3% αντίστοιχα που προβλέπουν μείωση του κύκλου εργασιών τους. </w:t>
      </w:r>
    </w:p>
    <w:p w14:paraId="4766911A" w14:textId="337E9216" w:rsidR="00F67D2C" w:rsidRPr="00F67D2C" w:rsidRDefault="003E0554" w:rsidP="00F67D2C">
      <w:pPr>
        <w:spacing w:after="160" w:line="360" w:lineRule="auto"/>
        <w:jc w:val="both"/>
        <w:rPr>
          <w:rFonts w:ascii="Calibri" w:eastAsia="Calibri" w:hAnsi="Calibri" w:cs="Times New Roman"/>
          <w:sz w:val="24"/>
          <w:szCs w:val="24"/>
          <w:lang w:eastAsia="en-US"/>
        </w:rPr>
      </w:pPr>
      <w:r>
        <w:rPr>
          <w:rFonts w:ascii="Calibri" w:eastAsia="Calibri" w:hAnsi="Calibri" w:cs="Times New Roman"/>
          <w:sz w:val="24"/>
          <w:szCs w:val="24"/>
          <w:lang w:eastAsia="en-US"/>
        </w:rPr>
        <w:t>Οι προβλέψεις</w:t>
      </w:r>
      <w:r w:rsidR="00F67D2C" w:rsidRPr="00F67D2C">
        <w:rPr>
          <w:rFonts w:ascii="Calibri" w:eastAsia="Calibri" w:hAnsi="Calibri" w:cs="Times New Roman"/>
          <w:sz w:val="24"/>
          <w:szCs w:val="24"/>
          <w:lang w:eastAsia="en-US"/>
        </w:rPr>
        <w:t xml:space="preserve"> των επιχειρήσεων για το </w:t>
      </w:r>
      <w:r w:rsidR="002B022A">
        <w:rPr>
          <w:rFonts w:ascii="Calibri" w:eastAsia="Calibri" w:hAnsi="Calibri" w:cs="Times New Roman"/>
          <w:sz w:val="24"/>
          <w:szCs w:val="24"/>
          <w:lang w:eastAsia="en-US"/>
        </w:rPr>
        <w:t>δεύτερο</w:t>
      </w:r>
      <w:r w:rsidR="00F67D2C">
        <w:rPr>
          <w:rFonts w:ascii="Calibri" w:eastAsia="Calibri" w:hAnsi="Calibri" w:cs="Times New Roman"/>
          <w:sz w:val="24"/>
          <w:szCs w:val="24"/>
          <w:lang w:eastAsia="en-US"/>
        </w:rPr>
        <w:t xml:space="preserve"> εξάμηνο του 2024</w:t>
      </w:r>
      <w:r w:rsidR="00F67D2C" w:rsidRPr="00F67D2C">
        <w:rPr>
          <w:rFonts w:ascii="Calibri" w:eastAsia="Calibri" w:hAnsi="Calibri" w:cs="Times New Roman"/>
          <w:sz w:val="24"/>
          <w:szCs w:val="24"/>
          <w:lang w:eastAsia="en-US"/>
        </w:rPr>
        <w:t xml:space="preserve"> </w:t>
      </w:r>
      <w:r w:rsidR="002B022A">
        <w:rPr>
          <w:rFonts w:ascii="Calibri" w:eastAsia="Calibri" w:hAnsi="Calibri" w:cs="Times New Roman"/>
          <w:sz w:val="24"/>
          <w:szCs w:val="24"/>
          <w:lang w:eastAsia="en-US"/>
        </w:rPr>
        <w:t>διαφοροποι</w:t>
      </w:r>
      <w:r>
        <w:rPr>
          <w:rFonts w:ascii="Calibri" w:eastAsia="Calibri" w:hAnsi="Calibri" w:cs="Times New Roman"/>
          <w:sz w:val="24"/>
          <w:szCs w:val="24"/>
          <w:lang w:eastAsia="en-US"/>
        </w:rPr>
        <w:t>ούνται</w:t>
      </w:r>
      <w:r w:rsidR="00F67D2C" w:rsidRPr="00F67D2C">
        <w:rPr>
          <w:rFonts w:ascii="Calibri" w:eastAsia="Calibri" w:hAnsi="Calibri" w:cs="Times New Roman"/>
          <w:sz w:val="24"/>
          <w:szCs w:val="24"/>
          <w:lang w:eastAsia="en-US"/>
        </w:rPr>
        <w:t xml:space="preserve"> σημαντικά </w:t>
      </w:r>
      <w:r w:rsidR="002B022A">
        <w:rPr>
          <w:rFonts w:ascii="Calibri" w:eastAsia="Calibri" w:hAnsi="Calibri" w:cs="Times New Roman"/>
          <w:sz w:val="24"/>
          <w:szCs w:val="24"/>
          <w:lang w:eastAsia="en-US"/>
        </w:rPr>
        <w:t xml:space="preserve">ανάλογα με </w:t>
      </w:r>
      <w:r w:rsidR="00F67D2C" w:rsidRPr="00F67D2C">
        <w:rPr>
          <w:rFonts w:ascii="Calibri" w:eastAsia="Calibri" w:hAnsi="Calibri" w:cs="Times New Roman"/>
          <w:sz w:val="24"/>
          <w:szCs w:val="24"/>
          <w:lang w:eastAsia="en-US"/>
        </w:rPr>
        <w:t xml:space="preserve">το μέγεθος της επιχείρησης, καθώς το </w:t>
      </w:r>
      <w:r w:rsidR="006103F3">
        <w:rPr>
          <w:rFonts w:ascii="Calibri" w:eastAsia="Calibri" w:hAnsi="Calibri" w:cs="Times New Roman"/>
          <w:sz w:val="24"/>
          <w:szCs w:val="24"/>
          <w:lang w:eastAsia="en-US"/>
        </w:rPr>
        <w:t>29,1</w:t>
      </w:r>
      <w:r w:rsidR="00F67D2C" w:rsidRPr="00F67D2C">
        <w:rPr>
          <w:rFonts w:ascii="Calibri" w:eastAsia="Calibri" w:hAnsi="Calibri" w:cs="Times New Roman"/>
          <w:sz w:val="24"/>
          <w:szCs w:val="24"/>
          <w:lang w:eastAsia="en-US"/>
        </w:rPr>
        <w:t>% των επιχειρήσεων με τζίρο άνω των 300.000</w:t>
      </w:r>
      <w:r w:rsidR="00580676">
        <w:rPr>
          <w:rFonts w:ascii="Calibri" w:eastAsia="Calibri" w:hAnsi="Calibri" w:cs="Times New Roman"/>
          <w:sz w:val="24"/>
          <w:szCs w:val="24"/>
          <w:lang w:eastAsia="en-US"/>
        </w:rPr>
        <w:t xml:space="preserve"> </w:t>
      </w:r>
      <w:r w:rsidR="00F67D2C" w:rsidRPr="00F67D2C">
        <w:rPr>
          <w:rFonts w:ascii="Calibri" w:eastAsia="Calibri" w:hAnsi="Calibri" w:cs="Times New Roman"/>
          <w:sz w:val="24"/>
          <w:szCs w:val="24"/>
          <w:lang w:eastAsia="en-US"/>
        </w:rPr>
        <w:t>€ αναμένει αύξηση του κύκλου εργασιών έναντι</w:t>
      </w:r>
      <w:r w:rsidR="00EE3DCA">
        <w:rPr>
          <w:rFonts w:ascii="Calibri" w:eastAsia="Calibri" w:hAnsi="Calibri" w:cs="Times New Roman"/>
          <w:sz w:val="24"/>
          <w:szCs w:val="24"/>
          <w:lang w:eastAsia="en-US"/>
        </w:rPr>
        <w:t xml:space="preserve"> </w:t>
      </w:r>
      <w:r>
        <w:rPr>
          <w:rFonts w:ascii="Calibri" w:eastAsia="Calibri" w:hAnsi="Calibri" w:cs="Times New Roman"/>
          <w:sz w:val="24"/>
          <w:szCs w:val="24"/>
          <w:lang w:eastAsia="en-US"/>
        </w:rPr>
        <w:t xml:space="preserve">του </w:t>
      </w:r>
      <w:r w:rsidR="00F67D2C" w:rsidRPr="00F67D2C">
        <w:rPr>
          <w:rFonts w:ascii="Calibri" w:eastAsia="Calibri" w:hAnsi="Calibri" w:cs="Times New Roman"/>
          <w:sz w:val="24"/>
          <w:szCs w:val="24"/>
          <w:lang w:eastAsia="en-US"/>
        </w:rPr>
        <w:t>2</w:t>
      </w:r>
      <w:r w:rsidR="006103F3">
        <w:rPr>
          <w:rFonts w:ascii="Calibri" w:eastAsia="Calibri" w:hAnsi="Calibri" w:cs="Times New Roman"/>
          <w:sz w:val="24"/>
          <w:szCs w:val="24"/>
          <w:lang w:eastAsia="en-US"/>
        </w:rPr>
        <w:t>5</w:t>
      </w:r>
      <w:r w:rsidR="00F67D2C" w:rsidRPr="00F67D2C">
        <w:rPr>
          <w:rFonts w:ascii="Calibri" w:eastAsia="Calibri" w:hAnsi="Calibri" w:cs="Times New Roman"/>
          <w:sz w:val="24"/>
          <w:szCs w:val="24"/>
          <w:lang w:eastAsia="en-US"/>
        </w:rPr>
        <w:t>,</w:t>
      </w:r>
      <w:r w:rsidR="006103F3">
        <w:rPr>
          <w:rFonts w:ascii="Calibri" w:eastAsia="Calibri" w:hAnsi="Calibri" w:cs="Times New Roman"/>
          <w:sz w:val="24"/>
          <w:szCs w:val="24"/>
          <w:lang w:eastAsia="en-US"/>
        </w:rPr>
        <w:t>2</w:t>
      </w:r>
      <w:r w:rsidR="00F67D2C" w:rsidRPr="00F67D2C">
        <w:rPr>
          <w:rFonts w:ascii="Calibri" w:eastAsia="Calibri" w:hAnsi="Calibri" w:cs="Times New Roman"/>
          <w:sz w:val="24"/>
          <w:szCs w:val="24"/>
          <w:lang w:eastAsia="en-US"/>
        </w:rPr>
        <w:t>% που προβλέπει μείωση</w:t>
      </w:r>
      <w:r w:rsidR="006103F3">
        <w:rPr>
          <w:rFonts w:ascii="Calibri" w:eastAsia="Calibri" w:hAnsi="Calibri" w:cs="Times New Roman"/>
          <w:sz w:val="24"/>
          <w:szCs w:val="24"/>
          <w:lang w:eastAsia="en-US"/>
        </w:rPr>
        <w:t xml:space="preserve">, με την εκτίμησή τους πάντως να είναι σημαντικά πιο απαισιόδοξη την τρέχουσα περίοδο συγκριτικά με την προηγούμενη έρευνα </w:t>
      </w:r>
      <w:r>
        <w:rPr>
          <w:rFonts w:ascii="Calibri" w:eastAsia="Calibri" w:hAnsi="Calibri" w:cs="Times New Roman"/>
          <w:sz w:val="24"/>
          <w:szCs w:val="24"/>
          <w:lang w:eastAsia="en-US"/>
        </w:rPr>
        <w:t xml:space="preserve">οικονομικού </w:t>
      </w:r>
      <w:r w:rsidR="00D25E3D">
        <w:rPr>
          <w:rFonts w:ascii="Calibri" w:eastAsia="Calibri" w:hAnsi="Calibri" w:cs="Times New Roman"/>
          <w:sz w:val="24"/>
          <w:szCs w:val="24"/>
          <w:lang w:eastAsia="en-US"/>
        </w:rPr>
        <w:t>κλίματος</w:t>
      </w:r>
      <w:r w:rsidR="006103F3">
        <w:rPr>
          <w:rFonts w:ascii="Calibri" w:eastAsia="Calibri" w:hAnsi="Calibri" w:cs="Times New Roman"/>
          <w:sz w:val="24"/>
          <w:szCs w:val="24"/>
          <w:lang w:eastAsia="en-US"/>
        </w:rPr>
        <w:t xml:space="preserve"> του ΙΜΕ ΓΣΕΒΕΕ</w:t>
      </w:r>
      <w:r w:rsidR="00F67D2C" w:rsidRPr="00F67D2C">
        <w:rPr>
          <w:rFonts w:ascii="Calibri" w:eastAsia="Calibri" w:hAnsi="Calibri" w:cs="Times New Roman"/>
          <w:sz w:val="24"/>
          <w:szCs w:val="24"/>
          <w:lang w:eastAsia="en-US"/>
        </w:rPr>
        <w:t xml:space="preserve">. </w:t>
      </w:r>
      <w:r w:rsidR="006103F3">
        <w:rPr>
          <w:rFonts w:ascii="Calibri" w:eastAsia="Calibri" w:hAnsi="Calibri" w:cs="Times New Roman"/>
          <w:sz w:val="24"/>
          <w:szCs w:val="24"/>
          <w:lang w:eastAsia="en-US"/>
        </w:rPr>
        <w:t>Η</w:t>
      </w:r>
      <w:r w:rsidR="00F67D2C" w:rsidRPr="00F67D2C">
        <w:rPr>
          <w:rFonts w:ascii="Calibri" w:eastAsia="Calibri" w:hAnsi="Calibri" w:cs="Times New Roman"/>
          <w:sz w:val="24"/>
          <w:szCs w:val="24"/>
          <w:lang w:eastAsia="en-US"/>
        </w:rPr>
        <w:t xml:space="preserve"> εκτίμηση των επιχειρήσεων με τζίρο από 100.000 έως </w:t>
      </w:r>
      <w:r w:rsidR="00F67D2C" w:rsidRPr="00F67D2C">
        <w:rPr>
          <w:rFonts w:ascii="Calibri" w:eastAsia="Calibri" w:hAnsi="Calibri" w:cs="Times New Roman"/>
          <w:sz w:val="24"/>
          <w:szCs w:val="24"/>
          <w:lang w:eastAsia="en-US"/>
        </w:rPr>
        <w:lastRenderedPageBreak/>
        <w:t>300.000</w:t>
      </w:r>
      <w:r w:rsidR="00580676">
        <w:rPr>
          <w:rFonts w:ascii="Calibri" w:eastAsia="Calibri" w:hAnsi="Calibri" w:cs="Times New Roman"/>
          <w:sz w:val="24"/>
          <w:szCs w:val="24"/>
          <w:lang w:eastAsia="en-US"/>
        </w:rPr>
        <w:t xml:space="preserve"> </w:t>
      </w:r>
      <w:r w:rsidR="00F67D2C" w:rsidRPr="00F67D2C">
        <w:rPr>
          <w:rFonts w:ascii="Calibri" w:eastAsia="Calibri" w:hAnsi="Calibri" w:cs="Times New Roman"/>
          <w:sz w:val="24"/>
          <w:szCs w:val="24"/>
          <w:lang w:eastAsia="en-US"/>
        </w:rPr>
        <w:t xml:space="preserve">€ </w:t>
      </w:r>
      <w:r w:rsidR="006103F3">
        <w:rPr>
          <w:rFonts w:ascii="Calibri" w:eastAsia="Calibri" w:hAnsi="Calibri" w:cs="Times New Roman"/>
          <w:sz w:val="24"/>
          <w:szCs w:val="24"/>
          <w:lang w:eastAsia="en-US"/>
        </w:rPr>
        <w:t xml:space="preserve">είναι σαφώς </w:t>
      </w:r>
      <w:r w:rsidR="00D25E3D">
        <w:rPr>
          <w:rFonts w:ascii="Calibri" w:eastAsia="Calibri" w:hAnsi="Calibri" w:cs="Times New Roman"/>
          <w:sz w:val="24"/>
          <w:szCs w:val="24"/>
          <w:lang w:eastAsia="en-US"/>
        </w:rPr>
        <w:t>λιγότερο αισιόδοξη</w:t>
      </w:r>
      <w:r w:rsidR="007A558D">
        <w:rPr>
          <w:rFonts w:ascii="Calibri" w:eastAsia="Calibri" w:hAnsi="Calibri" w:cs="Times New Roman"/>
          <w:sz w:val="24"/>
          <w:szCs w:val="24"/>
          <w:lang w:eastAsia="en-US"/>
        </w:rPr>
        <w:t>,</w:t>
      </w:r>
      <w:r w:rsidR="006103F3">
        <w:rPr>
          <w:rFonts w:ascii="Calibri" w:eastAsia="Calibri" w:hAnsi="Calibri" w:cs="Times New Roman"/>
          <w:sz w:val="24"/>
          <w:szCs w:val="24"/>
          <w:lang w:eastAsia="en-US"/>
        </w:rPr>
        <w:t xml:space="preserve"> με το </w:t>
      </w:r>
      <w:r w:rsidR="00F67D2C" w:rsidRPr="00F67D2C">
        <w:rPr>
          <w:rFonts w:ascii="Calibri" w:eastAsia="Calibri" w:hAnsi="Calibri" w:cs="Times New Roman"/>
          <w:sz w:val="24"/>
          <w:szCs w:val="24"/>
          <w:lang w:eastAsia="en-US"/>
        </w:rPr>
        <w:t>26,</w:t>
      </w:r>
      <w:r w:rsidR="006103F3">
        <w:rPr>
          <w:rFonts w:ascii="Calibri" w:eastAsia="Calibri" w:hAnsi="Calibri" w:cs="Times New Roman"/>
          <w:sz w:val="24"/>
          <w:szCs w:val="24"/>
          <w:lang w:eastAsia="en-US"/>
        </w:rPr>
        <w:t>9</w:t>
      </w:r>
      <w:r w:rsidR="00F67D2C" w:rsidRPr="00F67D2C">
        <w:rPr>
          <w:rFonts w:ascii="Calibri" w:eastAsia="Calibri" w:hAnsi="Calibri" w:cs="Times New Roman"/>
          <w:sz w:val="24"/>
          <w:szCs w:val="24"/>
          <w:lang w:eastAsia="en-US"/>
        </w:rPr>
        <w:t>% να αναμένει αύξηση κύκλου εργασιών</w:t>
      </w:r>
      <w:r w:rsidR="00580676">
        <w:rPr>
          <w:rFonts w:ascii="Calibri" w:eastAsia="Calibri" w:hAnsi="Calibri" w:cs="Times New Roman"/>
          <w:sz w:val="24"/>
          <w:szCs w:val="24"/>
          <w:lang w:eastAsia="en-US"/>
        </w:rPr>
        <w:t>,</w:t>
      </w:r>
      <w:r w:rsidR="00F67D2C" w:rsidRPr="00F67D2C">
        <w:rPr>
          <w:rFonts w:ascii="Calibri" w:eastAsia="Calibri" w:hAnsi="Calibri" w:cs="Times New Roman"/>
          <w:sz w:val="24"/>
          <w:szCs w:val="24"/>
          <w:lang w:eastAsia="en-US"/>
        </w:rPr>
        <w:t xml:space="preserve"> έναντι </w:t>
      </w:r>
      <w:r w:rsidR="007A558D">
        <w:rPr>
          <w:rFonts w:ascii="Calibri" w:eastAsia="Calibri" w:hAnsi="Calibri" w:cs="Times New Roman"/>
          <w:sz w:val="24"/>
          <w:szCs w:val="24"/>
          <w:lang w:eastAsia="en-US"/>
        </w:rPr>
        <w:t xml:space="preserve">του </w:t>
      </w:r>
      <w:r w:rsidR="006103F3">
        <w:rPr>
          <w:rFonts w:ascii="Calibri" w:eastAsia="Calibri" w:hAnsi="Calibri" w:cs="Times New Roman"/>
          <w:sz w:val="24"/>
          <w:szCs w:val="24"/>
          <w:lang w:eastAsia="en-US"/>
        </w:rPr>
        <w:t>3</w:t>
      </w:r>
      <w:r w:rsidR="00F67D2C" w:rsidRPr="00F67D2C">
        <w:rPr>
          <w:rFonts w:ascii="Calibri" w:eastAsia="Calibri" w:hAnsi="Calibri" w:cs="Times New Roman"/>
          <w:sz w:val="24"/>
          <w:szCs w:val="24"/>
          <w:lang w:eastAsia="en-US"/>
        </w:rPr>
        <w:t>5,</w:t>
      </w:r>
      <w:r w:rsidR="006103F3">
        <w:rPr>
          <w:rFonts w:ascii="Calibri" w:eastAsia="Calibri" w:hAnsi="Calibri" w:cs="Times New Roman"/>
          <w:sz w:val="24"/>
          <w:szCs w:val="24"/>
          <w:lang w:eastAsia="en-US"/>
        </w:rPr>
        <w:t>8</w:t>
      </w:r>
      <w:r w:rsidR="00F67D2C" w:rsidRPr="00F67D2C">
        <w:rPr>
          <w:rFonts w:ascii="Calibri" w:eastAsia="Calibri" w:hAnsi="Calibri" w:cs="Times New Roman"/>
          <w:sz w:val="24"/>
          <w:szCs w:val="24"/>
          <w:lang w:eastAsia="en-US"/>
        </w:rPr>
        <w:t xml:space="preserve">% που αναμένει μείωση. </w:t>
      </w:r>
    </w:p>
    <w:p w14:paraId="44D95EB9" w14:textId="4C97012A" w:rsidR="00F67D2C" w:rsidRDefault="006103F3" w:rsidP="00F67D2C">
      <w:pPr>
        <w:spacing w:after="160" w:line="360" w:lineRule="auto"/>
        <w:jc w:val="both"/>
        <w:rPr>
          <w:rFonts w:ascii="Calibri" w:eastAsia="Calibri" w:hAnsi="Calibri" w:cs="Times New Roman"/>
          <w:sz w:val="24"/>
          <w:szCs w:val="24"/>
          <w:lang w:eastAsia="en-US"/>
        </w:rPr>
      </w:pPr>
      <w:r>
        <w:rPr>
          <w:rFonts w:ascii="Calibri" w:eastAsia="Calibri" w:hAnsi="Calibri" w:cs="Times New Roman"/>
          <w:sz w:val="24"/>
          <w:szCs w:val="24"/>
          <w:lang w:eastAsia="en-US"/>
        </w:rPr>
        <w:t>Κυρίαρχο</w:t>
      </w:r>
      <w:r w:rsidR="00F67D2C" w:rsidRPr="00F67D2C">
        <w:rPr>
          <w:rFonts w:ascii="Calibri" w:eastAsia="Calibri" w:hAnsi="Calibri" w:cs="Times New Roman"/>
          <w:sz w:val="24"/>
          <w:szCs w:val="24"/>
          <w:lang w:eastAsia="en-US"/>
        </w:rPr>
        <w:t xml:space="preserve"> είναι το κλίμα </w:t>
      </w:r>
      <w:r>
        <w:rPr>
          <w:rFonts w:ascii="Calibri" w:eastAsia="Calibri" w:hAnsi="Calibri" w:cs="Times New Roman"/>
          <w:sz w:val="24"/>
          <w:szCs w:val="24"/>
          <w:lang w:eastAsia="en-US"/>
        </w:rPr>
        <w:t xml:space="preserve">απαισιοδοξίας </w:t>
      </w:r>
      <w:r w:rsidR="00F67D2C" w:rsidRPr="00F67D2C">
        <w:rPr>
          <w:rFonts w:ascii="Calibri" w:eastAsia="Calibri" w:hAnsi="Calibri" w:cs="Times New Roman"/>
          <w:sz w:val="24"/>
          <w:szCs w:val="24"/>
          <w:lang w:eastAsia="en-US"/>
        </w:rPr>
        <w:t>στις μικρότερες επιχειρήσεις</w:t>
      </w:r>
      <w:r w:rsidR="00580676">
        <w:rPr>
          <w:rFonts w:ascii="Calibri" w:eastAsia="Calibri" w:hAnsi="Calibri" w:cs="Times New Roman"/>
          <w:sz w:val="24"/>
          <w:szCs w:val="24"/>
          <w:lang w:eastAsia="en-US"/>
        </w:rPr>
        <w:t>,</w:t>
      </w:r>
      <w:r w:rsidR="00F67D2C" w:rsidRPr="00F67D2C">
        <w:rPr>
          <w:rFonts w:ascii="Calibri" w:eastAsia="Calibri" w:hAnsi="Calibri" w:cs="Times New Roman"/>
          <w:sz w:val="24"/>
          <w:szCs w:val="24"/>
          <w:lang w:eastAsia="en-US"/>
        </w:rPr>
        <w:t xml:space="preserve"> αφού </w:t>
      </w:r>
      <w:r>
        <w:rPr>
          <w:rFonts w:ascii="Calibri" w:eastAsia="Calibri" w:hAnsi="Calibri" w:cs="Times New Roman"/>
          <w:sz w:val="24"/>
          <w:szCs w:val="24"/>
          <w:lang w:eastAsia="en-US"/>
        </w:rPr>
        <w:t xml:space="preserve">μόλις </w:t>
      </w:r>
      <w:r w:rsidR="00F67D2C">
        <w:rPr>
          <w:rFonts w:ascii="Calibri" w:eastAsia="Calibri" w:hAnsi="Calibri" w:cs="Times New Roman"/>
          <w:sz w:val="24"/>
          <w:szCs w:val="24"/>
          <w:lang w:eastAsia="en-US"/>
        </w:rPr>
        <w:t>το 15</w:t>
      </w:r>
      <w:r>
        <w:rPr>
          <w:rFonts w:ascii="Calibri" w:eastAsia="Calibri" w:hAnsi="Calibri" w:cs="Times New Roman"/>
          <w:sz w:val="24"/>
          <w:szCs w:val="24"/>
          <w:lang w:eastAsia="en-US"/>
        </w:rPr>
        <w:t>,5</w:t>
      </w:r>
      <w:r w:rsidR="00F67D2C">
        <w:rPr>
          <w:rFonts w:ascii="Calibri" w:eastAsia="Calibri" w:hAnsi="Calibri" w:cs="Times New Roman"/>
          <w:sz w:val="24"/>
          <w:szCs w:val="24"/>
          <w:lang w:eastAsia="en-US"/>
        </w:rPr>
        <w:t xml:space="preserve">% των επιχειρήσεων </w:t>
      </w:r>
      <w:r w:rsidR="00F67D2C" w:rsidRPr="00F67D2C">
        <w:rPr>
          <w:rFonts w:ascii="Calibri" w:eastAsia="Calibri" w:hAnsi="Calibri" w:cs="Times New Roman"/>
          <w:sz w:val="24"/>
          <w:szCs w:val="24"/>
          <w:lang w:eastAsia="en-US"/>
        </w:rPr>
        <w:t xml:space="preserve">με </w:t>
      </w:r>
      <w:r w:rsidR="00F67D2C">
        <w:rPr>
          <w:rFonts w:ascii="Calibri" w:eastAsia="Calibri" w:hAnsi="Calibri" w:cs="Times New Roman"/>
          <w:sz w:val="24"/>
          <w:szCs w:val="24"/>
          <w:lang w:eastAsia="en-US"/>
        </w:rPr>
        <w:t xml:space="preserve">κύκλο εργασιών </w:t>
      </w:r>
      <w:r w:rsidR="00F67D2C" w:rsidRPr="00F67D2C">
        <w:rPr>
          <w:rFonts w:ascii="Calibri" w:eastAsia="Calibri" w:hAnsi="Calibri" w:cs="Times New Roman"/>
          <w:sz w:val="24"/>
          <w:szCs w:val="24"/>
          <w:lang w:eastAsia="en-US"/>
        </w:rPr>
        <w:t>μεταξύ 50.000 και 100.000</w:t>
      </w:r>
      <w:r w:rsidR="00580676">
        <w:rPr>
          <w:rFonts w:ascii="Calibri" w:eastAsia="Calibri" w:hAnsi="Calibri" w:cs="Times New Roman"/>
          <w:sz w:val="24"/>
          <w:szCs w:val="24"/>
          <w:lang w:eastAsia="en-US"/>
        </w:rPr>
        <w:t xml:space="preserve"> </w:t>
      </w:r>
      <w:r w:rsidR="00F67D2C" w:rsidRPr="00F67D2C">
        <w:rPr>
          <w:rFonts w:ascii="Calibri" w:eastAsia="Calibri" w:hAnsi="Calibri" w:cs="Times New Roman"/>
          <w:sz w:val="24"/>
          <w:szCs w:val="24"/>
          <w:lang w:eastAsia="en-US"/>
        </w:rPr>
        <w:t xml:space="preserve">€ </w:t>
      </w:r>
      <w:r w:rsidR="00F67D2C">
        <w:rPr>
          <w:rFonts w:ascii="Calibri" w:eastAsia="Calibri" w:hAnsi="Calibri" w:cs="Times New Roman"/>
          <w:sz w:val="24"/>
          <w:szCs w:val="24"/>
          <w:lang w:eastAsia="en-US"/>
        </w:rPr>
        <w:t xml:space="preserve">αναμένει αύξηση </w:t>
      </w:r>
      <w:r w:rsidR="00580676">
        <w:rPr>
          <w:rFonts w:ascii="Calibri" w:eastAsia="Calibri" w:hAnsi="Calibri" w:cs="Times New Roman"/>
          <w:sz w:val="24"/>
          <w:szCs w:val="24"/>
          <w:lang w:eastAsia="en-US"/>
        </w:rPr>
        <w:t>του</w:t>
      </w:r>
      <w:r w:rsidR="00580676" w:rsidRPr="00F67D2C">
        <w:rPr>
          <w:rFonts w:ascii="Calibri" w:eastAsia="Calibri" w:hAnsi="Calibri" w:cs="Times New Roman"/>
          <w:sz w:val="24"/>
          <w:szCs w:val="24"/>
          <w:lang w:eastAsia="en-US"/>
        </w:rPr>
        <w:t xml:space="preserve"> </w:t>
      </w:r>
      <w:r w:rsidR="00F67D2C" w:rsidRPr="00F67D2C">
        <w:rPr>
          <w:rFonts w:ascii="Calibri" w:eastAsia="Calibri" w:hAnsi="Calibri" w:cs="Times New Roman"/>
          <w:sz w:val="24"/>
          <w:szCs w:val="24"/>
          <w:lang w:eastAsia="en-US"/>
        </w:rPr>
        <w:t>κύκλου εργασιών</w:t>
      </w:r>
      <w:r w:rsidR="00580676">
        <w:rPr>
          <w:rFonts w:ascii="Calibri" w:eastAsia="Calibri" w:hAnsi="Calibri" w:cs="Times New Roman"/>
          <w:sz w:val="24"/>
          <w:szCs w:val="24"/>
          <w:lang w:eastAsia="en-US"/>
        </w:rPr>
        <w:t>,</w:t>
      </w:r>
      <w:r w:rsidR="00F67D2C" w:rsidRPr="00F67D2C">
        <w:rPr>
          <w:rFonts w:ascii="Calibri" w:eastAsia="Calibri" w:hAnsi="Calibri" w:cs="Times New Roman"/>
          <w:sz w:val="24"/>
          <w:szCs w:val="24"/>
          <w:lang w:eastAsia="en-US"/>
        </w:rPr>
        <w:t xml:space="preserve"> </w:t>
      </w:r>
      <w:r w:rsidR="00F67D2C">
        <w:rPr>
          <w:rFonts w:ascii="Calibri" w:eastAsia="Calibri" w:hAnsi="Calibri" w:cs="Times New Roman"/>
          <w:sz w:val="24"/>
          <w:szCs w:val="24"/>
          <w:lang w:eastAsia="en-US"/>
        </w:rPr>
        <w:t xml:space="preserve">έναντι </w:t>
      </w:r>
      <w:r w:rsidR="00A15376">
        <w:rPr>
          <w:rFonts w:ascii="Calibri" w:eastAsia="Calibri" w:hAnsi="Calibri" w:cs="Times New Roman"/>
          <w:sz w:val="24"/>
          <w:szCs w:val="24"/>
          <w:lang w:eastAsia="en-US"/>
        </w:rPr>
        <w:t xml:space="preserve">του </w:t>
      </w:r>
      <w:r>
        <w:rPr>
          <w:rFonts w:ascii="Calibri" w:eastAsia="Calibri" w:hAnsi="Calibri" w:cs="Times New Roman"/>
          <w:sz w:val="24"/>
          <w:szCs w:val="24"/>
          <w:lang w:eastAsia="en-US"/>
        </w:rPr>
        <w:t>40,2</w:t>
      </w:r>
      <w:r w:rsidR="00F67D2C">
        <w:rPr>
          <w:rFonts w:ascii="Calibri" w:eastAsia="Calibri" w:hAnsi="Calibri" w:cs="Times New Roman"/>
          <w:sz w:val="24"/>
          <w:szCs w:val="24"/>
          <w:lang w:eastAsia="en-US"/>
        </w:rPr>
        <w:t>% που αναμένει μείωση</w:t>
      </w:r>
      <w:r>
        <w:rPr>
          <w:rFonts w:ascii="Calibri" w:eastAsia="Calibri" w:hAnsi="Calibri" w:cs="Times New Roman"/>
          <w:sz w:val="24"/>
          <w:szCs w:val="24"/>
          <w:lang w:eastAsia="en-US"/>
        </w:rPr>
        <w:t>, ενώ</w:t>
      </w:r>
      <w:r w:rsidR="00F67D2C">
        <w:rPr>
          <w:rFonts w:ascii="Calibri" w:eastAsia="Calibri" w:hAnsi="Calibri" w:cs="Times New Roman"/>
          <w:sz w:val="24"/>
          <w:szCs w:val="24"/>
          <w:lang w:eastAsia="en-US"/>
        </w:rPr>
        <w:t xml:space="preserve"> το </w:t>
      </w:r>
      <w:r>
        <w:rPr>
          <w:rFonts w:ascii="Calibri" w:eastAsia="Calibri" w:hAnsi="Calibri" w:cs="Times New Roman"/>
          <w:sz w:val="24"/>
          <w:szCs w:val="24"/>
          <w:lang w:eastAsia="en-US"/>
        </w:rPr>
        <w:t>15</w:t>
      </w:r>
      <w:r w:rsidR="00F67D2C">
        <w:rPr>
          <w:rFonts w:ascii="Calibri" w:eastAsia="Calibri" w:hAnsi="Calibri" w:cs="Times New Roman"/>
          <w:sz w:val="24"/>
          <w:szCs w:val="24"/>
          <w:lang w:eastAsia="en-US"/>
        </w:rPr>
        <w:t>% των επιχειρήσεων με κύκλο εργασιών</w:t>
      </w:r>
      <w:r w:rsidR="00F67D2C" w:rsidRPr="00F67D2C">
        <w:rPr>
          <w:rFonts w:ascii="Calibri" w:eastAsia="Calibri" w:hAnsi="Calibri" w:cs="Times New Roman"/>
          <w:sz w:val="24"/>
          <w:szCs w:val="24"/>
          <w:lang w:eastAsia="en-US"/>
        </w:rPr>
        <w:t xml:space="preserve"> έως 50.000</w:t>
      </w:r>
      <w:r w:rsidR="00580676">
        <w:rPr>
          <w:rFonts w:ascii="Calibri" w:eastAsia="Calibri" w:hAnsi="Calibri" w:cs="Times New Roman"/>
          <w:sz w:val="24"/>
          <w:szCs w:val="24"/>
          <w:lang w:eastAsia="en-US"/>
        </w:rPr>
        <w:t xml:space="preserve"> </w:t>
      </w:r>
      <w:r w:rsidR="00F67D2C" w:rsidRPr="00F67D2C">
        <w:rPr>
          <w:rFonts w:ascii="Calibri" w:eastAsia="Calibri" w:hAnsi="Calibri" w:cs="Times New Roman"/>
          <w:sz w:val="24"/>
          <w:szCs w:val="24"/>
          <w:lang w:eastAsia="en-US"/>
        </w:rPr>
        <w:t xml:space="preserve">€ </w:t>
      </w:r>
      <w:r w:rsidR="00F67D2C">
        <w:rPr>
          <w:rFonts w:ascii="Calibri" w:eastAsia="Calibri" w:hAnsi="Calibri" w:cs="Times New Roman"/>
          <w:sz w:val="24"/>
          <w:szCs w:val="24"/>
          <w:lang w:eastAsia="en-US"/>
        </w:rPr>
        <w:t xml:space="preserve">εκτιμά </w:t>
      </w:r>
      <w:r w:rsidR="00F67D2C" w:rsidRPr="00F67D2C">
        <w:rPr>
          <w:rFonts w:ascii="Calibri" w:eastAsia="Calibri" w:hAnsi="Calibri" w:cs="Times New Roman"/>
          <w:sz w:val="24"/>
          <w:szCs w:val="24"/>
          <w:lang w:eastAsia="en-US"/>
        </w:rPr>
        <w:t>αύξηση κύκλου εργασιών</w:t>
      </w:r>
      <w:r w:rsidR="00580676">
        <w:rPr>
          <w:rFonts w:ascii="Calibri" w:eastAsia="Calibri" w:hAnsi="Calibri" w:cs="Times New Roman"/>
          <w:sz w:val="24"/>
          <w:szCs w:val="24"/>
          <w:lang w:eastAsia="en-US"/>
        </w:rPr>
        <w:t>,</w:t>
      </w:r>
      <w:r w:rsidR="00F67D2C" w:rsidRPr="00F67D2C">
        <w:rPr>
          <w:rFonts w:ascii="Calibri" w:eastAsia="Calibri" w:hAnsi="Calibri" w:cs="Times New Roman"/>
          <w:sz w:val="24"/>
          <w:szCs w:val="24"/>
          <w:lang w:eastAsia="en-US"/>
        </w:rPr>
        <w:t xml:space="preserve"> έναντι </w:t>
      </w:r>
      <w:r w:rsidR="00A15376">
        <w:rPr>
          <w:rFonts w:ascii="Calibri" w:eastAsia="Calibri" w:hAnsi="Calibri" w:cs="Times New Roman"/>
          <w:sz w:val="24"/>
          <w:szCs w:val="24"/>
          <w:lang w:eastAsia="en-US"/>
        </w:rPr>
        <w:t xml:space="preserve">του </w:t>
      </w:r>
      <w:r>
        <w:rPr>
          <w:rFonts w:ascii="Calibri" w:eastAsia="Calibri" w:hAnsi="Calibri" w:cs="Times New Roman"/>
          <w:sz w:val="24"/>
          <w:szCs w:val="24"/>
          <w:lang w:eastAsia="en-US"/>
        </w:rPr>
        <w:t>43</w:t>
      </w:r>
      <w:r w:rsidR="00F67D2C" w:rsidRPr="00F67D2C">
        <w:rPr>
          <w:rFonts w:ascii="Calibri" w:eastAsia="Calibri" w:hAnsi="Calibri" w:cs="Times New Roman"/>
          <w:sz w:val="24"/>
          <w:szCs w:val="24"/>
          <w:lang w:eastAsia="en-US"/>
        </w:rPr>
        <w:t xml:space="preserve">,7% που </w:t>
      </w:r>
      <w:r w:rsidR="00F67D2C">
        <w:rPr>
          <w:rFonts w:ascii="Calibri" w:eastAsia="Calibri" w:hAnsi="Calibri" w:cs="Times New Roman"/>
          <w:sz w:val="24"/>
          <w:szCs w:val="24"/>
          <w:lang w:eastAsia="en-US"/>
        </w:rPr>
        <w:t>αναμένει</w:t>
      </w:r>
      <w:r w:rsidR="00F67D2C" w:rsidRPr="00F67D2C">
        <w:rPr>
          <w:rFonts w:ascii="Calibri" w:eastAsia="Calibri" w:hAnsi="Calibri" w:cs="Times New Roman"/>
          <w:sz w:val="24"/>
          <w:szCs w:val="24"/>
          <w:lang w:eastAsia="en-US"/>
        </w:rPr>
        <w:t xml:space="preserve"> μείωση. </w:t>
      </w:r>
    </w:p>
    <w:p w14:paraId="056ED25F" w14:textId="0F68213D" w:rsidR="006103F3" w:rsidRPr="00F67D2C" w:rsidRDefault="006103F3" w:rsidP="00F67D2C">
      <w:pPr>
        <w:spacing w:after="160" w:line="360" w:lineRule="auto"/>
        <w:jc w:val="both"/>
        <w:rPr>
          <w:rFonts w:ascii="Calibri" w:eastAsia="Calibri" w:hAnsi="Calibri" w:cs="Times New Roman"/>
          <w:sz w:val="24"/>
          <w:szCs w:val="24"/>
          <w:lang w:eastAsia="en-US"/>
        </w:rPr>
      </w:pPr>
      <w:r>
        <w:rPr>
          <w:rFonts w:ascii="Calibri" w:eastAsia="Calibri" w:hAnsi="Calibri" w:cs="Times New Roman"/>
          <w:sz w:val="24"/>
          <w:szCs w:val="24"/>
          <w:lang w:eastAsia="en-US"/>
        </w:rPr>
        <w:t xml:space="preserve">Αντιστρόφως ανάλογες είναι οι προσδοκίες των </w:t>
      </w:r>
      <w:proofErr w:type="spellStart"/>
      <w:r>
        <w:rPr>
          <w:rFonts w:ascii="Calibri" w:eastAsia="Calibri" w:hAnsi="Calibri" w:cs="Times New Roman"/>
          <w:sz w:val="24"/>
          <w:szCs w:val="24"/>
          <w:lang w:eastAsia="en-US"/>
        </w:rPr>
        <w:t>ΜμΕ</w:t>
      </w:r>
      <w:proofErr w:type="spellEnd"/>
      <w:r>
        <w:rPr>
          <w:rFonts w:ascii="Calibri" w:eastAsia="Calibri" w:hAnsi="Calibri" w:cs="Times New Roman"/>
          <w:sz w:val="24"/>
          <w:szCs w:val="24"/>
          <w:lang w:eastAsia="en-US"/>
        </w:rPr>
        <w:t xml:space="preserve"> ανάλογα με τη νομική μορφή της επιχείρησης</w:t>
      </w:r>
      <w:r w:rsidR="00A15376">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w:t>
      </w:r>
      <w:r w:rsidR="00A15376">
        <w:rPr>
          <w:rFonts w:ascii="Calibri" w:eastAsia="Calibri" w:hAnsi="Calibri" w:cs="Times New Roman"/>
          <w:sz w:val="24"/>
          <w:szCs w:val="24"/>
          <w:lang w:eastAsia="en-US"/>
        </w:rPr>
        <w:t xml:space="preserve">καθώς </w:t>
      </w:r>
      <w:r>
        <w:rPr>
          <w:rFonts w:ascii="Calibri" w:eastAsia="Calibri" w:hAnsi="Calibri" w:cs="Times New Roman"/>
          <w:sz w:val="24"/>
          <w:szCs w:val="24"/>
          <w:lang w:eastAsia="en-US"/>
        </w:rPr>
        <w:t>το 52,3% των Α.Ε. αναμένουν βελτίωση του κύκλου εργασιών το επόμενο εξάμηνο</w:t>
      </w:r>
      <w:r w:rsidR="00A15376">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έναντι </w:t>
      </w:r>
      <w:r w:rsidR="00A15376">
        <w:rPr>
          <w:rFonts w:ascii="Calibri" w:eastAsia="Calibri" w:hAnsi="Calibri" w:cs="Times New Roman"/>
          <w:sz w:val="24"/>
          <w:szCs w:val="24"/>
          <w:lang w:eastAsia="en-US"/>
        </w:rPr>
        <w:t xml:space="preserve">του </w:t>
      </w:r>
      <w:r>
        <w:rPr>
          <w:rFonts w:ascii="Calibri" w:eastAsia="Calibri" w:hAnsi="Calibri" w:cs="Times New Roman"/>
          <w:sz w:val="24"/>
          <w:szCs w:val="24"/>
          <w:lang w:eastAsia="en-US"/>
        </w:rPr>
        <w:t xml:space="preserve">μόλις 15,9% που εκτιμά ότι αυτός θα συρρικνωθεί. </w:t>
      </w:r>
      <w:r w:rsidR="009E33D8">
        <w:rPr>
          <w:rFonts w:ascii="Calibri" w:eastAsia="Calibri" w:hAnsi="Calibri" w:cs="Times New Roman"/>
          <w:sz w:val="24"/>
          <w:szCs w:val="24"/>
          <w:lang w:eastAsia="en-US"/>
        </w:rPr>
        <w:t>Αισιόδοξες εμφανίζονται και οι Ι.Κ.Ε.</w:t>
      </w:r>
      <w:r w:rsidR="00A15376">
        <w:rPr>
          <w:rFonts w:ascii="Calibri" w:eastAsia="Calibri" w:hAnsi="Calibri" w:cs="Times New Roman"/>
          <w:sz w:val="24"/>
          <w:szCs w:val="24"/>
          <w:lang w:eastAsia="en-US"/>
        </w:rPr>
        <w:t>,</w:t>
      </w:r>
      <w:r w:rsidR="009E33D8">
        <w:rPr>
          <w:rFonts w:ascii="Calibri" w:eastAsia="Calibri" w:hAnsi="Calibri" w:cs="Times New Roman"/>
          <w:sz w:val="24"/>
          <w:szCs w:val="24"/>
          <w:lang w:eastAsia="en-US"/>
        </w:rPr>
        <w:t xml:space="preserve"> όπου το 34,1% προβλέπει αύξηση του κύκλου εργασιών έναντι </w:t>
      </w:r>
      <w:r w:rsidR="00A15376">
        <w:rPr>
          <w:rFonts w:ascii="Calibri" w:eastAsia="Calibri" w:hAnsi="Calibri" w:cs="Times New Roman"/>
          <w:sz w:val="24"/>
          <w:szCs w:val="24"/>
          <w:lang w:eastAsia="en-US"/>
        </w:rPr>
        <w:t xml:space="preserve">του </w:t>
      </w:r>
      <w:r w:rsidR="009E33D8">
        <w:rPr>
          <w:rFonts w:ascii="Calibri" w:eastAsia="Calibri" w:hAnsi="Calibri" w:cs="Times New Roman"/>
          <w:sz w:val="24"/>
          <w:szCs w:val="24"/>
          <w:lang w:eastAsia="en-US"/>
        </w:rPr>
        <w:t xml:space="preserve">19,5% που προβλέπει μείωση. Κυρίαρχη όμως είναι </w:t>
      </w:r>
      <w:r w:rsidR="00A15376">
        <w:rPr>
          <w:rFonts w:ascii="Calibri" w:eastAsia="Calibri" w:hAnsi="Calibri" w:cs="Times New Roman"/>
          <w:sz w:val="24"/>
          <w:szCs w:val="24"/>
          <w:lang w:eastAsia="en-US"/>
        </w:rPr>
        <w:t>η</w:t>
      </w:r>
      <w:r w:rsidR="009E33D8">
        <w:rPr>
          <w:rFonts w:ascii="Calibri" w:eastAsia="Calibri" w:hAnsi="Calibri" w:cs="Times New Roman"/>
          <w:sz w:val="24"/>
          <w:szCs w:val="24"/>
          <w:lang w:eastAsia="en-US"/>
        </w:rPr>
        <w:t xml:space="preserve"> απαισιοδοξία στις ατομικές επιχειρήσεις και στις Ο.Ε.-Ε.Ε/ΕΠΕ</w:t>
      </w:r>
      <w:r w:rsidR="00A15376">
        <w:rPr>
          <w:rFonts w:ascii="Calibri" w:eastAsia="Calibri" w:hAnsi="Calibri" w:cs="Times New Roman"/>
          <w:sz w:val="24"/>
          <w:szCs w:val="24"/>
          <w:lang w:eastAsia="en-US"/>
        </w:rPr>
        <w:t>,</w:t>
      </w:r>
      <w:r w:rsidR="009E33D8">
        <w:rPr>
          <w:rFonts w:ascii="Calibri" w:eastAsia="Calibri" w:hAnsi="Calibri" w:cs="Times New Roman"/>
          <w:sz w:val="24"/>
          <w:szCs w:val="24"/>
          <w:lang w:eastAsia="en-US"/>
        </w:rPr>
        <w:t xml:space="preserve"> όπου καλύτερα αποτελέσματα αναμένουν στο δεύτερο εξάμηνο του έτους μόλις το 16,7% των επιχειρήσεων, έναντι </w:t>
      </w:r>
      <w:r w:rsidR="00A15376">
        <w:rPr>
          <w:rFonts w:ascii="Calibri" w:eastAsia="Calibri" w:hAnsi="Calibri" w:cs="Times New Roman"/>
          <w:sz w:val="24"/>
          <w:szCs w:val="24"/>
          <w:lang w:eastAsia="en-US"/>
        </w:rPr>
        <w:t xml:space="preserve">του </w:t>
      </w:r>
      <w:r w:rsidR="009E33D8">
        <w:rPr>
          <w:rFonts w:ascii="Calibri" w:eastAsia="Calibri" w:hAnsi="Calibri" w:cs="Times New Roman"/>
          <w:sz w:val="24"/>
          <w:szCs w:val="24"/>
          <w:lang w:eastAsia="en-US"/>
        </w:rPr>
        <w:t xml:space="preserve">42% </w:t>
      </w:r>
      <w:r w:rsidR="00A15376">
        <w:rPr>
          <w:rFonts w:ascii="Calibri" w:eastAsia="Calibri" w:hAnsi="Calibri" w:cs="Times New Roman"/>
          <w:sz w:val="24"/>
          <w:szCs w:val="24"/>
          <w:lang w:eastAsia="en-US"/>
        </w:rPr>
        <w:t xml:space="preserve">των </w:t>
      </w:r>
      <w:r w:rsidR="009E33D8">
        <w:rPr>
          <w:rFonts w:ascii="Calibri" w:eastAsia="Calibri" w:hAnsi="Calibri" w:cs="Times New Roman"/>
          <w:sz w:val="24"/>
          <w:szCs w:val="24"/>
          <w:lang w:eastAsia="en-US"/>
        </w:rPr>
        <w:t>ατομικ</w:t>
      </w:r>
      <w:r w:rsidR="00A15376">
        <w:rPr>
          <w:rFonts w:ascii="Calibri" w:eastAsia="Calibri" w:hAnsi="Calibri" w:cs="Times New Roman"/>
          <w:sz w:val="24"/>
          <w:szCs w:val="24"/>
          <w:lang w:eastAsia="en-US"/>
        </w:rPr>
        <w:t>ών</w:t>
      </w:r>
      <w:r w:rsidR="009E33D8">
        <w:rPr>
          <w:rFonts w:ascii="Calibri" w:eastAsia="Calibri" w:hAnsi="Calibri" w:cs="Times New Roman"/>
          <w:sz w:val="24"/>
          <w:szCs w:val="24"/>
          <w:lang w:eastAsia="en-US"/>
        </w:rPr>
        <w:t xml:space="preserve"> και </w:t>
      </w:r>
      <w:r w:rsidR="00A15376">
        <w:rPr>
          <w:rFonts w:ascii="Calibri" w:eastAsia="Calibri" w:hAnsi="Calibri" w:cs="Times New Roman"/>
          <w:sz w:val="24"/>
          <w:szCs w:val="24"/>
          <w:lang w:eastAsia="en-US"/>
        </w:rPr>
        <w:t xml:space="preserve">του </w:t>
      </w:r>
      <w:r w:rsidR="009E33D8">
        <w:rPr>
          <w:rFonts w:ascii="Calibri" w:eastAsia="Calibri" w:hAnsi="Calibri" w:cs="Times New Roman"/>
          <w:sz w:val="24"/>
          <w:szCs w:val="24"/>
          <w:lang w:eastAsia="en-US"/>
        </w:rPr>
        <w:t xml:space="preserve">33,3% </w:t>
      </w:r>
      <w:r w:rsidR="00A15376">
        <w:rPr>
          <w:rFonts w:ascii="Calibri" w:eastAsia="Calibri" w:hAnsi="Calibri" w:cs="Times New Roman"/>
          <w:sz w:val="24"/>
          <w:szCs w:val="24"/>
          <w:lang w:eastAsia="en-US"/>
        </w:rPr>
        <w:t xml:space="preserve">των </w:t>
      </w:r>
      <w:r w:rsidR="009E33D8">
        <w:rPr>
          <w:rFonts w:ascii="Calibri" w:eastAsia="Calibri" w:hAnsi="Calibri" w:cs="Times New Roman"/>
          <w:sz w:val="24"/>
          <w:szCs w:val="24"/>
          <w:lang w:eastAsia="en-US"/>
        </w:rPr>
        <w:t xml:space="preserve">ΟΕ-ΕΕ/ΕΠΕ που προβλέπουν μείωση του κύκλου εργασιών τους. </w:t>
      </w:r>
      <w:r>
        <w:rPr>
          <w:rFonts w:ascii="Calibri" w:eastAsia="Calibri" w:hAnsi="Calibri" w:cs="Times New Roman"/>
          <w:sz w:val="24"/>
          <w:szCs w:val="24"/>
          <w:lang w:eastAsia="en-US"/>
        </w:rPr>
        <w:t xml:space="preserve"> </w:t>
      </w:r>
    </w:p>
    <w:p w14:paraId="292A98FB" w14:textId="7784D6EC" w:rsidR="00F67D2C" w:rsidRDefault="009E33D8" w:rsidP="00F67D2C">
      <w:pPr>
        <w:spacing w:after="160" w:line="360" w:lineRule="auto"/>
        <w:jc w:val="both"/>
        <w:rPr>
          <w:rFonts w:ascii="Calibri" w:eastAsia="Calibri" w:hAnsi="Calibri" w:cs="Times New Roman"/>
          <w:sz w:val="24"/>
          <w:szCs w:val="24"/>
          <w:lang w:eastAsia="en-US"/>
        </w:rPr>
      </w:pPr>
      <w:r>
        <w:rPr>
          <w:rFonts w:ascii="Calibri" w:eastAsia="Calibri" w:hAnsi="Calibri" w:cs="Times New Roman"/>
          <w:sz w:val="24"/>
          <w:szCs w:val="24"/>
          <w:lang w:eastAsia="en-US"/>
        </w:rPr>
        <w:t xml:space="preserve">Η </w:t>
      </w:r>
      <w:r w:rsidR="001E5FC8">
        <w:rPr>
          <w:rFonts w:ascii="Calibri" w:eastAsia="Calibri" w:hAnsi="Calibri" w:cs="Times New Roman"/>
          <w:sz w:val="24"/>
          <w:szCs w:val="24"/>
          <w:lang w:eastAsia="en-US"/>
        </w:rPr>
        <w:t>πλειονότητα</w:t>
      </w:r>
      <w:r>
        <w:rPr>
          <w:rFonts w:ascii="Calibri" w:eastAsia="Calibri" w:hAnsi="Calibri" w:cs="Times New Roman"/>
          <w:sz w:val="24"/>
          <w:szCs w:val="24"/>
          <w:lang w:eastAsia="en-US"/>
        </w:rPr>
        <w:t xml:space="preserve"> των επιχειρήσεων στην Αττική (39,6%), τη Βόρεια Ελλάδα (35,8%) και την Κεντρική Ελλάδα (43,6%) αναμένουν συρρίκνωση του κύκλου εργασιών το Β΄ εξάμηνο του έτους, με τις προσδοκίες να είναι σαφώς χειρότερες στην Αττική</w:t>
      </w:r>
      <w:r w:rsidR="008E5BE7">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όπου μόλις το 15% των επιχειρήσεων αναμένει βελτίωση του κύκλου εργασιών του.  Το 20,5% των επιχειρήσεων στη Βόρεια Ελλάδα και το 19,1% στην Κεντρική Ελλάδα αναμένουν αντίστοιχα βελτίωση του κύκλου εργασιών. Αντίστροφη είναι η εικόνα στα νησιά του Αιγαίου και την Κρήτη</w:t>
      </w:r>
      <w:r w:rsidR="008E5BE7">
        <w:rPr>
          <w:rFonts w:ascii="Calibri" w:eastAsia="Calibri" w:hAnsi="Calibri" w:cs="Times New Roman"/>
          <w:sz w:val="24"/>
          <w:szCs w:val="24"/>
          <w:lang w:eastAsia="en-US"/>
        </w:rPr>
        <w:t>,</w:t>
      </w:r>
      <w:r>
        <w:rPr>
          <w:rFonts w:ascii="Calibri" w:eastAsia="Calibri" w:hAnsi="Calibri" w:cs="Times New Roman"/>
          <w:sz w:val="24"/>
          <w:szCs w:val="24"/>
          <w:lang w:eastAsia="en-US"/>
        </w:rPr>
        <w:t xml:space="preserve"> </w:t>
      </w:r>
      <w:r w:rsidR="001E5FC8">
        <w:rPr>
          <w:rFonts w:ascii="Calibri" w:eastAsia="Calibri" w:hAnsi="Calibri" w:cs="Times New Roman"/>
          <w:sz w:val="24"/>
          <w:szCs w:val="24"/>
          <w:lang w:eastAsia="en-US"/>
        </w:rPr>
        <w:t xml:space="preserve">προφανώς </w:t>
      </w:r>
      <w:r>
        <w:rPr>
          <w:rFonts w:ascii="Calibri" w:eastAsia="Calibri" w:hAnsi="Calibri" w:cs="Times New Roman"/>
          <w:sz w:val="24"/>
          <w:szCs w:val="24"/>
          <w:lang w:eastAsia="en-US"/>
        </w:rPr>
        <w:t xml:space="preserve">λόγω της τουριστικής περιόδου, </w:t>
      </w:r>
      <w:r w:rsidR="00557831">
        <w:rPr>
          <w:rFonts w:ascii="Calibri" w:eastAsia="Calibri" w:hAnsi="Calibri" w:cs="Times New Roman"/>
          <w:sz w:val="24"/>
          <w:szCs w:val="24"/>
          <w:lang w:eastAsia="en-US"/>
        </w:rPr>
        <w:t xml:space="preserve">με 32,1% των επιχειρήσεων να αναμένουν αύξηση </w:t>
      </w:r>
      <w:r w:rsidR="001E5FC8">
        <w:rPr>
          <w:rFonts w:ascii="Calibri" w:eastAsia="Calibri" w:hAnsi="Calibri" w:cs="Times New Roman"/>
          <w:sz w:val="24"/>
          <w:szCs w:val="24"/>
          <w:lang w:eastAsia="en-US"/>
        </w:rPr>
        <w:t xml:space="preserve">του κύκλου εργασιών </w:t>
      </w:r>
      <w:r w:rsidR="00557831">
        <w:rPr>
          <w:rFonts w:ascii="Calibri" w:eastAsia="Calibri" w:hAnsi="Calibri" w:cs="Times New Roman"/>
          <w:sz w:val="24"/>
          <w:szCs w:val="24"/>
          <w:lang w:eastAsia="en-US"/>
        </w:rPr>
        <w:t xml:space="preserve">έναντι </w:t>
      </w:r>
      <w:r w:rsidR="008E5BE7">
        <w:rPr>
          <w:rFonts w:ascii="Calibri" w:eastAsia="Calibri" w:hAnsi="Calibri" w:cs="Times New Roman"/>
          <w:sz w:val="24"/>
          <w:szCs w:val="24"/>
          <w:lang w:eastAsia="en-US"/>
        </w:rPr>
        <w:t xml:space="preserve">του </w:t>
      </w:r>
      <w:r w:rsidR="00557831">
        <w:rPr>
          <w:rFonts w:ascii="Calibri" w:eastAsia="Calibri" w:hAnsi="Calibri" w:cs="Times New Roman"/>
          <w:sz w:val="24"/>
          <w:szCs w:val="24"/>
          <w:lang w:eastAsia="en-US"/>
        </w:rPr>
        <w:t xml:space="preserve">24,5% που αναμένουν μείωση. </w:t>
      </w:r>
    </w:p>
    <w:p w14:paraId="24AE9BAB" w14:textId="77777777" w:rsidR="00557831" w:rsidRPr="00F67D2C" w:rsidRDefault="00557831" w:rsidP="00F67D2C">
      <w:pPr>
        <w:spacing w:after="160" w:line="360" w:lineRule="auto"/>
        <w:jc w:val="both"/>
        <w:rPr>
          <w:rFonts w:ascii="Calibri" w:eastAsia="Calibri" w:hAnsi="Calibri" w:cs="Times New Roman"/>
          <w:sz w:val="24"/>
          <w:szCs w:val="24"/>
          <w:lang w:eastAsia="en-US"/>
        </w:rPr>
      </w:pPr>
    </w:p>
    <w:p w14:paraId="5B78198F" w14:textId="77777777" w:rsidR="00C70C53" w:rsidRDefault="00C70C53" w:rsidP="00413CE5">
      <w:pPr>
        <w:spacing w:after="0" w:line="360" w:lineRule="auto"/>
        <w:jc w:val="both"/>
      </w:pPr>
    </w:p>
    <w:p w14:paraId="496E7B08" w14:textId="77777777" w:rsidR="0008588D" w:rsidRPr="00A052FF" w:rsidRDefault="0008588D" w:rsidP="00A01605">
      <w:pPr>
        <w:pStyle w:val="a3"/>
        <w:numPr>
          <w:ilvl w:val="0"/>
          <w:numId w:val="17"/>
        </w:numPr>
        <w:spacing w:line="360" w:lineRule="auto"/>
        <w:rPr>
          <w:b/>
          <w:bCs/>
          <w:sz w:val="24"/>
          <w:szCs w:val="24"/>
          <w:u w:val="single"/>
        </w:rPr>
      </w:pPr>
      <w:r w:rsidRPr="00A052FF">
        <w:rPr>
          <w:b/>
          <w:bCs/>
          <w:sz w:val="24"/>
          <w:szCs w:val="24"/>
          <w:u w:val="single"/>
        </w:rPr>
        <w:t>Αποτελέσματα χρήσης</w:t>
      </w:r>
    </w:p>
    <w:p w14:paraId="2E72C663" w14:textId="60F0B179" w:rsidR="0008588D" w:rsidRPr="00A052FF" w:rsidRDefault="004047A2" w:rsidP="00A01605">
      <w:pPr>
        <w:spacing w:line="360" w:lineRule="auto"/>
        <w:jc w:val="both"/>
        <w:rPr>
          <w:sz w:val="24"/>
          <w:szCs w:val="24"/>
        </w:rPr>
      </w:pPr>
      <w:r w:rsidRPr="00A052FF">
        <w:rPr>
          <w:sz w:val="24"/>
          <w:szCs w:val="24"/>
        </w:rPr>
        <w:t>Με βάση τα ευρήματα της έρευν</w:t>
      </w:r>
      <w:r w:rsidR="00A75C73" w:rsidRPr="00A052FF">
        <w:rPr>
          <w:sz w:val="24"/>
          <w:szCs w:val="24"/>
        </w:rPr>
        <w:t>α</w:t>
      </w:r>
      <w:r w:rsidRPr="00A052FF">
        <w:rPr>
          <w:sz w:val="24"/>
          <w:szCs w:val="24"/>
        </w:rPr>
        <w:t>ς για τ</w:t>
      </w:r>
      <w:r w:rsidR="0008588D" w:rsidRPr="00A052FF">
        <w:rPr>
          <w:sz w:val="24"/>
          <w:szCs w:val="24"/>
        </w:rPr>
        <w:t>α αποτελέσματα</w:t>
      </w:r>
      <w:r w:rsidR="0011287B" w:rsidRPr="00A052FF">
        <w:rPr>
          <w:sz w:val="24"/>
          <w:szCs w:val="24"/>
        </w:rPr>
        <w:t xml:space="preserve"> χρήσης των επιχειρήσεων το 2023</w:t>
      </w:r>
      <w:r w:rsidR="0008588D" w:rsidRPr="00A052FF">
        <w:rPr>
          <w:sz w:val="24"/>
          <w:szCs w:val="24"/>
        </w:rPr>
        <w:t xml:space="preserve"> (κέρδη ή </w:t>
      </w:r>
      <w:r w:rsidR="00580676" w:rsidRPr="00A052FF">
        <w:rPr>
          <w:sz w:val="24"/>
          <w:szCs w:val="24"/>
        </w:rPr>
        <w:t>ζημίες</w:t>
      </w:r>
      <w:r w:rsidR="0008588D" w:rsidRPr="00A052FF">
        <w:rPr>
          <w:sz w:val="24"/>
          <w:szCs w:val="24"/>
        </w:rPr>
        <w:t xml:space="preserve">) η κατάσταση </w:t>
      </w:r>
      <w:r w:rsidRPr="00A052FF">
        <w:rPr>
          <w:sz w:val="24"/>
          <w:szCs w:val="24"/>
        </w:rPr>
        <w:t>παρουσιάζεται</w:t>
      </w:r>
      <w:r w:rsidR="0008588D" w:rsidRPr="00A052FF">
        <w:rPr>
          <w:sz w:val="24"/>
          <w:szCs w:val="24"/>
        </w:rPr>
        <w:t xml:space="preserve"> εμφανώς βελτιωμένη σε σχέση με τα προηγούμενα έτη </w:t>
      </w:r>
      <w:r w:rsidR="00EA30F5" w:rsidRPr="00A052FF">
        <w:rPr>
          <w:sz w:val="24"/>
          <w:szCs w:val="24"/>
        </w:rPr>
        <w:t>και ιδιαίτερα εκείνα της υγειονομικής κρίσης</w:t>
      </w:r>
      <w:r w:rsidR="00125948" w:rsidRPr="00A052FF">
        <w:rPr>
          <w:sz w:val="24"/>
          <w:szCs w:val="24"/>
        </w:rPr>
        <w:t>. Όπως φαίνεται στο Γράφημα 5</w:t>
      </w:r>
      <w:r w:rsidR="00580676" w:rsidRPr="00A052FF">
        <w:rPr>
          <w:sz w:val="24"/>
          <w:szCs w:val="24"/>
        </w:rPr>
        <w:t>,</w:t>
      </w:r>
      <w:r w:rsidRPr="00A052FF">
        <w:rPr>
          <w:sz w:val="24"/>
          <w:szCs w:val="24"/>
        </w:rPr>
        <w:t xml:space="preserve"> το</w:t>
      </w:r>
      <w:r w:rsidR="0008588D" w:rsidRPr="00A052FF">
        <w:rPr>
          <w:sz w:val="24"/>
          <w:szCs w:val="24"/>
        </w:rPr>
        <w:t xml:space="preserve"> </w:t>
      </w:r>
      <w:r w:rsidR="00A57DA0" w:rsidRPr="00A052FF">
        <w:rPr>
          <w:sz w:val="24"/>
          <w:szCs w:val="24"/>
        </w:rPr>
        <w:t>56,2</w:t>
      </w:r>
      <w:r w:rsidR="0008588D" w:rsidRPr="00A052FF">
        <w:rPr>
          <w:sz w:val="24"/>
          <w:szCs w:val="24"/>
        </w:rPr>
        <w:t>% των επιχ</w:t>
      </w:r>
      <w:r w:rsidR="00125948" w:rsidRPr="00A052FF">
        <w:rPr>
          <w:sz w:val="24"/>
          <w:szCs w:val="24"/>
        </w:rPr>
        <w:t>ειρήσεων δήλωσε ότι είχε</w:t>
      </w:r>
      <w:r w:rsidR="00EA30F5" w:rsidRPr="00A052FF">
        <w:rPr>
          <w:sz w:val="24"/>
          <w:szCs w:val="24"/>
        </w:rPr>
        <w:t xml:space="preserve"> κέρδη το 2023, έναντι </w:t>
      </w:r>
      <w:r w:rsidR="007011E0">
        <w:rPr>
          <w:sz w:val="24"/>
          <w:szCs w:val="24"/>
        </w:rPr>
        <w:t xml:space="preserve">του </w:t>
      </w:r>
      <w:r w:rsidR="00A57DA0" w:rsidRPr="00A052FF">
        <w:rPr>
          <w:sz w:val="24"/>
          <w:szCs w:val="24"/>
        </w:rPr>
        <w:t>21</w:t>
      </w:r>
      <w:r w:rsidR="00EA30F5" w:rsidRPr="00A052FF">
        <w:rPr>
          <w:sz w:val="24"/>
          <w:szCs w:val="24"/>
        </w:rPr>
        <w:t xml:space="preserve">% που δήλωσε </w:t>
      </w:r>
      <w:r w:rsidR="00580676" w:rsidRPr="00A052FF">
        <w:rPr>
          <w:sz w:val="24"/>
          <w:szCs w:val="24"/>
        </w:rPr>
        <w:t xml:space="preserve">ζημίες </w:t>
      </w:r>
      <w:r w:rsidR="00EA30F5" w:rsidRPr="00A052FF">
        <w:rPr>
          <w:sz w:val="24"/>
          <w:szCs w:val="24"/>
        </w:rPr>
        <w:t xml:space="preserve">και </w:t>
      </w:r>
      <w:r w:rsidR="007011E0">
        <w:rPr>
          <w:sz w:val="24"/>
          <w:szCs w:val="24"/>
        </w:rPr>
        <w:t xml:space="preserve">του </w:t>
      </w:r>
      <w:r w:rsidR="00A57DA0" w:rsidRPr="00A052FF">
        <w:rPr>
          <w:sz w:val="24"/>
          <w:szCs w:val="24"/>
        </w:rPr>
        <w:t>14,8</w:t>
      </w:r>
      <w:r w:rsidR="00EA30F5" w:rsidRPr="00A052FF">
        <w:rPr>
          <w:sz w:val="24"/>
          <w:szCs w:val="24"/>
        </w:rPr>
        <w:t xml:space="preserve">% που δήλωσε πως δεν είχε ούτε </w:t>
      </w:r>
      <w:r w:rsidR="00580676" w:rsidRPr="00A052FF">
        <w:rPr>
          <w:sz w:val="24"/>
          <w:szCs w:val="24"/>
        </w:rPr>
        <w:t>ζημίες</w:t>
      </w:r>
      <w:r w:rsidR="00EA30F5" w:rsidRPr="00A052FF">
        <w:rPr>
          <w:sz w:val="24"/>
          <w:szCs w:val="24"/>
        </w:rPr>
        <w:t>, ούτε κέρδη</w:t>
      </w:r>
      <w:r w:rsidR="00125948" w:rsidRPr="00A052FF">
        <w:rPr>
          <w:sz w:val="24"/>
          <w:szCs w:val="24"/>
        </w:rPr>
        <w:t xml:space="preserve">. </w:t>
      </w:r>
    </w:p>
    <w:p w14:paraId="4622E74C" w14:textId="03CE4ED3" w:rsidR="00ED77A6" w:rsidRPr="00340FCE" w:rsidRDefault="00A57DA0" w:rsidP="0008588D">
      <w:pPr>
        <w:rPr>
          <w:highlight w:val="yellow"/>
        </w:rPr>
      </w:pPr>
      <w:r>
        <w:rPr>
          <w:noProof/>
        </w:rPr>
        <w:lastRenderedPageBreak/>
        <w:drawing>
          <wp:inline distT="0" distB="0" distL="0" distR="0" wp14:anchorId="1CB2AAE8" wp14:editId="48958468">
            <wp:extent cx="6660515" cy="2893695"/>
            <wp:effectExtent l="0" t="0" r="6985" b="1905"/>
            <wp:docPr id="340467564" name="Γράφημα 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15B54F" w14:textId="1F636D2A" w:rsidR="0008588D" w:rsidRPr="00A052FF" w:rsidRDefault="00023FE7" w:rsidP="00A01605">
      <w:pPr>
        <w:spacing w:line="360" w:lineRule="auto"/>
        <w:jc w:val="both"/>
        <w:rPr>
          <w:sz w:val="24"/>
          <w:szCs w:val="24"/>
        </w:rPr>
      </w:pPr>
      <w:r w:rsidRPr="00A052FF">
        <w:rPr>
          <w:sz w:val="24"/>
          <w:szCs w:val="24"/>
        </w:rPr>
        <w:t>Σε τομεακό επίπεδο</w:t>
      </w:r>
      <w:r w:rsidR="00261E45" w:rsidRPr="00A052FF">
        <w:rPr>
          <w:sz w:val="24"/>
          <w:szCs w:val="24"/>
        </w:rPr>
        <w:t>,</w:t>
      </w:r>
      <w:r w:rsidR="00EA30F5" w:rsidRPr="00A052FF">
        <w:rPr>
          <w:sz w:val="24"/>
          <w:szCs w:val="24"/>
        </w:rPr>
        <w:t xml:space="preserve"> το 2023</w:t>
      </w:r>
      <w:r w:rsidR="0008588D" w:rsidRPr="00A052FF">
        <w:rPr>
          <w:sz w:val="24"/>
          <w:szCs w:val="24"/>
        </w:rPr>
        <w:t xml:space="preserve"> </w:t>
      </w:r>
      <w:r w:rsidR="00A75C73" w:rsidRPr="00A052FF">
        <w:rPr>
          <w:sz w:val="24"/>
          <w:szCs w:val="24"/>
        </w:rPr>
        <w:t xml:space="preserve">κέρδη </w:t>
      </w:r>
      <w:r w:rsidRPr="00A052FF">
        <w:rPr>
          <w:sz w:val="24"/>
          <w:szCs w:val="24"/>
        </w:rPr>
        <w:t xml:space="preserve">δήλωσε το </w:t>
      </w:r>
      <w:r w:rsidR="00A57DA0" w:rsidRPr="00A052FF">
        <w:rPr>
          <w:sz w:val="24"/>
          <w:szCs w:val="24"/>
        </w:rPr>
        <w:t>62</w:t>
      </w:r>
      <w:r w:rsidRPr="00A052FF">
        <w:rPr>
          <w:sz w:val="24"/>
          <w:szCs w:val="24"/>
        </w:rPr>
        <w:t xml:space="preserve">% των επιχειρήσεων της μεταποίησης, το </w:t>
      </w:r>
      <w:r w:rsidR="00EA30F5" w:rsidRPr="00A052FF">
        <w:rPr>
          <w:sz w:val="24"/>
          <w:szCs w:val="24"/>
        </w:rPr>
        <w:t>59</w:t>
      </w:r>
      <w:r w:rsidR="00A57DA0" w:rsidRPr="00A052FF">
        <w:rPr>
          <w:sz w:val="24"/>
          <w:szCs w:val="24"/>
        </w:rPr>
        <w:t xml:space="preserve"> </w:t>
      </w:r>
      <w:r w:rsidRPr="00A052FF">
        <w:rPr>
          <w:sz w:val="24"/>
          <w:szCs w:val="24"/>
        </w:rPr>
        <w:t xml:space="preserve">% των επιχειρήσεων στον τομέα των υπηρεσιών και το </w:t>
      </w:r>
      <w:r w:rsidR="00A57DA0" w:rsidRPr="00A052FF">
        <w:rPr>
          <w:sz w:val="24"/>
          <w:szCs w:val="24"/>
        </w:rPr>
        <w:t>49,5</w:t>
      </w:r>
      <w:r w:rsidRPr="00A052FF">
        <w:rPr>
          <w:sz w:val="24"/>
          <w:szCs w:val="24"/>
        </w:rPr>
        <w:t>% των εμπορικών επιχειρήσεων.</w:t>
      </w:r>
      <w:r w:rsidR="00EE3DCA" w:rsidRPr="00A052FF">
        <w:rPr>
          <w:sz w:val="24"/>
          <w:szCs w:val="24"/>
        </w:rPr>
        <w:t xml:space="preserve"> </w:t>
      </w:r>
      <w:r w:rsidR="00A75C73" w:rsidRPr="00A052FF">
        <w:rPr>
          <w:sz w:val="24"/>
          <w:szCs w:val="24"/>
        </w:rPr>
        <w:t xml:space="preserve"> </w:t>
      </w:r>
    </w:p>
    <w:p w14:paraId="051D52D0" w14:textId="370E7745" w:rsidR="00A57DA0" w:rsidRPr="00A052FF" w:rsidRDefault="00A75C73" w:rsidP="00DE77D0">
      <w:pPr>
        <w:spacing w:line="360" w:lineRule="auto"/>
        <w:jc w:val="both"/>
        <w:rPr>
          <w:sz w:val="24"/>
          <w:szCs w:val="24"/>
        </w:rPr>
      </w:pPr>
      <w:r w:rsidRPr="00A052FF">
        <w:rPr>
          <w:sz w:val="24"/>
          <w:szCs w:val="24"/>
        </w:rPr>
        <w:t xml:space="preserve">Θετική </w:t>
      </w:r>
      <w:r w:rsidR="0008588D" w:rsidRPr="00A052FF">
        <w:rPr>
          <w:sz w:val="24"/>
          <w:szCs w:val="24"/>
        </w:rPr>
        <w:t xml:space="preserve">φαίνεται να είναι και η σχέση των αποτελεσμάτων χρήσης με το μέγεθος της επιχείρησης. </w:t>
      </w:r>
      <w:r w:rsidR="00EA30F5" w:rsidRPr="00A052FF">
        <w:rPr>
          <w:sz w:val="24"/>
          <w:szCs w:val="24"/>
        </w:rPr>
        <w:t>Συγκεκριμένα</w:t>
      </w:r>
      <w:r w:rsidR="00261E45" w:rsidRPr="00A052FF">
        <w:rPr>
          <w:sz w:val="24"/>
          <w:szCs w:val="24"/>
        </w:rPr>
        <w:t>,</w:t>
      </w:r>
      <w:r w:rsidR="00EA30F5" w:rsidRPr="00A052FF">
        <w:rPr>
          <w:sz w:val="24"/>
          <w:szCs w:val="24"/>
        </w:rPr>
        <w:t xml:space="preserve"> για το 2023</w:t>
      </w:r>
      <w:r w:rsidR="0008588D" w:rsidRPr="00A052FF">
        <w:rPr>
          <w:sz w:val="24"/>
          <w:szCs w:val="24"/>
        </w:rPr>
        <w:t xml:space="preserve"> οι μεγαλύτερες επιχειρήσεις με</w:t>
      </w:r>
      <w:r w:rsidR="00EA30F5" w:rsidRPr="00A052FF">
        <w:rPr>
          <w:sz w:val="24"/>
          <w:szCs w:val="24"/>
        </w:rPr>
        <w:t xml:space="preserve"> βάση τον</w:t>
      </w:r>
      <w:r w:rsidR="0008588D" w:rsidRPr="00A052FF">
        <w:rPr>
          <w:sz w:val="24"/>
          <w:szCs w:val="24"/>
        </w:rPr>
        <w:t xml:space="preserve"> </w:t>
      </w:r>
      <w:r w:rsidR="004047A2" w:rsidRPr="00A052FF">
        <w:rPr>
          <w:sz w:val="24"/>
          <w:szCs w:val="24"/>
        </w:rPr>
        <w:t>κύκλο εργασιών</w:t>
      </w:r>
      <w:r w:rsidR="0008588D" w:rsidRPr="00A052FF">
        <w:rPr>
          <w:sz w:val="24"/>
          <w:szCs w:val="24"/>
        </w:rPr>
        <w:t xml:space="preserve"> </w:t>
      </w:r>
      <w:r w:rsidR="00EA30F5" w:rsidRPr="00A052FF">
        <w:rPr>
          <w:sz w:val="24"/>
          <w:szCs w:val="24"/>
        </w:rPr>
        <w:t>(</w:t>
      </w:r>
      <w:r w:rsidR="0008588D" w:rsidRPr="00A052FF">
        <w:rPr>
          <w:sz w:val="24"/>
          <w:szCs w:val="24"/>
        </w:rPr>
        <w:t>πάνω από 30</w:t>
      </w:r>
      <w:r w:rsidR="00ED77A6" w:rsidRPr="00A052FF">
        <w:rPr>
          <w:sz w:val="24"/>
          <w:szCs w:val="24"/>
        </w:rPr>
        <w:t>0</w:t>
      </w:r>
      <w:r w:rsidR="0008588D" w:rsidRPr="00A052FF">
        <w:rPr>
          <w:sz w:val="24"/>
          <w:szCs w:val="24"/>
        </w:rPr>
        <w:t>.000 €</w:t>
      </w:r>
      <w:r w:rsidR="00EA30F5" w:rsidRPr="00A052FF">
        <w:rPr>
          <w:sz w:val="24"/>
          <w:szCs w:val="24"/>
        </w:rPr>
        <w:t>)</w:t>
      </w:r>
      <w:r w:rsidR="0008588D" w:rsidRPr="00A052FF">
        <w:rPr>
          <w:sz w:val="24"/>
          <w:szCs w:val="24"/>
        </w:rPr>
        <w:t xml:space="preserve"> δήλωσαν σε ποσοστό </w:t>
      </w:r>
      <w:r w:rsidR="00A57DA0" w:rsidRPr="00A052FF">
        <w:rPr>
          <w:sz w:val="24"/>
          <w:szCs w:val="24"/>
        </w:rPr>
        <w:t>78</w:t>
      </w:r>
      <w:r w:rsidR="0008588D" w:rsidRPr="00A052FF">
        <w:rPr>
          <w:sz w:val="24"/>
          <w:szCs w:val="24"/>
        </w:rPr>
        <w:t xml:space="preserve">% ότι είχαν κέρδη, ενώ όσο κατεβαίνουμε </w:t>
      </w:r>
      <w:r w:rsidR="00261E45" w:rsidRPr="00A052FF">
        <w:rPr>
          <w:sz w:val="24"/>
          <w:szCs w:val="24"/>
        </w:rPr>
        <w:t xml:space="preserve">την </w:t>
      </w:r>
      <w:r w:rsidR="0008588D" w:rsidRPr="00A052FF">
        <w:rPr>
          <w:sz w:val="24"/>
          <w:szCs w:val="24"/>
        </w:rPr>
        <w:t>κλίμακα μεγέθους το ποσοστό αυτό μειώνεται</w:t>
      </w:r>
      <w:r w:rsidR="00B452CB">
        <w:rPr>
          <w:sz w:val="24"/>
          <w:szCs w:val="24"/>
        </w:rPr>
        <w:t>,</w:t>
      </w:r>
      <w:r w:rsidR="0008588D" w:rsidRPr="00A052FF">
        <w:rPr>
          <w:sz w:val="24"/>
          <w:szCs w:val="24"/>
        </w:rPr>
        <w:t xml:space="preserve"> φτάνοντας το </w:t>
      </w:r>
      <w:r w:rsidR="00A57DA0" w:rsidRPr="00A052FF">
        <w:rPr>
          <w:sz w:val="24"/>
          <w:szCs w:val="24"/>
        </w:rPr>
        <w:t>39,3</w:t>
      </w:r>
      <w:r w:rsidR="0008588D" w:rsidRPr="00A052FF">
        <w:rPr>
          <w:sz w:val="24"/>
          <w:szCs w:val="24"/>
        </w:rPr>
        <w:t xml:space="preserve">% στην κατηγορία επιχειρήσεων </w:t>
      </w:r>
      <w:r w:rsidR="00ED77A6" w:rsidRPr="00A052FF">
        <w:rPr>
          <w:sz w:val="24"/>
          <w:szCs w:val="24"/>
        </w:rPr>
        <w:t xml:space="preserve">με κύκλο εργασιών </w:t>
      </w:r>
      <w:r w:rsidR="0008588D" w:rsidRPr="00A052FF">
        <w:rPr>
          <w:sz w:val="24"/>
          <w:szCs w:val="24"/>
        </w:rPr>
        <w:t>έως 50.000</w:t>
      </w:r>
      <w:r w:rsidR="00261E45" w:rsidRPr="00A052FF">
        <w:rPr>
          <w:sz w:val="24"/>
          <w:szCs w:val="24"/>
        </w:rPr>
        <w:t xml:space="preserve"> </w:t>
      </w:r>
      <w:r w:rsidR="0008588D" w:rsidRPr="00A052FF">
        <w:rPr>
          <w:sz w:val="24"/>
          <w:szCs w:val="24"/>
        </w:rPr>
        <w:t xml:space="preserve">€. Ανάλογη είναι η εικόνα </w:t>
      </w:r>
      <w:r w:rsidR="00A57DA0" w:rsidRPr="00A052FF">
        <w:rPr>
          <w:sz w:val="24"/>
          <w:szCs w:val="24"/>
        </w:rPr>
        <w:t>που αποτυπώνεται</w:t>
      </w:r>
      <w:r w:rsidR="00B452CB">
        <w:rPr>
          <w:sz w:val="24"/>
          <w:szCs w:val="24"/>
        </w:rPr>
        <w:t>,</w:t>
      </w:r>
      <w:r w:rsidR="00A57DA0" w:rsidRPr="00A052FF">
        <w:rPr>
          <w:sz w:val="24"/>
          <w:szCs w:val="24"/>
        </w:rPr>
        <w:t xml:space="preserve"> εάν εξετάσουμε τις επιχειρήσεις και με βάση τον αριθμ</w:t>
      </w:r>
      <w:r w:rsidR="00B452CB">
        <w:rPr>
          <w:sz w:val="24"/>
          <w:szCs w:val="24"/>
        </w:rPr>
        <w:t>ό</w:t>
      </w:r>
      <w:r w:rsidR="00A57DA0" w:rsidRPr="00A052FF">
        <w:rPr>
          <w:sz w:val="24"/>
          <w:szCs w:val="24"/>
        </w:rPr>
        <w:t xml:space="preserve"> των απασχολούμενων</w:t>
      </w:r>
      <w:r w:rsidR="00B452CB">
        <w:rPr>
          <w:sz w:val="24"/>
          <w:szCs w:val="24"/>
        </w:rPr>
        <w:t>.</w:t>
      </w:r>
    </w:p>
    <w:p w14:paraId="2C09482A" w14:textId="41027532" w:rsidR="00ED77A6" w:rsidRPr="00DE77D0" w:rsidRDefault="00A57DA0" w:rsidP="00DE77D0">
      <w:pPr>
        <w:spacing w:line="360" w:lineRule="auto"/>
        <w:jc w:val="both"/>
        <w:rPr>
          <w:sz w:val="24"/>
          <w:szCs w:val="24"/>
        </w:rPr>
      </w:pPr>
      <w:r w:rsidRPr="00A052FF">
        <w:rPr>
          <w:sz w:val="24"/>
          <w:szCs w:val="24"/>
        </w:rPr>
        <w:t>Σε σχέση με τη νομική μορφή</w:t>
      </w:r>
      <w:r w:rsidR="00B452CB">
        <w:rPr>
          <w:sz w:val="24"/>
          <w:szCs w:val="24"/>
        </w:rPr>
        <w:t>,</w:t>
      </w:r>
      <w:r w:rsidRPr="00A052FF">
        <w:rPr>
          <w:sz w:val="24"/>
          <w:szCs w:val="24"/>
        </w:rPr>
        <w:t xml:space="preserve"> οι εταιρίες παρουσιάζουν σαφώς καλύτερα αποτελέσματα σε σχέση με τις ατομικές επιχειρήσεις. Ειδικότερα, το 81,8%, το 64,6% των ΟΕ-ΕΕ-ΕΠΕ και το 63,4% των ΙΚΕ έκλεισαν το 2023 με κέρδη. Σημαντικά χαμηλότερο είναι το </w:t>
      </w:r>
      <w:r w:rsidR="00A052FF" w:rsidRPr="00A052FF">
        <w:rPr>
          <w:sz w:val="24"/>
          <w:szCs w:val="24"/>
        </w:rPr>
        <w:t>ποσοστό</w:t>
      </w:r>
      <w:r w:rsidRPr="00A052FF">
        <w:rPr>
          <w:sz w:val="24"/>
          <w:szCs w:val="24"/>
        </w:rPr>
        <w:t xml:space="preserve"> των </w:t>
      </w:r>
      <w:r w:rsidR="00A052FF" w:rsidRPr="00A052FF">
        <w:rPr>
          <w:sz w:val="24"/>
          <w:szCs w:val="24"/>
        </w:rPr>
        <w:t>ατομικών</w:t>
      </w:r>
      <w:r w:rsidRPr="00A052FF">
        <w:rPr>
          <w:sz w:val="24"/>
          <w:szCs w:val="24"/>
        </w:rPr>
        <w:t xml:space="preserve"> επιχειρήσεων που </w:t>
      </w:r>
      <w:r w:rsidR="00A052FF" w:rsidRPr="00A052FF">
        <w:rPr>
          <w:sz w:val="24"/>
          <w:szCs w:val="24"/>
        </w:rPr>
        <w:t>έκλεισαν</w:t>
      </w:r>
      <w:r w:rsidRPr="00A052FF">
        <w:rPr>
          <w:sz w:val="24"/>
          <w:szCs w:val="24"/>
        </w:rPr>
        <w:t xml:space="preserve"> </w:t>
      </w:r>
      <w:r w:rsidR="00A052FF" w:rsidRPr="00A052FF">
        <w:rPr>
          <w:sz w:val="24"/>
          <w:szCs w:val="24"/>
        </w:rPr>
        <w:t>το 2023 με κέρδη (50,7%). Αυτό σημαίνει ότι τουλάχιστον οι μισές ατομικές επιχειρήσεις κλήθηκαν να πληρώσουν αυξημένο φόρο για το 2023</w:t>
      </w:r>
      <w:r w:rsidR="00B452CB">
        <w:rPr>
          <w:sz w:val="24"/>
          <w:szCs w:val="24"/>
        </w:rPr>
        <w:t>,</w:t>
      </w:r>
      <w:r w:rsidR="00A052FF" w:rsidRPr="00A052FF">
        <w:rPr>
          <w:sz w:val="24"/>
          <w:szCs w:val="24"/>
        </w:rPr>
        <w:t xml:space="preserve"> αφού πλέον η φορολογία τους υπολογίζεται με βάση τον νέο τεκμαρτό τρόπο. </w:t>
      </w:r>
    </w:p>
    <w:p w14:paraId="7E5B71D4" w14:textId="3E9A84C4" w:rsidR="00EA30F5" w:rsidRPr="00033B51" w:rsidRDefault="00B03942" w:rsidP="00A01605">
      <w:pPr>
        <w:pStyle w:val="a3"/>
        <w:numPr>
          <w:ilvl w:val="0"/>
          <w:numId w:val="4"/>
        </w:numPr>
        <w:spacing w:after="0" w:line="360" w:lineRule="auto"/>
        <w:ind w:left="357"/>
        <w:jc w:val="both"/>
        <w:rPr>
          <w:rFonts w:ascii="Calibri" w:eastAsia="Calibri" w:hAnsi="Calibri" w:cs="Times New Roman"/>
          <w:b/>
          <w:sz w:val="24"/>
          <w:szCs w:val="24"/>
          <w:u w:val="single"/>
        </w:rPr>
      </w:pPr>
      <w:r w:rsidRPr="00033B51">
        <w:rPr>
          <w:rFonts w:ascii="Calibri" w:eastAsia="Calibri" w:hAnsi="Calibri" w:cs="Times New Roman"/>
          <w:b/>
          <w:sz w:val="24"/>
          <w:szCs w:val="24"/>
          <w:u w:val="single"/>
        </w:rPr>
        <w:t xml:space="preserve">Ζήτηση </w:t>
      </w:r>
      <w:r w:rsidR="001468D1" w:rsidRPr="00033B51">
        <w:rPr>
          <w:rFonts w:ascii="Calibri" w:eastAsia="Calibri" w:hAnsi="Calibri" w:cs="Times New Roman"/>
          <w:b/>
          <w:sz w:val="24"/>
          <w:szCs w:val="24"/>
          <w:u w:val="single"/>
        </w:rPr>
        <w:t>–</w:t>
      </w:r>
      <w:r w:rsidRPr="00033B51">
        <w:rPr>
          <w:rFonts w:ascii="Calibri" w:eastAsia="Calibri" w:hAnsi="Calibri" w:cs="Times New Roman"/>
          <w:b/>
          <w:sz w:val="24"/>
          <w:szCs w:val="24"/>
          <w:u w:val="single"/>
        </w:rPr>
        <w:t xml:space="preserve"> Παραγγελίες</w:t>
      </w:r>
      <w:r w:rsidR="001468D1" w:rsidRPr="00033B51">
        <w:rPr>
          <w:rFonts w:ascii="Calibri" w:eastAsia="Calibri" w:hAnsi="Calibri" w:cs="Times New Roman"/>
          <w:b/>
          <w:sz w:val="24"/>
          <w:szCs w:val="24"/>
          <w:u w:val="single"/>
        </w:rPr>
        <w:t xml:space="preserve"> </w:t>
      </w:r>
    </w:p>
    <w:p w14:paraId="38F1A433" w14:textId="45B89871" w:rsidR="00EA30F5" w:rsidRPr="00EA30F5" w:rsidRDefault="00EA30F5" w:rsidP="00EA30F5">
      <w:pPr>
        <w:spacing w:after="0" w:line="360" w:lineRule="auto"/>
        <w:jc w:val="both"/>
        <w:rPr>
          <w:rFonts w:ascii="Calibri" w:eastAsia="Calibri" w:hAnsi="Calibri" w:cs="Times New Roman"/>
          <w:sz w:val="24"/>
          <w:szCs w:val="24"/>
        </w:rPr>
      </w:pPr>
      <w:r w:rsidRPr="00EA30F5">
        <w:rPr>
          <w:rFonts w:ascii="Calibri" w:eastAsia="Calibri" w:hAnsi="Calibri" w:cs="Times New Roman"/>
          <w:sz w:val="24"/>
          <w:szCs w:val="24"/>
        </w:rPr>
        <w:t xml:space="preserve">Η ζήτηση </w:t>
      </w:r>
      <w:r w:rsidR="004A134B">
        <w:rPr>
          <w:rFonts w:ascii="Calibri" w:eastAsia="Calibri" w:hAnsi="Calibri" w:cs="Times New Roman"/>
          <w:sz w:val="24"/>
          <w:szCs w:val="24"/>
        </w:rPr>
        <w:t xml:space="preserve">το πρώτο </w:t>
      </w:r>
      <w:r w:rsidRPr="00EA30F5">
        <w:rPr>
          <w:rFonts w:ascii="Calibri" w:eastAsia="Calibri" w:hAnsi="Calibri" w:cs="Times New Roman"/>
          <w:sz w:val="24"/>
          <w:szCs w:val="24"/>
        </w:rPr>
        <w:t>εξάμηνο του 202</w:t>
      </w:r>
      <w:r w:rsidR="004A134B">
        <w:rPr>
          <w:rFonts w:ascii="Calibri" w:eastAsia="Calibri" w:hAnsi="Calibri" w:cs="Times New Roman"/>
          <w:sz w:val="24"/>
          <w:szCs w:val="24"/>
        </w:rPr>
        <w:t xml:space="preserve">4 υπολείπεται σημαντικά ολόκληρου του 2023, καθώς μόλις </w:t>
      </w:r>
      <w:r w:rsidR="00A052FF">
        <w:rPr>
          <w:rFonts w:ascii="Calibri" w:eastAsia="Calibri" w:hAnsi="Calibri" w:cs="Times New Roman"/>
          <w:sz w:val="24"/>
          <w:szCs w:val="24"/>
        </w:rPr>
        <w:t>1</w:t>
      </w:r>
      <w:r w:rsidR="004A134B">
        <w:rPr>
          <w:rFonts w:ascii="Calibri" w:eastAsia="Calibri" w:hAnsi="Calibri" w:cs="Times New Roman"/>
          <w:sz w:val="24"/>
          <w:szCs w:val="24"/>
        </w:rPr>
        <w:t xml:space="preserve"> στις </w:t>
      </w:r>
      <w:r w:rsidR="00A052FF">
        <w:rPr>
          <w:rFonts w:ascii="Calibri" w:eastAsia="Calibri" w:hAnsi="Calibri" w:cs="Times New Roman"/>
          <w:sz w:val="24"/>
          <w:szCs w:val="24"/>
        </w:rPr>
        <w:t>5</w:t>
      </w:r>
      <w:r w:rsidR="004A134B">
        <w:rPr>
          <w:rFonts w:ascii="Calibri" w:eastAsia="Calibri" w:hAnsi="Calibri" w:cs="Times New Roman"/>
          <w:sz w:val="24"/>
          <w:szCs w:val="24"/>
        </w:rPr>
        <w:t xml:space="preserve"> επιχειρήσεις (20,4%) δηλώνει αύξηση της ζήτησης</w:t>
      </w:r>
      <w:r w:rsidR="00B452CB">
        <w:rPr>
          <w:rFonts w:ascii="Calibri" w:eastAsia="Calibri" w:hAnsi="Calibri" w:cs="Times New Roman"/>
          <w:sz w:val="24"/>
          <w:szCs w:val="24"/>
        </w:rPr>
        <w:t>,</w:t>
      </w:r>
      <w:r w:rsidR="004A134B">
        <w:rPr>
          <w:rFonts w:ascii="Calibri" w:eastAsia="Calibri" w:hAnsi="Calibri" w:cs="Times New Roman"/>
          <w:sz w:val="24"/>
          <w:szCs w:val="24"/>
        </w:rPr>
        <w:t xml:space="preserve"> έναντι περίπου των μισών επιχειρήσεων (45,7%) που δηλώ</w:t>
      </w:r>
      <w:r w:rsidR="00A052FF">
        <w:rPr>
          <w:rFonts w:ascii="Calibri" w:eastAsia="Calibri" w:hAnsi="Calibri" w:cs="Times New Roman"/>
          <w:sz w:val="24"/>
          <w:szCs w:val="24"/>
        </w:rPr>
        <w:t>σαν</w:t>
      </w:r>
      <w:r w:rsidR="004A134B">
        <w:rPr>
          <w:rFonts w:ascii="Calibri" w:eastAsia="Calibri" w:hAnsi="Calibri" w:cs="Times New Roman"/>
          <w:sz w:val="24"/>
          <w:szCs w:val="24"/>
        </w:rPr>
        <w:t xml:space="preserve"> μείωση της ζήτησης.</w:t>
      </w:r>
    </w:p>
    <w:p w14:paraId="2934FEF6" w14:textId="0CFC4A3C" w:rsidR="00EA30F5" w:rsidRDefault="004A134B" w:rsidP="00EA30F5">
      <w:pPr>
        <w:spacing w:line="360" w:lineRule="auto"/>
        <w:jc w:val="both"/>
        <w:rPr>
          <w:rFonts w:ascii="Calibri" w:eastAsia="Times New Roman" w:hAnsi="Calibri" w:cs="Times New Roman"/>
          <w:sz w:val="24"/>
          <w:szCs w:val="24"/>
        </w:rPr>
      </w:pPr>
      <w:r>
        <w:rPr>
          <w:rFonts w:ascii="Calibri" w:eastAsia="Times New Roman" w:hAnsi="Calibri" w:cs="Times New Roman"/>
          <w:sz w:val="24"/>
          <w:szCs w:val="24"/>
        </w:rPr>
        <w:lastRenderedPageBreak/>
        <w:t>Η μείωση</w:t>
      </w:r>
      <w:r w:rsidR="00EA30F5" w:rsidRPr="00EA30F5">
        <w:rPr>
          <w:rFonts w:ascii="Calibri" w:eastAsia="Times New Roman" w:hAnsi="Calibri" w:cs="Times New Roman"/>
          <w:sz w:val="24"/>
          <w:szCs w:val="24"/>
        </w:rPr>
        <w:t xml:space="preserve"> της ζήτησης</w:t>
      </w:r>
      <w:r>
        <w:rPr>
          <w:rFonts w:ascii="Calibri" w:eastAsia="Times New Roman" w:hAnsi="Calibri" w:cs="Times New Roman"/>
          <w:sz w:val="24"/>
          <w:szCs w:val="24"/>
        </w:rPr>
        <w:t xml:space="preserve"> εντοπίζεται </w:t>
      </w:r>
      <w:r w:rsidR="00A052FF">
        <w:rPr>
          <w:rFonts w:ascii="Calibri" w:eastAsia="Times New Roman" w:hAnsi="Calibri" w:cs="Times New Roman"/>
          <w:sz w:val="24"/>
          <w:szCs w:val="24"/>
        </w:rPr>
        <w:t>σ</w:t>
      </w:r>
      <w:r>
        <w:rPr>
          <w:rFonts w:ascii="Calibri" w:eastAsia="Times New Roman" w:hAnsi="Calibri" w:cs="Times New Roman"/>
          <w:sz w:val="24"/>
          <w:szCs w:val="24"/>
        </w:rPr>
        <w:t>το 58,9% των επιχειρήσεων του εμπορίου</w:t>
      </w:r>
      <w:r w:rsidR="00B452CB">
        <w:rPr>
          <w:rFonts w:ascii="Calibri" w:eastAsia="Times New Roman" w:hAnsi="Calibri" w:cs="Times New Roman"/>
          <w:sz w:val="24"/>
          <w:szCs w:val="24"/>
        </w:rPr>
        <w:t>,</w:t>
      </w:r>
      <w:r>
        <w:rPr>
          <w:rFonts w:ascii="Calibri" w:eastAsia="Times New Roman" w:hAnsi="Calibri" w:cs="Times New Roman"/>
          <w:sz w:val="24"/>
          <w:szCs w:val="24"/>
        </w:rPr>
        <w:t xml:space="preserve"> έναντι μόλις 12,4% που </w:t>
      </w:r>
      <w:r w:rsidR="00A052FF">
        <w:rPr>
          <w:rFonts w:ascii="Calibri" w:eastAsia="Times New Roman" w:hAnsi="Calibri" w:cs="Times New Roman"/>
          <w:sz w:val="24"/>
          <w:szCs w:val="24"/>
        </w:rPr>
        <w:t>δήλωσε</w:t>
      </w:r>
      <w:r>
        <w:rPr>
          <w:rFonts w:ascii="Calibri" w:eastAsia="Times New Roman" w:hAnsi="Calibri" w:cs="Times New Roman"/>
          <w:sz w:val="24"/>
          <w:szCs w:val="24"/>
        </w:rPr>
        <w:t xml:space="preserve"> αύξηση.</w:t>
      </w:r>
      <w:r w:rsidR="00EA30F5" w:rsidRPr="00EA30F5">
        <w:rPr>
          <w:rFonts w:ascii="Calibri" w:eastAsia="Times New Roman" w:hAnsi="Calibri" w:cs="Times New Roman"/>
          <w:sz w:val="24"/>
          <w:szCs w:val="24"/>
        </w:rPr>
        <w:t xml:space="preserve"> </w:t>
      </w:r>
      <w:r w:rsidR="00A052FF">
        <w:rPr>
          <w:rFonts w:ascii="Calibri" w:eastAsia="Times New Roman" w:hAnsi="Calibri" w:cs="Times New Roman"/>
          <w:sz w:val="24"/>
          <w:szCs w:val="24"/>
        </w:rPr>
        <w:t>Στον τομέα</w:t>
      </w:r>
      <w:r w:rsidR="00EA30F5" w:rsidRPr="00EA30F5">
        <w:rPr>
          <w:rFonts w:ascii="Calibri" w:eastAsia="Times New Roman" w:hAnsi="Calibri" w:cs="Times New Roman"/>
          <w:sz w:val="24"/>
          <w:szCs w:val="24"/>
        </w:rPr>
        <w:t xml:space="preserve"> της μεταποίησης</w:t>
      </w:r>
      <w:r w:rsidR="00116DFD">
        <w:rPr>
          <w:rFonts w:ascii="Calibri" w:eastAsia="Times New Roman" w:hAnsi="Calibri" w:cs="Times New Roman"/>
          <w:sz w:val="24"/>
          <w:szCs w:val="24"/>
        </w:rPr>
        <w:t xml:space="preserve"> – βιοτεχνίας</w:t>
      </w:r>
      <w:r w:rsidR="00B452CB">
        <w:rPr>
          <w:rFonts w:ascii="Calibri" w:eastAsia="Times New Roman" w:hAnsi="Calibri" w:cs="Times New Roman"/>
          <w:sz w:val="24"/>
          <w:szCs w:val="24"/>
        </w:rPr>
        <w:t>,</w:t>
      </w:r>
      <w:r w:rsidR="00116DFD">
        <w:rPr>
          <w:rFonts w:ascii="Calibri" w:eastAsia="Times New Roman" w:hAnsi="Calibri" w:cs="Times New Roman"/>
          <w:sz w:val="24"/>
          <w:szCs w:val="24"/>
        </w:rPr>
        <w:t xml:space="preserve"> το 41,1% των επιχειρήσεων </w:t>
      </w:r>
      <w:r w:rsidR="00A052FF">
        <w:rPr>
          <w:rFonts w:ascii="Calibri" w:eastAsia="Times New Roman" w:hAnsi="Calibri" w:cs="Times New Roman"/>
          <w:sz w:val="24"/>
          <w:szCs w:val="24"/>
        </w:rPr>
        <w:t>δήλωσε</w:t>
      </w:r>
      <w:r w:rsidR="00116DFD">
        <w:rPr>
          <w:rFonts w:ascii="Calibri" w:eastAsia="Times New Roman" w:hAnsi="Calibri" w:cs="Times New Roman"/>
          <w:sz w:val="24"/>
          <w:szCs w:val="24"/>
        </w:rPr>
        <w:t xml:space="preserve"> μείωση της ζήτησης έναντι 28,6% που </w:t>
      </w:r>
      <w:r w:rsidR="00A052FF">
        <w:rPr>
          <w:rFonts w:ascii="Calibri" w:eastAsia="Times New Roman" w:hAnsi="Calibri" w:cs="Times New Roman"/>
          <w:sz w:val="24"/>
          <w:szCs w:val="24"/>
        </w:rPr>
        <w:t>δήλωσε</w:t>
      </w:r>
      <w:r w:rsidR="00116DFD">
        <w:rPr>
          <w:rFonts w:ascii="Calibri" w:eastAsia="Times New Roman" w:hAnsi="Calibri" w:cs="Times New Roman"/>
          <w:sz w:val="24"/>
          <w:szCs w:val="24"/>
        </w:rPr>
        <w:t xml:space="preserve"> αύξηση. </w:t>
      </w:r>
      <w:r w:rsidR="00C23B81">
        <w:rPr>
          <w:rFonts w:ascii="Calibri" w:eastAsia="Times New Roman" w:hAnsi="Calibri" w:cs="Times New Roman"/>
          <w:sz w:val="24"/>
          <w:szCs w:val="24"/>
        </w:rPr>
        <w:t>Τέλος, σ</w:t>
      </w:r>
      <w:r w:rsidR="00116DFD">
        <w:rPr>
          <w:rFonts w:ascii="Calibri" w:eastAsia="Times New Roman" w:hAnsi="Calibri" w:cs="Times New Roman"/>
          <w:sz w:val="24"/>
          <w:szCs w:val="24"/>
        </w:rPr>
        <w:t xml:space="preserve">τον </w:t>
      </w:r>
      <w:r w:rsidR="00A052FF">
        <w:rPr>
          <w:rFonts w:ascii="Calibri" w:eastAsia="Times New Roman" w:hAnsi="Calibri" w:cs="Times New Roman"/>
          <w:sz w:val="24"/>
          <w:szCs w:val="24"/>
        </w:rPr>
        <w:t>τομέα</w:t>
      </w:r>
      <w:r w:rsidR="00116DFD">
        <w:rPr>
          <w:rFonts w:ascii="Calibri" w:eastAsia="Times New Roman" w:hAnsi="Calibri" w:cs="Times New Roman"/>
          <w:sz w:val="24"/>
          <w:szCs w:val="24"/>
        </w:rPr>
        <w:t xml:space="preserve"> των υπηρεσιών</w:t>
      </w:r>
      <w:r w:rsidR="00C23B81">
        <w:rPr>
          <w:rFonts w:ascii="Calibri" w:eastAsia="Times New Roman" w:hAnsi="Calibri" w:cs="Times New Roman"/>
          <w:sz w:val="24"/>
          <w:szCs w:val="24"/>
        </w:rPr>
        <w:t xml:space="preserve">, </w:t>
      </w:r>
      <w:r w:rsidR="00116DFD">
        <w:rPr>
          <w:rFonts w:ascii="Calibri" w:eastAsia="Times New Roman" w:hAnsi="Calibri" w:cs="Times New Roman"/>
          <w:sz w:val="24"/>
          <w:szCs w:val="24"/>
        </w:rPr>
        <w:t xml:space="preserve">το 35,9% των επιχειρήσεων </w:t>
      </w:r>
      <w:r w:rsidR="00A052FF">
        <w:rPr>
          <w:rFonts w:ascii="Calibri" w:eastAsia="Times New Roman" w:hAnsi="Calibri" w:cs="Times New Roman"/>
          <w:sz w:val="24"/>
          <w:szCs w:val="24"/>
        </w:rPr>
        <w:t>δήλωσε</w:t>
      </w:r>
      <w:r w:rsidR="00116DFD">
        <w:rPr>
          <w:rFonts w:ascii="Calibri" w:eastAsia="Times New Roman" w:hAnsi="Calibri" w:cs="Times New Roman"/>
          <w:sz w:val="24"/>
          <w:szCs w:val="24"/>
        </w:rPr>
        <w:t xml:space="preserve"> ότι η ζήτηση μειώθηκε</w:t>
      </w:r>
      <w:r w:rsidR="00A052FF">
        <w:rPr>
          <w:rFonts w:ascii="Calibri" w:eastAsia="Times New Roman" w:hAnsi="Calibri" w:cs="Times New Roman"/>
          <w:sz w:val="24"/>
          <w:szCs w:val="24"/>
        </w:rPr>
        <w:t xml:space="preserve">, έναντι </w:t>
      </w:r>
      <w:r w:rsidR="00116DFD">
        <w:rPr>
          <w:rFonts w:ascii="Calibri" w:eastAsia="Times New Roman" w:hAnsi="Calibri" w:cs="Times New Roman"/>
          <w:sz w:val="24"/>
          <w:szCs w:val="24"/>
        </w:rPr>
        <w:t xml:space="preserve">23,1% </w:t>
      </w:r>
      <w:r w:rsidR="00A052FF">
        <w:rPr>
          <w:rFonts w:ascii="Calibri" w:eastAsia="Times New Roman" w:hAnsi="Calibri" w:cs="Times New Roman"/>
          <w:sz w:val="24"/>
          <w:szCs w:val="24"/>
        </w:rPr>
        <w:t xml:space="preserve">που δήλωσε </w:t>
      </w:r>
      <w:r w:rsidR="00116DFD">
        <w:rPr>
          <w:rFonts w:ascii="Calibri" w:eastAsia="Times New Roman" w:hAnsi="Calibri" w:cs="Times New Roman"/>
          <w:sz w:val="24"/>
          <w:szCs w:val="24"/>
        </w:rPr>
        <w:t xml:space="preserve">ότι αυξήθηκε. </w:t>
      </w:r>
      <w:r w:rsidR="00EA30F5" w:rsidRPr="00EA30F5">
        <w:rPr>
          <w:rFonts w:ascii="Calibri" w:eastAsia="Times New Roman" w:hAnsi="Calibri" w:cs="Times New Roman"/>
          <w:sz w:val="24"/>
          <w:szCs w:val="24"/>
        </w:rPr>
        <w:t xml:space="preserve"> </w:t>
      </w:r>
    </w:p>
    <w:p w14:paraId="6D5DBEF7" w14:textId="39542591" w:rsidR="00790731" w:rsidRDefault="00790731" w:rsidP="00A9409B">
      <w:pPr>
        <w:spacing w:before="120" w:after="120" w:line="360" w:lineRule="auto"/>
        <w:jc w:val="both"/>
        <w:rPr>
          <w:rFonts w:ascii="Calibri" w:eastAsia="Times New Roman" w:hAnsi="Calibri" w:cs="Times New Roman"/>
          <w:sz w:val="24"/>
          <w:szCs w:val="24"/>
        </w:rPr>
      </w:pPr>
      <w:r>
        <w:rPr>
          <w:noProof/>
        </w:rPr>
        <w:drawing>
          <wp:inline distT="0" distB="0" distL="0" distR="0" wp14:anchorId="6C31F720" wp14:editId="61CE26B2">
            <wp:extent cx="6660515" cy="4568190"/>
            <wp:effectExtent l="0" t="0" r="6985" b="3810"/>
            <wp:docPr id="703036607" name="Γράφημα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720CD1" w14:textId="77777777" w:rsidR="00790731" w:rsidRDefault="00790731" w:rsidP="00A9409B">
      <w:pPr>
        <w:spacing w:before="120" w:after="120" w:line="360" w:lineRule="auto"/>
        <w:jc w:val="both"/>
        <w:rPr>
          <w:rFonts w:ascii="Calibri" w:eastAsia="Times New Roman" w:hAnsi="Calibri" w:cs="Times New Roman"/>
          <w:sz w:val="24"/>
          <w:szCs w:val="24"/>
        </w:rPr>
      </w:pPr>
    </w:p>
    <w:p w14:paraId="537C31BE" w14:textId="4073F45B" w:rsidR="00A9409B" w:rsidRPr="00A9409B" w:rsidRDefault="00A052FF" w:rsidP="00A9409B">
      <w:pPr>
        <w:spacing w:before="120" w:after="120" w:line="360" w:lineRule="auto"/>
        <w:jc w:val="both"/>
        <w:rPr>
          <w:rFonts w:ascii="Calibri" w:eastAsia="Times New Roman" w:hAnsi="Calibri" w:cs="Times New Roman"/>
          <w:sz w:val="24"/>
          <w:szCs w:val="24"/>
        </w:rPr>
      </w:pPr>
      <w:r>
        <w:rPr>
          <w:rFonts w:ascii="Calibri" w:eastAsia="Times New Roman" w:hAnsi="Calibri" w:cs="Times New Roman"/>
          <w:sz w:val="24"/>
          <w:szCs w:val="24"/>
        </w:rPr>
        <w:t>Περαιτέρω</w:t>
      </w:r>
      <w:r w:rsidR="00A9409B" w:rsidRPr="00A9409B">
        <w:rPr>
          <w:rFonts w:ascii="Calibri" w:eastAsia="Times New Roman" w:hAnsi="Calibri" w:cs="Times New Roman"/>
          <w:sz w:val="24"/>
          <w:szCs w:val="24"/>
        </w:rPr>
        <w:t xml:space="preserve">, παρατηρείται ότι </w:t>
      </w:r>
      <w:r>
        <w:rPr>
          <w:rFonts w:ascii="Calibri" w:eastAsia="Times New Roman" w:hAnsi="Calibri" w:cs="Times New Roman"/>
          <w:sz w:val="24"/>
          <w:szCs w:val="24"/>
        </w:rPr>
        <w:t xml:space="preserve">η ζήτηση </w:t>
      </w:r>
      <w:r w:rsidR="00A9409B" w:rsidRPr="00A9409B">
        <w:rPr>
          <w:rFonts w:ascii="Calibri" w:eastAsia="Times New Roman" w:hAnsi="Calibri" w:cs="Times New Roman"/>
          <w:sz w:val="24"/>
          <w:szCs w:val="24"/>
        </w:rPr>
        <w:t xml:space="preserve">αυξάνεται όσο αυξάνεται και το μέγεθος της επιχείρησης. Πιο συγκεκριμένα, το 38,1% των επιχειρήσεων με προσωπικό από 10 άτομα και πάνω δήλωσε αύξηση της ζήτησης, ενώ για τις πολύ μικρές επιχειρήσεις, με 1 έως 9 άτομα προσωπικό, το ποσοστό που δήλωσε αύξηση </w:t>
      </w:r>
      <w:r>
        <w:rPr>
          <w:rFonts w:ascii="Calibri" w:eastAsia="Times New Roman" w:hAnsi="Calibri" w:cs="Times New Roman"/>
          <w:sz w:val="24"/>
          <w:szCs w:val="24"/>
        </w:rPr>
        <w:t>αντιστοιχεί</w:t>
      </w:r>
      <w:r w:rsidR="00A9409B" w:rsidRPr="00A9409B">
        <w:rPr>
          <w:rFonts w:ascii="Calibri" w:eastAsia="Times New Roman" w:hAnsi="Calibri" w:cs="Times New Roman"/>
          <w:sz w:val="24"/>
          <w:szCs w:val="24"/>
        </w:rPr>
        <w:t xml:space="preserve"> στο 23,1%, με τις επιχειρήσεις χωρίς προσωπικό να παρουσιάζουν το χαμηλότερο ποσοστό, 12,3% όσον αφορά την αύξηση ζήτησης. Αισθητά σημαντικές είναι οι διαφορές και όσον αφορά τη μείωση της ζήτησης, ανάλογα με το μέγεθος της επιχείρησης. Έτσι, ενώ για τις μικρές και μεσαίες επιχειρήσεις (με προσωπικό από 10 άτομα και πάνω), το ποσοστό που δήλωσε μείωση ζήτησης είναι 28,6%, για τις πολύ μικρές επιχειρήσεις (με προσωπικό 1 – 9 άτομα), το ποσοστό ανέρχεται στο 43,2%, με το ποσοστό αυτό να </w:t>
      </w:r>
      <w:r>
        <w:rPr>
          <w:rFonts w:ascii="Calibri" w:eastAsia="Times New Roman" w:hAnsi="Calibri" w:cs="Times New Roman"/>
          <w:sz w:val="24"/>
          <w:szCs w:val="24"/>
        </w:rPr>
        <w:t>ανέρχεται</w:t>
      </w:r>
      <w:r w:rsidR="00A9409B" w:rsidRPr="00A9409B">
        <w:rPr>
          <w:rFonts w:ascii="Calibri" w:eastAsia="Times New Roman" w:hAnsi="Calibri" w:cs="Times New Roman"/>
          <w:sz w:val="24"/>
          <w:szCs w:val="24"/>
        </w:rPr>
        <w:t xml:space="preserve"> στο 53,5% για τις επιχειρήσεις χωρίς προσωπικό. </w:t>
      </w:r>
    </w:p>
    <w:tbl>
      <w:tblPr>
        <w:tblW w:w="5000" w:type="pct"/>
        <w:tblLook w:val="04A0" w:firstRow="1" w:lastRow="0" w:firstColumn="1" w:lastColumn="0" w:noHBand="0" w:noVBand="1"/>
      </w:tblPr>
      <w:tblGrid>
        <w:gridCol w:w="1922"/>
        <w:gridCol w:w="2207"/>
        <w:gridCol w:w="2869"/>
        <w:gridCol w:w="3481"/>
      </w:tblGrid>
      <w:tr w:rsidR="00A9409B" w:rsidRPr="00A9409B" w14:paraId="67319146" w14:textId="77777777" w:rsidTr="00A052FF">
        <w:trPr>
          <w:trHeight w:val="276"/>
        </w:trPr>
        <w:tc>
          <w:tcPr>
            <w:tcW w:w="5000" w:type="pct"/>
            <w:gridSpan w:val="4"/>
            <w:tcBorders>
              <w:top w:val="single" w:sz="4" w:space="0" w:color="auto"/>
              <w:left w:val="single" w:sz="4" w:space="0" w:color="auto"/>
              <w:bottom w:val="single" w:sz="4" w:space="0" w:color="auto"/>
              <w:right w:val="single" w:sz="4" w:space="0" w:color="000000"/>
            </w:tcBorders>
            <w:shd w:val="clear" w:color="D9E1F2" w:fill="D9E1F2"/>
            <w:vAlign w:val="bottom"/>
            <w:hideMark/>
          </w:tcPr>
          <w:p w14:paraId="351478E7" w14:textId="384673D6" w:rsidR="00790731" w:rsidRDefault="00790731" w:rsidP="00973ABE">
            <w:pPr>
              <w:spacing w:after="0" w:line="240" w:lineRule="auto"/>
              <w:jc w:val="center"/>
              <w:rPr>
                <w:rFonts w:ascii="Calibri" w:eastAsia="Times New Roman" w:hAnsi="Calibri" w:cs="Times New Roman"/>
                <w:sz w:val="24"/>
                <w:szCs w:val="24"/>
              </w:rPr>
            </w:pPr>
            <w:r>
              <w:rPr>
                <w:rFonts w:ascii="Calibri" w:eastAsia="Times New Roman" w:hAnsi="Calibri" w:cs="Times New Roman"/>
                <w:sz w:val="24"/>
                <w:szCs w:val="24"/>
              </w:rPr>
              <w:lastRenderedPageBreak/>
              <w:t>Πίνακας 2</w:t>
            </w:r>
          </w:p>
          <w:p w14:paraId="0D89A97D" w14:textId="77777777" w:rsidR="00A9409B" w:rsidRDefault="00790731" w:rsidP="00973ABE">
            <w:pPr>
              <w:spacing w:after="0" w:line="240" w:lineRule="auto"/>
              <w:jc w:val="center"/>
              <w:rPr>
                <w:rFonts w:ascii="Calibri" w:eastAsia="Times New Roman" w:hAnsi="Calibri" w:cs="Times New Roman"/>
                <w:sz w:val="24"/>
                <w:szCs w:val="24"/>
              </w:rPr>
            </w:pPr>
            <w:r>
              <w:rPr>
                <w:rFonts w:ascii="Calibri" w:eastAsia="Times New Roman" w:hAnsi="Calibri" w:cs="Times New Roman"/>
                <w:sz w:val="24"/>
                <w:szCs w:val="24"/>
              </w:rPr>
              <w:t>Μεταβολή Ζήτησης Α εξαμήνου 2024</w:t>
            </w:r>
          </w:p>
          <w:p w14:paraId="5E8D20D6" w14:textId="6ECAB28D" w:rsidR="00790731" w:rsidRPr="00790731" w:rsidRDefault="00790731" w:rsidP="00973ABE">
            <w:pPr>
              <w:spacing w:after="0" w:line="240" w:lineRule="auto"/>
              <w:jc w:val="center"/>
              <w:rPr>
                <w:rFonts w:ascii="Calibri" w:eastAsia="Times New Roman" w:hAnsi="Calibri" w:cs="Times New Roman"/>
                <w:sz w:val="24"/>
                <w:szCs w:val="24"/>
              </w:rPr>
            </w:pPr>
            <w:r w:rsidRPr="00790731">
              <w:rPr>
                <w:rFonts w:ascii="Calibri" w:eastAsia="Times New Roman" w:hAnsi="Calibri" w:cs="Times New Roman"/>
                <w:sz w:val="24"/>
                <w:szCs w:val="24"/>
              </w:rPr>
              <w:t>-</w:t>
            </w:r>
            <w:r w:rsidRPr="00790731">
              <w:rPr>
                <w:rFonts w:ascii="Calibri" w:eastAsia="Times New Roman" w:hAnsi="Calibri" w:cs="Calibri"/>
                <w:color w:val="000000"/>
              </w:rPr>
              <w:t xml:space="preserve"> Επιχειρήσεις βάσει τάξη μεγέθους απασχόλησης-</w:t>
            </w:r>
          </w:p>
        </w:tc>
      </w:tr>
      <w:tr w:rsidR="00A9409B" w:rsidRPr="00A9409B" w14:paraId="4EF115D0" w14:textId="77777777" w:rsidTr="00A052FF">
        <w:trPr>
          <w:trHeight w:val="828"/>
        </w:trPr>
        <w:tc>
          <w:tcPr>
            <w:tcW w:w="917" w:type="pct"/>
            <w:tcBorders>
              <w:top w:val="nil"/>
              <w:left w:val="single" w:sz="4" w:space="0" w:color="auto"/>
              <w:bottom w:val="single" w:sz="4" w:space="0" w:color="auto"/>
              <w:right w:val="single" w:sz="4" w:space="0" w:color="auto"/>
            </w:tcBorders>
            <w:shd w:val="clear" w:color="D9E1F2" w:fill="D9E1F2"/>
            <w:vAlign w:val="bottom"/>
            <w:hideMark/>
          </w:tcPr>
          <w:p w14:paraId="739F1AF8" w14:textId="77777777" w:rsidR="00A9409B" w:rsidRPr="00A9409B" w:rsidRDefault="00A9409B" w:rsidP="00973ABE">
            <w:pPr>
              <w:spacing w:after="0" w:line="240" w:lineRule="auto"/>
              <w:rPr>
                <w:rFonts w:ascii="Calibri" w:eastAsia="Times New Roman" w:hAnsi="Calibri" w:cs="Times New Roman"/>
                <w:sz w:val="24"/>
                <w:szCs w:val="24"/>
              </w:rPr>
            </w:pPr>
            <w:r w:rsidRPr="00A9409B">
              <w:rPr>
                <w:rFonts w:ascii="Calibri" w:eastAsia="Times New Roman" w:hAnsi="Calibri" w:cs="Times New Roman"/>
                <w:sz w:val="24"/>
                <w:szCs w:val="24"/>
              </w:rPr>
              <w:t> </w:t>
            </w:r>
          </w:p>
        </w:tc>
        <w:tc>
          <w:tcPr>
            <w:tcW w:w="1053" w:type="pct"/>
            <w:tcBorders>
              <w:top w:val="nil"/>
              <w:left w:val="nil"/>
              <w:bottom w:val="single" w:sz="4" w:space="0" w:color="auto"/>
              <w:right w:val="single" w:sz="4" w:space="0" w:color="auto"/>
            </w:tcBorders>
            <w:shd w:val="clear" w:color="D9E1F2" w:fill="D9E1F2"/>
            <w:vAlign w:val="bottom"/>
            <w:hideMark/>
          </w:tcPr>
          <w:p w14:paraId="39DA958E"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Χωρίς προσωπικό</w:t>
            </w:r>
          </w:p>
        </w:tc>
        <w:tc>
          <w:tcPr>
            <w:tcW w:w="1369" w:type="pct"/>
            <w:tcBorders>
              <w:top w:val="nil"/>
              <w:left w:val="nil"/>
              <w:bottom w:val="single" w:sz="4" w:space="0" w:color="auto"/>
              <w:right w:val="single" w:sz="4" w:space="0" w:color="auto"/>
            </w:tcBorders>
            <w:shd w:val="clear" w:color="D9E1F2" w:fill="D9E1F2"/>
            <w:vAlign w:val="bottom"/>
            <w:hideMark/>
          </w:tcPr>
          <w:p w14:paraId="11A82D00" w14:textId="19294296"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Πολύ μικρή (1-9 εργαζόμενοι</w:t>
            </w:r>
            <w:r w:rsidR="002650CB">
              <w:rPr>
                <w:rFonts w:ascii="Calibri" w:eastAsia="Times New Roman" w:hAnsi="Calibri" w:cs="Times New Roman"/>
                <w:sz w:val="24"/>
                <w:szCs w:val="24"/>
              </w:rPr>
              <w:t>/ες</w:t>
            </w:r>
            <w:r w:rsidRPr="00A9409B">
              <w:rPr>
                <w:rFonts w:ascii="Calibri" w:eastAsia="Times New Roman" w:hAnsi="Calibri" w:cs="Times New Roman"/>
                <w:sz w:val="24"/>
                <w:szCs w:val="24"/>
              </w:rPr>
              <w:t>)</w:t>
            </w:r>
          </w:p>
        </w:tc>
        <w:tc>
          <w:tcPr>
            <w:tcW w:w="1660" w:type="pct"/>
            <w:tcBorders>
              <w:top w:val="nil"/>
              <w:left w:val="nil"/>
              <w:bottom w:val="single" w:sz="4" w:space="0" w:color="auto"/>
              <w:right w:val="single" w:sz="4" w:space="0" w:color="auto"/>
            </w:tcBorders>
            <w:shd w:val="clear" w:color="D9E1F2" w:fill="D9E1F2"/>
            <w:vAlign w:val="bottom"/>
            <w:hideMark/>
          </w:tcPr>
          <w:p w14:paraId="7BD30641"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 xml:space="preserve">Μικρή - Μεσαία </w:t>
            </w:r>
          </w:p>
          <w:p w14:paraId="69A3E0B9"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(10 και άνω άτομα προσωπικό)</w:t>
            </w:r>
          </w:p>
        </w:tc>
      </w:tr>
      <w:tr w:rsidR="00A9409B" w:rsidRPr="00A9409B" w14:paraId="5C6B0BC7" w14:textId="77777777" w:rsidTr="00A052FF">
        <w:trPr>
          <w:trHeight w:val="276"/>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11DEA907" w14:textId="77777777" w:rsidR="00A9409B" w:rsidRPr="00A9409B" w:rsidRDefault="00A9409B" w:rsidP="00973ABE">
            <w:pPr>
              <w:spacing w:after="0" w:line="240" w:lineRule="auto"/>
              <w:rPr>
                <w:rFonts w:ascii="Calibri" w:eastAsia="Times New Roman" w:hAnsi="Calibri" w:cs="Times New Roman"/>
                <w:sz w:val="24"/>
                <w:szCs w:val="24"/>
              </w:rPr>
            </w:pPr>
            <w:r w:rsidRPr="00A9409B">
              <w:rPr>
                <w:rFonts w:ascii="Calibri" w:eastAsia="Times New Roman" w:hAnsi="Calibri" w:cs="Times New Roman"/>
                <w:sz w:val="24"/>
                <w:szCs w:val="24"/>
              </w:rPr>
              <w:t>αυξήθηκε</w:t>
            </w:r>
          </w:p>
        </w:tc>
        <w:tc>
          <w:tcPr>
            <w:tcW w:w="1053" w:type="pct"/>
            <w:tcBorders>
              <w:top w:val="nil"/>
              <w:left w:val="nil"/>
              <w:bottom w:val="single" w:sz="4" w:space="0" w:color="auto"/>
              <w:right w:val="single" w:sz="4" w:space="0" w:color="auto"/>
            </w:tcBorders>
            <w:shd w:val="clear" w:color="auto" w:fill="auto"/>
            <w:vAlign w:val="bottom"/>
            <w:hideMark/>
          </w:tcPr>
          <w:p w14:paraId="26072A91"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12,3%</w:t>
            </w:r>
          </w:p>
        </w:tc>
        <w:tc>
          <w:tcPr>
            <w:tcW w:w="1369" w:type="pct"/>
            <w:tcBorders>
              <w:top w:val="nil"/>
              <w:left w:val="nil"/>
              <w:bottom w:val="single" w:sz="4" w:space="0" w:color="auto"/>
              <w:right w:val="single" w:sz="4" w:space="0" w:color="auto"/>
            </w:tcBorders>
            <w:shd w:val="clear" w:color="auto" w:fill="auto"/>
            <w:vAlign w:val="bottom"/>
            <w:hideMark/>
          </w:tcPr>
          <w:p w14:paraId="7BF8B8EA"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23,1%</w:t>
            </w:r>
          </w:p>
        </w:tc>
        <w:tc>
          <w:tcPr>
            <w:tcW w:w="1660" w:type="pct"/>
            <w:tcBorders>
              <w:top w:val="nil"/>
              <w:left w:val="nil"/>
              <w:bottom w:val="single" w:sz="4" w:space="0" w:color="auto"/>
              <w:right w:val="single" w:sz="4" w:space="0" w:color="auto"/>
            </w:tcBorders>
            <w:shd w:val="clear" w:color="auto" w:fill="auto"/>
            <w:vAlign w:val="bottom"/>
            <w:hideMark/>
          </w:tcPr>
          <w:p w14:paraId="0FDAEAB6"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38,1%</w:t>
            </w:r>
          </w:p>
        </w:tc>
      </w:tr>
      <w:tr w:rsidR="00A9409B" w:rsidRPr="00A9409B" w14:paraId="2CC2F497" w14:textId="77777777" w:rsidTr="00A052FF">
        <w:trPr>
          <w:trHeight w:val="276"/>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11AFABF6" w14:textId="2AD7897C" w:rsidR="00A9409B" w:rsidRPr="00A9409B" w:rsidRDefault="00A9409B" w:rsidP="00973ABE">
            <w:pPr>
              <w:spacing w:after="0" w:line="240" w:lineRule="auto"/>
              <w:rPr>
                <w:rFonts w:ascii="Calibri" w:eastAsia="Times New Roman" w:hAnsi="Calibri" w:cs="Times New Roman"/>
                <w:sz w:val="24"/>
                <w:szCs w:val="24"/>
              </w:rPr>
            </w:pPr>
            <w:r w:rsidRPr="00A9409B">
              <w:rPr>
                <w:rFonts w:ascii="Calibri" w:eastAsia="Times New Roman" w:hAnsi="Calibri" w:cs="Times New Roman"/>
                <w:sz w:val="24"/>
                <w:szCs w:val="24"/>
              </w:rPr>
              <w:t>αμετάβλητη</w:t>
            </w:r>
          </w:p>
        </w:tc>
        <w:tc>
          <w:tcPr>
            <w:tcW w:w="1053" w:type="pct"/>
            <w:tcBorders>
              <w:top w:val="nil"/>
              <w:left w:val="nil"/>
              <w:bottom w:val="single" w:sz="4" w:space="0" w:color="auto"/>
              <w:right w:val="single" w:sz="4" w:space="0" w:color="auto"/>
            </w:tcBorders>
            <w:shd w:val="clear" w:color="auto" w:fill="auto"/>
            <w:vAlign w:val="bottom"/>
            <w:hideMark/>
          </w:tcPr>
          <w:p w14:paraId="1B64A79A"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33,8%</w:t>
            </w:r>
          </w:p>
        </w:tc>
        <w:tc>
          <w:tcPr>
            <w:tcW w:w="1369" w:type="pct"/>
            <w:tcBorders>
              <w:top w:val="nil"/>
              <w:left w:val="nil"/>
              <w:bottom w:val="single" w:sz="4" w:space="0" w:color="auto"/>
              <w:right w:val="single" w:sz="4" w:space="0" w:color="auto"/>
            </w:tcBorders>
            <w:shd w:val="clear" w:color="auto" w:fill="auto"/>
            <w:vAlign w:val="bottom"/>
            <w:hideMark/>
          </w:tcPr>
          <w:p w14:paraId="7F7E915D"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33,0%</w:t>
            </w:r>
          </w:p>
        </w:tc>
        <w:tc>
          <w:tcPr>
            <w:tcW w:w="1660" w:type="pct"/>
            <w:tcBorders>
              <w:top w:val="nil"/>
              <w:left w:val="nil"/>
              <w:bottom w:val="single" w:sz="4" w:space="0" w:color="auto"/>
              <w:right w:val="single" w:sz="4" w:space="0" w:color="auto"/>
            </w:tcBorders>
            <w:shd w:val="clear" w:color="auto" w:fill="auto"/>
            <w:vAlign w:val="bottom"/>
            <w:hideMark/>
          </w:tcPr>
          <w:p w14:paraId="359B957F"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33,3%</w:t>
            </w:r>
          </w:p>
        </w:tc>
      </w:tr>
      <w:tr w:rsidR="00A9409B" w:rsidRPr="00A9409B" w14:paraId="374F206A" w14:textId="77777777" w:rsidTr="00A052FF">
        <w:trPr>
          <w:trHeight w:val="276"/>
        </w:trPr>
        <w:tc>
          <w:tcPr>
            <w:tcW w:w="917" w:type="pct"/>
            <w:tcBorders>
              <w:top w:val="nil"/>
              <w:left w:val="single" w:sz="4" w:space="0" w:color="auto"/>
              <w:bottom w:val="single" w:sz="4" w:space="0" w:color="auto"/>
              <w:right w:val="single" w:sz="4" w:space="0" w:color="auto"/>
            </w:tcBorders>
            <w:shd w:val="clear" w:color="auto" w:fill="auto"/>
            <w:vAlign w:val="bottom"/>
            <w:hideMark/>
          </w:tcPr>
          <w:p w14:paraId="4E2E1B52" w14:textId="77777777" w:rsidR="00A9409B" w:rsidRPr="00A9409B" w:rsidRDefault="00A9409B" w:rsidP="00973ABE">
            <w:pPr>
              <w:spacing w:after="0" w:line="240" w:lineRule="auto"/>
              <w:rPr>
                <w:rFonts w:ascii="Calibri" w:eastAsia="Times New Roman" w:hAnsi="Calibri" w:cs="Times New Roman"/>
                <w:sz w:val="24"/>
                <w:szCs w:val="24"/>
              </w:rPr>
            </w:pPr>
            <w:r w:rsidRPr="00A9409B">
              <w:rPr>
                <w:rFonts w:ascii="Calibri" w:eastAsia="Times New Roman" w:hAnsi="Calibri" w:cs="Times New Roman"/>
                <w:sz w:val="24"/>
                <w:szCs w:val="24"/>
              </w:rPr>
              <w:t>μειώθηκε</w:t>
            </w:r>
          </w:p>
        </w:tc>
        <w:tc>
          <w:tcPr>
            <w:tcW w:w="1053" w:type="pct"/>
            <w:tcBorders>
              <w:top w:val="nil"/>
              <w:left w:val="nil"/>
              <w:bottom w:val="single" w:sz="4" w:space="0" w:color="auto"/>
              <w:right w:val="single" w:sz="4" w:space="0" w:color="auto"/>
            </w:tcBorders>
            <w:shd w:val="clear" w:color="auto" w:fill="auto"/>
            <w:vAlign w:val="bottom"/>
            <w:hideMark/>
          </w:tcPr>
          <w:p w14:paraId="59DB0A28"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53,5%</w:t>
            </w:r>
          </w:p>
        </w:tc>
        <w:tc>
          <w:tcPr>
            <w:tcW w:w="1369" w:type="pct"/>
            <w:tcBorders>
              <w:top w:val="nil"/>
              <w:left w:val="nil"/>
              <w:bottom w:val="single" w:sz="4" w:space="0" w:color="auto"/>
              <w:right w:val="single" w:sz="4" w:space="0" w:color="auto"/>
            </w:tcBorders>
            <w:shd w:val="clear" w:color="auto" w:fill="auto"/>
            <w:vAlign w:val="bottom"/>
            <w:hideMark/>
          </w:tcPr>
          <w:p w14:paraId="4321738D"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43,2%</w:t>
            </w:r>
          </w:p>
        </w:tc>
        <w:tc>
          <w:tcPr>
            <w:tcW w:w="1660" w:type="pct"/>
            <w:tcBorders>
              <w:top w:val="nil"/>
              <w:left w:val="nil"/>
              <w:bottom w:val="single" w:sz="4" w:space="0" w:color="auto"/>
              <w:right w:val="single" w:sz="4" w:space="0" w:color="auto"/>
            </w:tcBorders>
            <w:shd w:val="clear" w:color="auto" w:fill="auto"/>
            <w:vAlign w:val="bottom"/>
            <w:hideMark/>
          </w:tcPr>
          <w:p w14:paraId="755ACBF3"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28,6%</w:t>
            </w:r>
          </w:p>
        </w:tc>
      </w:tr>
    </w:tbl>
    <w:p w14:paraId="1BDE58A7" w14:textId="77777777" w:rsidR="00A052FF" w:rsidRDefault="00A052FF" w:rsidP="00EA30F5">
      <w:pPr>
        <w:jc w:val="both"/>
        <w:rPr>
          <w:rFonts w:ascii="Calibri" w:eastAsia="Times New Roman" w:hAnsi="Calibri" w:cs="Times New Roman"/>
          <w:b/>
          <w:bCs/>
          <w:noProof/>
        </w:rPr>
      </w:pPr>
    </w:p>
    <w:p w14:paraId="781B9C4F" w14:textId="41FFF092" w:rsidR="00EA30F5" w:rsidRDefault="00790731" w:rsidP="00EA30F5">
      <w:pPr>
        <w:spacing w:line="360" w:lineRule="auto"/>
        <w:jc w:val="both"/>
        <w:rPr>
          <w:rFonts w:ascii="Calibri" w:eastAsia="Times New Roman" w:hAnsi="Calibri" w:cs="Times New Roman"/>
          <w:sz w:val="24"/>
          <w:szCs w:val="24"/>
        </w:rPr>
      </w:pPr>
      <w:r>
        <w:rPr>
          <w:rFonts w:ascii="Calibri" w:eastAsia="Times New Roman" w:hAnsi="Calibri" w:cs="Times New Roman"/>
          <w:sz w:val="24"/>
          <w:szCs w:val="24"/>
        </w:rPr>
        <w:t>Α</w:t>
      </w:r>
      <w:r w:rsidR="00995F54">
        <w:rPr>
          <w:rFonts w:ascii="Calibri" w:eastAsia="Times New Roman" w:hAnsi="Calibri" w:cs="Times New Roman"/>
          <w:sz w:val="24"/>
          <w:szCs w:val="24"/>
        </w:rPr>
        <w:t xml:space="preserve">ντίστοιχη είναι και η εικόνα των </w:t>
      </w:r>
      <w:r w:rsidR="00EA30F5" w:rsidRPr="00EA30F5">
        <w:rPr>
          <w:rFonts w:ascii="Calibri" w:eastAsia="Times New Roman" w:hAnsi="Calibri" w:cs="Times New Roman"/>
          <w:sz w:val="24"/>
          <w:szCs w:val="24"/>
        </w:rPr>
        <w:t>παραγγελ</w:t>
      </w:r>
      <w:r w:rsidR="00995F54">
        <w:rPr>
          <w:rFonts w:ascii="Calibri" w:eastAsia="Times New Roman" w:hAnsi="Calibri" w:cs="Times New Roman"/>
          <w:sz w:val="24"/>
          <w:szCs w:val="24"/>
        </w:rPr>
        <w:t>ιών</w:t>
      </w:r>
      <w:r w:rsidR="00EA30F5" w:rsidRPr="00EA30F5">
        <w:rPr>
          <w:rFonts w:ascii="Calibri" w:eastAsia="Times New Roman" w:hAnsi="Calibri" w:cs="Times New Roman"/>
          <w:sz w:val="24"/>
          <w:szCs w:val="24"/>
        </w:rPr>
        <w:t xml:space="preserve"> των επιχειρήσεων, </w:t>
      </w:r>
      <w:r w:rsidR="00995F54">
        <w:rPr>
          <w:rFonts w:ascii="Calibri" w:eastAsia="Times New Roman" w:hAnsi="Calibri" w:cs="Times New Roman"/>
          <w:sz w:val="24"/>
          <w:szCs w:val="24"/>
        </w:rPr>
        <w:t>όπου</w:t>
      </w:r>
      <w:r w:rsidR="00EA30F5" w:rsidRPr="00EA30F5">
        <w:rPr>
          <w:rFonts w:ascii="Calibri" w:eastAsia="Times New Roman" w:hAnsi="Calibri" w:cs="Times New Roman"/>
          <w:sz w:val="24"/>
          <w:szCs w:val="24"/>
        </w:rPr>
        <w:t xml:space="preserve"> η τάση ακολουθεί </w:t>
      </w:r>
      <w:r w:rsidR="00995F54">
        <w:rPr>
          <w:rFonts w:ascii="Calibri" w:eastAsia="Times New Roman" w:hAnsi="Calibri" w:cs="Times New Roman"/>
          <w:sz w:val="24"/>
          <w:szCs w:val="24"/>
        </w:rPr>
        <w:t>την αποτίμηση</w:t>
      </w:r>
      <w:r w:rsidR="00EA30F5" w:rsidRPr="00EA30F5">
        <w:rPr>
          <w:rFonts w:ascii="Calibri" w:eastAsia="Times New Roman" w:hAnsi="Calibri" w:cs="Times New Roman"/>
          <w:sz w:val="24"/>
          <w:szCs w:val="24"/>
        </w:rPr>
        <w:t xml:space="preserve"> του κύκλου εργασιών και της ζήτησης. </w:t>
      </w:r>
      <w:r>
        <w:rPr>
          <w:rFonts w:ascii="Calibri" w:eastAsia="Times New Roman" w:hAnsi="Calibri" w:cs="Times New Roman"/>
          <w:sz w:val="24"/>
          <w:szCs w:val="24"/>
        </w:rPr>
        <w:t>Συγκεκριμένα</w:t>
      </w:r>
      <w:r w:rsidR="00016444">
        <w:rPr>
          <w:rFonts w:ascii="Calibri" w:eastAsia="Times New Roman" w:hAnsi="Calibri" w:cs="Times New Roman"/>
          <w:sz w:val="24"/>
          <w:szCs w:val="24"/>
        </w:rPr>
        <w:t>,</w:t>
      </w:r>
      <w:r w:rsidR="00EA30F5" w:rsidRPr="00EA30F5">
        <w:rPr>
          <w:rFonts w:ascii="Calibri" w:eastAsia="Times New Roman" w:hAnsi="Calibri" w:cs="Times New Roman"/>
          <w:sz w:val="24"/>
          <w:szCs w:val="24"/>
        </w:rPr>
        <w:t xml:space="preserve"> για το </w:t>
      </w:r>
      <w:r w:rsidR="00995F54">
        <w:rPr>
          <w:rFonts w:ascii="Calibri" w:eastAsia="Times New Roman" w:hAnsi="Calibri" w:cs="Times New Roman"/>
          <w:sz w:val="24"/>
          <w:szCs w:val="24"/>
        </w:rPr>
        <w:t>πρώτο</w:t>
      </w:r>
      <w:r w:rsidR="00EA30F5" w:rsidRPr="00EA30F5">
        <w:rPr>
          <w:rFonts w:ascii="Calibri" w:eastAsia="Times New Roman" w:hAnsi="Calibri" w:cs="Times New Roman"/>
          <w:sz w:val="24"/>
          <w:szCs w:val="24"/>
        </w:rPr>
        <w:t xml:space="preserve"> εξάμηνο του 202</w:t>
      </w:r>
      <w:r w:rsidR="00995F54">
        <w:rPr>
          <w:rFonts w:ascii="Calibri" w:eastAsia="Times New Roman" w:hAnsi="Calibri" w:cs="Times New Roman"/>
          <w:sz w:val="24"/>
          <w:szCs w:val="24"/>
        </w:rPr>
        <w:t>4</w:t>
      </w:r>
      <w:r w:rsidR="00EA30F5" w:rsidRPr="00EA30F5">
        <w:rPr>
          <w:rFonts w:ascii="Calibri" w:eastAsia="Times New Roman" w:hAnsi="Calibri" w:cs="Times New Roman"/>
          <w:sz w:val="24"/>
          <w:szCs w:val="24"/>
        </w:rPr>
        <w:t xml:space="preserve"> </w:t>
      </w:r>
      <w:r w:rsidR="007E4883">
        <w:rPr>
          <w:rFonts w:ascii="Calibri" w:eastAsia="Times New Roman" w:hAnsi="Calibri" w:cs="Times New Roman"/>
          <w:sz w:val="24"/>
          <w:szCs w:val="24"/>
        </w:rPr>
        <w:t>καταγράφηκε</w:t>
      </w:r>
      <w:r w:rsidR="007E4883" w:rsidRPr="00EA30F5">
        <w:rPr>
          <w:rFonts w:ascii="Calibri" w:eastAsia="Times New Roman" w:hAnsi="Calibri" w:cs="Times New Roman"/>
          <w:sz w:val="24"/>
          <w:szCs w:val="24"/>
        </w:rPr>
        <w:t xml:space="preserve"> </w:t>
      </w:r>
      <w:r w:rsidR="00EA30F5" w:rsidRPr="00EA30F5">
        <w:rPr>
          <w:rFonts w:ascii="Calibri" w:eastAsia="Times New Roman" w:hAnsi="Calibri" w:cs="Times New Roman"/>
          <w:sz w:val="24"/>
          <w:szCs w:val="24"/>
        </w:rPr>
        <w:t xml:space="preserve">αύξηση των παραγγελιών </w:t>
      </w:r>
      <w:r w:rsidR="00995F54">
        <w:rPr>
          <w:rFonts w:ascii="Calibri" w:eastAsia="Times New Roman" w:hAnsi="Calibri" w:cs="Times New Roman"/>
          <w:sz w:val="24"/>
          <w:szCs w:val="24"/>
        </w:rPr>
        <w:t xml:space="preserve">μόλις </w:t>
      </w:r>
      <w:r w:rsidR="00EA30F5" w:rsidRPr="00EA30F5">
        <w:rPr>
          <w:rFonts w:ascii="Calibri" w:eastAsia="Times New Roman" w:hAnsi="Calibri" w:cs="Times New Roman"/>
          <w:sz w:val="24"/>
          <w:szCs w:val="24"/>
        </w:rPr>
        <w:t xml:space="preserve">για το </w:t>
      </w:r>
      <w:r w:rsidR="00995F54">
        <w:rPr>
          <w:rFonts w:ascii="Calibri" w:eastAsia="Times New Roman" w:hAnsi="Calibri" w:cs="Times New Roman"/>
          <w:sz w:val="24"/>
          <w:szCs w:val="24"/>
        </w:rPr>
        <w:t>17</w:t>
      </w:r>
      <w:r w:rsidR="00EA30F5" w:rsidRPr="00EA30F5">
        <w:rPr>
          <w:rFonts w:ascii="Calibri" w:eastAsia="Times New Roman" w:hAnsi="Calibri" w:cs="Times New Roman"/>
          <w:sz w:val="24"/>
          <w:szCs w:val="24"/>
        </w:rPr>
        <w:t>,</w:t>
      </w:r>
      <w:r w:rsidR="00995F54">
        <w:rPr>
          <w:rFonts w:ascii="Calibri" w:eastAsia="Times New Roman" w:hAnsi="Calibri" w:cs="Times New Roman"/>
          <w:sz w:val="24"/>
          <w:szCs w:val="24"/>
        </w:rPr>
        <w:t>2</w:t>
      </w:r>
      <w:r w:rsidR="00EA30F5" w:rsidRPr="00EA30F5">
        <w:rPr>
          <w:rFonts w:ascii="Calibri" w:eastAsia="Times New Roman" w:hAnsi="Calibri" w:cs="Times New Roman"/>
          <w:sz w:val="24"/>
          <w:szCs w:val="24"/>
        </w:rPr>
        <w:t xml:space="preserve">% των επιχειρήσεων και μείωση των παραγγελιών για το </w:t>
      </w:r>
      <w:r w:rsidR="00995F54">
        <w:rPr>
          <w:rFonts w:ascii="Calibri" w:eastAsia="Times New Roman" w:hAnsi="Calibri" w:cs="Times New Roman"/>
          <w:sz w:val="24"/>
          <w:szCs w:val="24"/>
        </w:rPr>
        <w:t>47,3</w:t>
      </w:r>
      <w:r w:rsidR="00EA30F5" w:rsidRPr="00EA30F5">
        <w:rPr>
          <w:rFonts w:ascii="Calibri" w:eastAsia="Times New Roman" w:hAnsi="Calibri" w:cs="Times New Roman"/>
          <w:sz w:val="24"/>
          <w:szCs w:val="24"/>
        </w:rPr>
        <w:t>%</w:t>
      </w:r>
      <w:r w:rsidR="00995F54">
        <w:rPr>
          <w:rFonts w:ascii="Calibri" w:eastAsia="Times New Roman" w:hAnsi="Calibri" w:cs="Times New Roman"/>
          <w:sz w:val="24"/>
          <w:szCs w:val="24"/>
        </w:rPr>
        <w:t>.</w:t>
      </w:r>
      <w:r w:rsidR="00EA30F5" w:rsidRPr="00EA30F5">
        <w:rPr>
          <w:rFonts w:ascii="Calibri" w:eastAsia="Times New Roman" w:hAnsi="Calibri" w:cs="Times New Roman"/>
          <w:sz w:val="24"/>
          <w:szCs w:val="24"/>
        </w:rPr>
        <w:t xml:space="preserve"> </w:t>
      </w:r>
      <w:r w:rsidR="00F83D4F">
        <w:rPr>
          <w:rFonts w:ascii="Calibri" w:eastAsia="Times New Roman" w:hAnsi="Calibri" w:cs="Times New Roman"/>
          <w:sz w:val="24"/>
          <w:szCs w:val="24"/>
        </w:rPr>
        <w:t xml:space="preserve">Το στοιχείο της εξέλιξης των παραγγελιών προφανώς σχετίζεται με τη συνολική μείωση του όγκου κατανάλωσης αλλά και της επακόλουθης μείωσης της ρευστότητας των επιχειρήσεων. </w:t>
      </w:r>
    </w:p>
    <w:p w14:paraId="4C799165" w14:textId="1F80C397" w:rsidR="001D3E71" w:rsidRDefault="001D3E71" w:rsidP="00A9409B">
      <w:pPr>
        <w:spacing w:before="120" w:after="120" w:line="360" w:lineRule="auto"/>
        <w:jc w:val="both"/>
        <w:rPr>
          <w:rFonts w:ascii="Calibri" w:eastAsia="Times New Roman" w:hAnsi="Calibri" w:cs="Times New Roman"/>
          <w:sz w:val="24"/>
          <w:szCs w:val="24"/>
        </w:rPr>
      </w:pPr>
      <w:r>
        <w:rPr>
          <w:noProof/>
        </w:rPr>
        <w:drawing>
          <wp:inline distT="0" distB="0" distL="0" distR="0" wp14:anchorId="29DC3DFD" wp14:editId="23ADFEA3">
            <wp:extent cx="6660515" cy="3856355"/>
            <wp:effectExtent l="0" t="0" r="6985" b="10795"/>
            <wp:docPr id="1044322306" name="Γράφημα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9CB66E0" w14:textId="6ECBA781" w:rsidR="00A9409B" w:rsidRPr="00A9409B" w:rsidRDefault="00A9409B" w:rsidP="00A9409B">
      <w:pPr>
        <w:spacing w:before="120" w:after="120" w:line="360" w:lineRule="auto"/>
        <w:jc w:val="both"/>
        <w:rPr>
          <w:rFonts w:ascii="Calibri" w:eastAsia="Times New Roman" w:hAnsi="Calibri" w:cs="Times New Roman"/>
          <w:sz w:val="24"/>
          <w:szCs w:val="24"/>
        </w:rPr>
      </w:pPr>
      <w:r w:rsidRPr="00A9409B">
        <w:rPr>
          <w:rFonts w:ascii="Calibri" w:eastAsia="Times New Roman" w:hAnsi="Calibri" w:cs="Times New Roman"/>
          <w:sz w:val="24"/>
          <w:szCs w:val="24"/>
        </w:rPr>
        <w:t xml:space="preserve">Αναφορικά με τις τάσεις που επικρατούν σχετικά με τις παραγγελίες, παρατηρούνται πολύ σημαντικές διαφοροποιήσεις, ανάλογα με το μέγεθος της επιχείρησης, με το ποσοστό των επιχειρήσεων που δηλώνουν αύξηση των παραγγελιών να </w:t>
      </w:r>
      <w:r w:rsidR="00790731">
        <w:rPr>
          <w:rFonts w:ascii="Calibri" w:eastAsia="Times New Roman" w:hAnsi="Calibri" w:cs="Times New Roman"/>
          <w:sz w:val="24"/>
          <w:szCs w:val="24"/>
        </w:rPr>
        <w:t>είναι μεγαλύτερο</w:t>
      </w:r>
      <w:r w:rsidRPr="00A9409B">
        <w:rPr>
          <w:rFonts w:ascii="Calibri" w:eastAsia="Times New Roman" w:hAnsi="Calibri" w:cs="Times New Roman"/>
          <w:sz w:val="24"/>
          <w:szCs w:val="24"/>
        </w:rPr>
        <w:t xml:space="preserve"> όσο αυξάνεται και το μέγεθος της επιχείρησης. </w:t>
      </w:r>
      <w:r w:rsidR="00790731">
        <w:rPr>
          <w:rFonts w:ascii="Calibri" w:eastAsia="Times New Roman" w:hAnsi="Calibri" w:cs="Times New Roman"/>
          <w:sz w:val="24"/>
          <w:szCs w:val="24"/>
        </w:rPr>
        <w:t>Σ</w:t>
      </w:r>
      <w:r w:rsidRPr="00A9409B">
        <w:rPr>
          <w:rFonts w:ascii="Calibri" w:eastAsia="Times New Roman" w:hAnsi="Calibri" w:cs="Times New Roman"/>
          <w:sz w:val="24"/>
          <w:szCs w:val="24"/>
        </w:rPr>
        <w:t xml:space="preserve">υγκεκριμένα, ενώ το ποσοστό των μικρών και μεσαίων επιχειρήσεων (με προσωπικό από 10 άτομα και </w:t>
      </w:r>
      <w:r w:rsidRPr="00A9409B">
        <w:rPr>
          <w:rFonts w:ascii="Calibri" w:eastAsia="Times New Roman" w:hAnsi="Calibri" w:cs="Times New Roman"/>
          <w:sz w:val="24"/>
          <w:szCs w:val="24"/>
        </w:rPr>
        <w:lastRenderedPageBreak/>
        <w:t xml:space="preserve">πάνω) που δήλωσαν αύξηση των παραγγελιών κυμαίνεται στο 39,7%, το ποσοστό αυτό μειώνεται σε πολύ μεγάλο βαθμό για τις πολύ μικρές επιχειρήσεις (με προσωπικό από 1 έως 9 άτομα), στο 18,5%, παρουσιάζοντας ακόμα μεγαλύτερη πτώση στις επιχειρήσεις χωρίς προσωπικό, όπου κυμαίνεται στο 10,2%. Αναλογικά, εξετάζοντας τη μείωση των παραγγελιών παρατηρείται ότι όσο μικρότερο είναι το μέγεθος της επιχείρησης τόσο μεγαλύτερο είναι το ποσοστό </w:t>
      </w:r>
      <w:r w:rsidR="00790731">
        <w:rPr>
          <w:rFonts w:ascii="Calibri" w:eastAsia="Times New Roman" w:hAnsi="Calibri" w:cs="Times New Roman"/>
          <w:sz w:val="24"/>
          <w:szCs w:val="24"/>
        </w:rPr>
        <w:t>των επιχειρήσεων που δήλωσαν μείωση</w:t>
      </w:r>
      <w:r w:rsidRPr="00A9409B">
        <w:rPr>
          <w:rFonts w:ascii="Calibri" w:eastAsia="Times New Roman" w:hAnsi="Calibri" w:cs="Times New Roman"/>
          <w:sz w:val="24"/>
          <w:szCs w:val="24"/>
        </w:rPr>
        <w:t xml:space="preserve"> </w:t>
      </w:r>
      <w:r w:rsidR="00790731">
        <w:rPr>
          <w:rFonts w:ascii="Calibri" w:eastAsia="Times New Roman" w:hAnsi="Calibri" w:cs="Times New Roman"/>
          <w:sz w:val="24"/>
          <w:szCs w:val="24"/>
        </w:rPr>
        <w:t xml:space="preserve">των </w:t>
      </w:r>
      <w:r w:rsidRPr="00A9409B">
        <w:rPr>
          <w:rFonts w:ascii="Calibri" w:eastAsia="Times New Roman" w:hAnsi="Calibri" w:cs="Times New Roman"/>
          <w:sz w:val="24"/>
          <w:szCs w:val="24"/>
        </w:rPr>
        <w:t xml:space="preserve">παραγγελιών. Έτσι, ενώ </w:t>
      </w:r>
      <w:r w:rsidR="00790731">
        <w:rPr>
          <w:rFonts w:ascii="Calibri" w:eastAsia="Times New Roman" w:hAnsi="Calibri" w:cs="Times New Roman"/>
          <w:sz w:val="24"/>
          <w:szCs w:val="24"/>
        </w:rPr>
        <w:t>το 22,2% των μικρομεσαίων επιχειρήσεων</w:t>
      </w:r>
      <w:r w:rsidRPr="00A9409B">
        <w:rPr>
          <w:rFonts w:ascii="Calibri" w:eastAsia="Times New Roman" w:hAnsi="Calibri" w:cs="Times New Roman"/>
          <w:sz w:val="24"/>
          <w:szCs w:val="24"/>
        </w:rPr>
        <w:t xml:space="preserve"> δήλωσαν μείωση παραγγελιών, στις πολύ μικρές επιχειρήσεις το ποσοστό αυτό </w:t>
      </w:r>
      <w:r w:rsidR="00790731">
        <w:rPr>
          <w:rFonts w:ascii="Calibri" w:eastAsia="Times New Roman" w:hAnsi="Calibri" w:cs="Times New Roman"/>
          <w:sz w:val="24"/>
          <w:szCs w:val="24"/>
        </w:rPr>
        <w:t>ανήλθε</w:t>
      </w:r>
      <w:r w:rsidRPr="00A9409B">
        <w:rPr>
          <w:rFonts w:ascii="Calibri" w:eastAsia="Times New Roman" w:hAnsi="Calibri" w:cs="Times New Roman"/>
          <w:sz w:val="24"/>
          <w:szCs w:val="24"/>
        </w:rPr>
        <w:t xml:space="preserve"> στο 44,9%, ενώ στις επιχειρήσεις χωρίς προσωπικό </w:t>
      </w:r>
      <w:r w:rsidR="00790731">
        <w:rPr>
          <w:rFonts w:ascii="Calibri" w:eastAsia="Times New Roman" w:hAnsi="Calibri" w:cs="Times New Roman"/>
          <w:sz w:val="24"/>
          <w:szCs w:val="24"/>
        </w:rPr>
        <w:t>σ</w:t>
      </w:r>
      <w:r w:rsidRPr="00A9409B">
        <w:rPr>
          <w:rFonts w:ascii="Calibri" w:eastAsia="Times New Roman" w:hAnsi="Calibri" w:cs="Times New Roman"/>
          <w:sz w:val="24"/>
          <w:szCs w:val="24"/>
        </w:rPr>
        <w:t xml:space="preserve">το 56,7%. </w:t>
      </w:r>
    </w:p>
    <w:tbl>
      <w:tblPr>
        <w:tblW w:w="5000" w:type="pct"/>
        <w:tblLook w:val="04A0" w:firstRow="1" w:lastRow="0" w:firstColumn="1" w:lastColumn="0" w:noHBand="0" w:noVBand="1"/>
      </w:tblPr>
      <w:tblGrid>
        <w:gridCol w:w="1869"/>
        <w:gridCol w:w="3450"/>
        <w:gridCol w:w="2440"/>
        <w:gridCol w:w="2720"/>
      </w:tblGrid>
      <w:tr w:rsidR="00A9409B" w:rsidRPr="00A9409B" w14:paraId="04258109" w14:textId="77777777" w:rsidTr="00790731">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DBE5F1" w:themeFill="accent1" w:themeFillTint="33"/>
            <w:vAlign w:val="bottom"/>
            <w:hideMark/>
          </w:tcPr>
          <w:p w14:paraId="48D086A7" w14:textId="0ADBC71B" w:rsidR="00790731" w:rsidRDefault="00790731" w:rsidP="00973ABE">
            <w:pPr>
              <w:spacing w:after="0" w:line="240" w:lineRule="auto"/>
              <w:jc w:val="center"/>
              <w:rPr>
                <w:rFonts w:ascii="Calibri" w:eastAsia="Times New Roman" w:hAnsi="Calibri" w:cs="Times New Roman"/>
                <w:sz w:val="24"/>
                <w:szCs w:val="24"/>
              </w:rPr>
            </w:pPr>
            <w:r>
              <w:rPr>
                <w:rFonts w:ascii="Calibri" w:eastAsia="Times New Roman" w:hAnsi="Calibri" w:cs="Times New Roman"/>
                <w:sz w:val="24"/>
                <w:szCs w:val="24"/>
              </w:rPr>
              <w:t>Πίνακας 3</w:t>
            </w:r>
          </w:p>
          <w:p w14:paraId="32DC6D78" w14:textId="7E9C2F53" w:rsidR="00A9409B" w:rsidRDefault="00790731" w:rsidP="00973ABE">
            <w:pPr>
              <w:spacing w:after="0" w:line="240" w:lineRule="auto"/>
              <w:jc w:val="center"/>
              <w:rPr>
                <w:rFonts w:ascii="Calibri" w:eastAsia="Times New Roman" w:hAnsi="Calibri" w:cs="Times New Roman"/>
                <w:sz w:val="24"/>
                <w:szCs w:val="24"/>
              </w:rPr>
            </w:pPr>
            <w:r>
              <w:rPr>
                <w:rFonts w:ascii="Calibri" w:eastAsia="Times New Roman" w:hAnsi="Calibri" w:cs="Times New Roman"/>
                <w:sz w:val="24"/>
                <w:szCs w:val="24"/>
              </w:rPr>
              <w:t>Μεταβολή Παραγγελιών Α εξάμηνου 2024</w:t>
            </w:r>
          </w:p>
          <w:p w14:paraId="4B367B50" w14:textId="6C93D696" w:rsidR="00790731" w:rsidRPr="00A9409B" w:rsidRDefault="00790731" w:rsidP="00973ABE">
            <w:pPr>
              <w:spacing w:after="0" w:line="240" w:lineRule="auto"/>
              <w:jc w:val="center"/>
              <w:rPr>
                <w:rFonts w:ascii="Calibri" w:eastAsia="Times New Roman" w:hAnsi="Calibri" w:cs="Times New Roman"/>
                <w:sz w:val="24"/>
                <w:szCs w:val="24"/>
              </w:rPr>
            </w:pPr>
            <w:r w:rsidRPr="00790731">
              <w:rPr>
                <w:rFonts w:ascii="Calibri" w:eastAsia="Times New Roman" w:hAnsi="Calibri" w:cs="Times New Roman"/>
                <w:sz w:val="24"/>
                <w:szCs w:val="24"/>
              </w:rPr>
              <w:t>-</w:t>
            </w:r>
            <w:r w:rsidRPr="00790731">
              <w:rPr>
                <w:rFonts w:ascii="Calibri" w:eastAsia="Times New Roman" w:hAnsi="Calibri" w:cs="Calibri"/>
                <w:color w:val="000000"/>
              </w:rPr>
              <w:t xml:space="preserve"> Επιχειρήσεις βάσει τάξη μεγέθους απασχόλησης-</w:t>
            </w:r>
          </w:p>
        </w:tc>
      </w:tr>
      <w:tr w:rsidR="00A9409B" w:rsidRPr="00A9409B" w14:paraId="0A7992F2" w14:textId="77777777" w:rsidTr="00790731">
        <w:trPr>
          <w:trHeight w:val="600"/>
        </w:trPr>
        <w:tc>
          <w:tcPr>
            <w:tcW w:w="892" w:type="pct"/>
            <w:tcBorders>
              <w:top w:val="nil"/>
              <w:left w:val="single" w:sz="4" w:space="0" w:color="auto"/>
              <w:bottom w:val="single" w:sz="4" w:space="0" w:color="auto"/>
              <w:right w:val="single" w:sz="4" w:space="0" w:color="auto"/>
            </w:tcBorders>
            <w:shd w:val="clear" w:color="D9E1F2" w:fill="D9E1F2"/>
            <w:vAlign w:val="bottom"/>
            <w:hideMark/>
          </w:tcPr>
          <w:p w14:paraId="2DD3E8FF"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Ετικέτες γραμμής</w:t>
            </w:r>
          </w:p>
        </w:tc>
        <w:tc>
          <w:tcPr>
            <w:tcW w:w="1646" w:type="pct"/>
            <w:tcBorders>
              <w:top w:val="nil"/>
              <w:left w:val="nil"/>
              <w:bottom w:val="single" w:sz="4" w:space="0" w:color="auto"/>
              <w:right w:val="single" w:sz="4" w:space="0" w:color="auto"/>
            </w:tcBorders>
            <w:shd w:val="clear" w:color="D9E1F2" w:fill="D9E1F2"/>
            <w:vAlign w:val="bottom"/>
            <w:hideMark/>
          </w:tcPr>
          <w:p w14:paraId="359E575A"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Χωρίς προσωπικό</w:t>
            </w:r>
          </w:p>
        </w:tc>
        <w:tc>
          <w:tcPr>
            <w:tcW w:w="1164" w:type="pct"/>
            <w:tcBorders>
              <w:top w:val="nil"/>
              <w:left w:val="nil"/>
              <w:bottom w:val="single" w:sz="4" w:space="0" w:color="auto"/>
              <w:right w:val="single" w:sz="4" w:space="0" w:color="auto"/>
            </w:tcBorders>
            <w:shd w:val="clear" w:color="D9E1F2" w:fill="D9E1F2"/>
            <w:vAlign w:val="bottom"/>
            <w:hideMark/>
          </w:tcPr>
          <w:p w14:paraId="1689F3EF" w14:textId="7BE6F3E9"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Πολύ μικρή (1-9 εργαζόμενοι</w:t>
            </w:r>
            <w:r w:rsidR="002650CB">
              <w:rPr>
                <w:rFonts w:ascii="Calibri" w:eastAsia="Times New Roman" w:hAnsi="Calibri" w:cs="Times New Roman"/>
                <w:sz w:val="24"/>
                <w:szCs w:val="24"/>
              </w:rPr>
              <w:t>/ες</w:t>
            </w:r>
            <w:r w:rsidRPr="00A9409B">
              <w:rPr>
                <w:rFonts w:ascii="Calibri" w:eastAsia="Times New Roman" w:hAnsi="Calibri" w:cs="Times New Roman"/>
                <w:sz w:val="24"/>
                <w:szCs w:val="24"/>
              </w:rPr>
              <w:t>)</w:t>
            </w:r>
          </w:p>
        </w:tc>
        <w:tc>
          <w:tcPr>
            <w:tcW w:w="1298" w:type="pct"/>
            <w:tcBorders>
              <w:top w:val="nil"/>
              <w:left w:val="nil"/>
              <w:bottom w:val="single" w:sz="4" w:space="0" w:color="auto"/>
              <w:right w:val="single" w:sz="4" w:space="0" w:color="auto"/>
            </w:tcBorders>
            <w:shd w:val="clear" w:color="auto" w:fill="DBE5F1" w:themeFill="accent1" w:themeFillTint="33"/>
            <w:vAlign w:val="bottom"/>
            <w:hideMark/>
          </w:tcPr>
          <w:p w14:paraId="455FE24E"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Μικρή - Μεσαία (10 και άνω άτομα προσωπικό)</w:t>
            </w:r>
          </w:p>
        </w:tc>
      </w:tr>
      <w:tr w:rsidR="00A9409B" w:rsidRPr="00A9409B" w14:paraId="4A864C13" w14:textId="77777777" w:rsidTr="00790731">
        <w:trPr>
          <w:trHeight w:val="300"/>
        </w:trPr>
        <w:tc>
          <w:tcPr>
            <w:tcW w:w="892" w:type="pct"/>
            <w:tcBorders>
              <w:top w:val="nil"/>
              <w:left w:val="single" w:sz="4" w:space="0" w:color="auto"/>
              <w:bottom w:val="single" w:sz="4" w:space="0" w:color="auto"/>
              <w:right w:val="single" w:sz="4" w:space="0" w:color="auto"/>
            </w:tcBorders>
            <w:shd w:val="clear" w:color="auto" w:fill="auto"/>
            <w:vAlign w:val="bottom"/>
            <w:hideMark/>
          </w:tcPr>
          <w:p w14:paraId="750701C3" w14:textId="685D141E" w:rsidR="00A9409B" w:rsidRPr="00A9409B" w:rsidRDefault="00A9409B" w:rsidP="00973ABE">
            <w:pPr>
              <w:spacing w:after="0" w:line="240" w:lineRule="auto"/>
              <w:rPr>
                <w:rFonts w:ascii="Calibri" w:eastAsia="Times New Roman" w:hAnsi="Calibri" w:cs="Times New Roman"/>
                <w:sz w:val="24"/>
                <w:szCs w:val="24"/>
              </w:rPr>
            </w:pPr>
            <w:r w:rsidRPr="00A9409B">
              <w:rPr>
                <w:rFonts w:ascii="Calibri" w:eastAsia="Times New Roman" w:hAnsi="Calibri" w:cs="Times New Roman"/>
                <w:sz w:val="24"/>
                <w:szCs w:val="24"/>
              </w:rPr>
              <w:t>αυξήθηκ</w:t>
            </w:r>
            <w:r w:rsidR="00790731">
              <w:rPr>
                <w:rFonts w:ascii="Calibri" w:eastAsia="Times New Roman" w:hAnsi="Calibri" w:cs="Times New Roman"/>
                <w:sz w:val="24"/>
                <w:szCs w:val="24"/>
              </w:rPr>
              <w:t>αν</w:t>
            </w:r>
          </w:p>
        </w:tc>
        <w:tc>
          <w:tcPr>
            <w:tcW w:w="1646" w:type="pct"/>
            <w:tcBorders>
              <w:top w:val="nil"/>
              <w:left w:val="nil"/>
              <w:bottom w:val="single" w:sz="4" w:space="0" w:color="auto"/>
              <w:right w:val="single" w:sz="4" w:space="0" w:color="auto"/>
            </w:tcBorders>
            <w:shd w:val="clear" w:color="auto" w:fill="auto"/>
            <w:vAlign w:val="bottom"/>
            <w:hideMark/>
          </w:tcPr>
          <w:p w14:paraId="28DB8A5B"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10,2%</w:t>
            </w:r>
          </w:p>
        </w:tc>
        <w:tc>
          <w:tcPr>
            <w:tcW w:w="1164" w:type="pct"/>
            <w:tcBorders>
              <w:top w:val="nil"/>
              <w:left w:val="nil"/>
              <w:bottom w:val="single" w:sz="4" w:space="0" w:color="auto"/>
              <w:right w:val="single" w:sz="4" w:space="0" w:color="auto"/>
            </w:tcBorders>
            <w:shd w:val="clear" w:color="auto" w:fill="auto"/>
            <w:vAlign w:val="bottom"/>
            <w:hideMark/>
          </w:tcPr>
          <w:p w14:paraId="095789EC"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18,5%</w:t>
            </w:r>
          </w:p>
        </w:tc>
        <w:tc>
          <w:tcPr>
            <w:tcW w:w="1298" w:type="pct"/>
            <w:tcBorders>
              <w:top w:val="nil"/>
              <w:left w:val="nil"/>
              <w:bottom w:val="single" w:sz="4" w:space="0" w:color="auto"/>
              <w:right w:val="single" w:sz="4" w:space="0" w:color="auto"/>
            </w:tcBorders>
            <w:shd w:val="clear" w:color="auto" w:fill="auto"/>
            <w:vAlign w:val="bottom"/>
            <w:hideMark/>
          </w:tcPr>
          <w:p w14:paraId="7E52D36F"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39,7%</w:t>
            </w:r>
          </w:p>
        </w:tc>
      </w:tr>
      <w:tr w:rsidR="00A9409B" w:rsidRPr="00A9409B" w14:paraId="5EA4E52C" w14:textId="77777777" w:rsidTr="00790731">
        <w:trPr>
          <w:trHeight w:val="300"/>
        </w:trPr>
        <w:tc>
          <w:tcPr>
            <w:tcW w:w="892" w:type="pct"/>
            <w:tcBorders>
              <w:top w:val="nil"/>
              <w:left w:val="single" w:sz="4" w:space="0" w:color="auto"/>
              <w:bottom w:val="single" w:sz="4" w:space="0" w:color="auto"/>
              <w:right w:val="single" w:sz="4" w:space="0" w:color="auto"/>
            </w:tcBorders>
            <w:shd w:val="clear" w:color="auto" w:fill="auto"/>
            <w:vAlign w:val="bottom"/>
            <w:hideMark/>
          </w:tcPr>
          <w:p w14:paraId="1D214D65" w14:textId="55EFCE5B" w:rsidR="00A9409B" w:rsidRPr="00A9409B" w:rsidRDefault="00A9409B" w:rsidP="00973ABE">
            <w:pPr>
              <w:spacing w:after="0" w:line="240" w:lineRule="auto"/>
              <w:rPr>
                <w:rFonts w:ascii="Calibri" w:eastAsia="Times New Roman" w:hAnsi="Calibri" w:cs="Times New Roman"/>
                <w:sz w:val="24"/>
                <w:szCs w:val="24"/>
              </w:rPr>
            </w:pPr>
            <w:r w:rsidRPr="00A9409B">
              <w:rPr>
                <w:rFonts w:ascii="Calibri" w:eastAsia="Times New Roman" w:hAnsi="Calibri" w:cs="Times New Roman"/>
                <w:sz w:val="24"/>
                <w:szCs w:val="24"/>
              </w:rPr>
              <w:t>αμετάβλητ</w:t>
            </w:r>
            <w:r w:rsidR="00790731">
              <w:rPr>
                <w:rFonts w:ascii="Calibri" w:eastAsia="Times New Roman" w:hAnsi="Calibri" w:cs="Times New Roman"/>
                <w:sz w:val="24"/>
                <w:szCs w:val="24"/>
              </w:rPr>
              <w:t>ες</w:t>
            </w:r>
          </w:p>
        </w:tc>
        <w:tc>
          <w:tcPr>
            <w:tcW w:w="1646" w:type="pct"/>
            <w:tcBorders>
              <w:top w:val="nil"/>
              <w:left w:val="nil"/>
              <w:bottom w:val="single" w:sz="4" w:space="0" w:color="auto"/>
              <w:right w:val="single" w:sz="4" w:space="0" w:color="auto"/>
            </w:tcBorders>
            <w:shd w:val="clear" w:color="auto" w:fill="auto"/>
            <w:vAlign w:val="bottom"/>
            <w:hideMark/>
          </w:tcPr>
          <w:p w14:paraId="21A2E306"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32,4%</w:t>
            </w:r>
          </w:p>
        </w:tc>
        <w:tc>
          <w:tcPr>
            <w:tcW w:w="1164" w:type="pct"/>
            <w:tcBorders>
              <w:top w:val="nil"/>
              <w:left w:val="nil"/>
              <w:bottom w:val="single" w:sz="4" w:space="0" w:color="auto"/>
              <w:right w:val="single" w:sz="4" w:space="0" w:color="auto"/>
            </w:tcBorders>
            <w:shd w:val="clear" w:color="auto" w:fill="auto"/>
            <w:vAlign w:val="bottom"/>
            <w:hideMark/>
          </w:tcPr>
          <w:p w14:paraId="00EC3407"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34,6%</w:t>
            </w:r>
          </w:p>
        </w:tc>
        <w:tc>
          <w:tcPr>
            <w:tcW w:w="1298" w:type="pct"/>
            <w:tcBorders>
              <w:top w:val="nil"/>
              <w:left w:val="nil"/>
              <w:bottom w:val="single" w:sz="4" w:space="0" w:color="auto"/>
              <w:right w:val="single" w:sz="4" w:space="0" w:color="auto"/>
            </w:tcBorders>
            <w:shd w:val="clear" w:color="auto" w:fill="auto"/>
            <w:vAlign w:val="bottom"/>
            <w:hideMark/>
          </w:tcPr>
          <w:p w14:paraId="009491AA"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38,1%</w:t>
            </w:r>
          </w:p>
        </w:tc>
      </w:tr>
      <w:tr w:rsidR="00A9409B" w:rsidRPr="00A9409B" w14:paraId="2DEB53E3" w14:textId="77777777" w:rsidTr="00790731">
        <w:trPr>
          <w:trHeight w:val="300"/>
        </w:trPr>
        <w:tc>
          <w:tcPr>
            <w:tcW w:w="892" w:type="pct"/>
            <w:tcBorders>
              <w:top w:val="nil"/>
              <w:left w:val="single" w:sz="4" w:space="0" w:color="auto"/>
              <w:bottom w:val="single" w:sz="4" w:space="0" w:color="auto"/>
              <w:right w:val="single" w:sz="4" w:space="0" w:color="auto"/>
            </w:tcBorders>
            <w:shd w:val="clear" w:color="auto" w:fill="auto"/>
            <w:vAlign w:val="bottom"/>
            <w:hideMark/>
          </w:tcPr>
          <w:p w14:paraId="76F8BA15" w14:textId="61615223" w:rsidR="00A9409B" w:rsidRPr="00A9409B" w:rsidRDefault="00A9409B" w:rsidP="00973ABE">
            <w:pPr>
              <w:spacing w:after="0" w:line="240" w:lineRule="auto"/>
              <w:rPr>
                <w:rFonts w:ascii="Calibri" w:eastAsia="Times New Roman" w:hAnsi="Calibri" w:cs="Times New Roman"/>
                <w:sz w:val="24"/>
                <w:szCs w:val="24"/>
              </w:rPr>
            </w:pPr>
            <w:r w:rsidRPr="00A9409B">
              <w:rPr>
                <w:rFonts w:ascii="Calibri" w:eastAsia="Times New Roman" w:hAnsi="Calibri" w:cs="Times New Roman"/>
                <w:sz w:val="24"/>
                <w:szCs w:val="24"/>
              </w:rPr>
              <w:t>μειώθηκ</w:t>
            </w:r>
            <w:r w:rsidR="00790731">
              <w:rPr>
                <w:rFonts w:ascii="Calibri" w:eastAsia="Times New Roman" w:hAnsi="Calibri" w:cs="Times New Roman"/>
                <w:sz w:val="24"/>
                <w:szCs w:val="24"/>
              </w:rPr>
              <w:t>αν</w:t>
            </w:r>
          </w:p>
        </w:tc>
        <w:tc>
          <w:tcPr>
            <w:tcW w:w="1646" w:type="pct"/>
            <w:tcBorders>
              <w:top w:val="nil"/>
              <w:left w:val="nil"/>
              <w:bottom w:val="single" w:sz="4" w:space="0" w:color="auto"/>
              <w:right w:val="single" w:sz="4" w:space="0" w:color="auto"/>
            </w:tcBorders>
            <w:shd w:val="clear" w:color="auto" w:fill="auto"/>
            <w:vAlign w:val="bottom"/>
            <w:hideMark/>
          </w:tcPr>
          <w:p w14:paraId="3F07BB34"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56,7%</w:t>
            </w:r>
          </w:p>
        </w:tc>
        <w:tc>
          <w:tcPr>
            <w:tcW w:w="1164" w:type="pct"/>
            <w:tcBorders>
              <w:top w:val="nil"/>
              <w:left w:val="nil"/>
              <w:bottom w:val="single" w:sz="4" w:space="0" w:color="auto"/>
              <w:right w:val="single" w:sz="4" w:space="0" w:color="auto"/>
            </w:tcBorders>
            <w:shd w:val="clear" w:color="auto" w:fill="auto"/>
            <w:vAlign w:val="bottom"/>
            <w:hideMark/>
          </w:tcPr>
          <w:p w14:paraId="26A5923C"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44,9%</w:t>
            </w:r>
          </w:p>
        </w:tc>
        <w:tc>
          <w:tcPr>
            <w:tcW w:w="1298" w:type="pct"/>
            <w:tcBorders>
              <w:top w:val="nil"/>
              <w:left w:val="nil"/>
              <w:bottom w:val="single" w:sz="4" w:space="0" w:color="auto"/>
              <w:right w:val="single" w:sz="4" w:space="0" w:color="auto"/>
            </w:tcBorders>
            <w:shd w:val="clear" w:color="auto" w:fill="auto"/>
            <w:vAlign w:val="bottom"/>
            <w:hideMark/>
          </w:tcPr>
          <w:p w14:paraId="38E7C131" w14:textId="77777777" w:rsidR="00A9409B" w:rsidRPr="00A9409B" w:rsidRDefault="00A9409B" w:rsidP="00973ABE">
            <w:pPr>
              <w:spacing w:after="0" w:line="240" w:lineRule="auto"/>
              <w:jc w:val="center"/>
              <w:rPr>
                <w:rFonts w:ascii="Calibri" w:eastAsia="Times New Roman" w:hAnsi="Calibri" w:cs="Times New Roman"/>
                <w:sz w:val="24"/>
                <w:szCs w:val="24"/>
              </w:rPr>
            </w:pPr>
            <w:r w:rsidRPr="00A9409B">
              <w:rPr>
                <w:rFonts w:ascii="Calibri" w:eastAsia="Times New Roman" w:hAnsi="Calibri" w:cs="Times New Roman"/>
                <w:sz w:val="24"/>
                <w:szCs w:val="24"/>
              </w:rPr>
              <w:t>22,2%</w:t>
            </w:r>
          </w:p>
        </w:tc>
      </w:tr>
    </w:tbl>
    <w:p w14:paraId="56486946" w14:textId="4D883C90" w:rsidR="00EA30F5" w:rsidRDefault="00EA30F5" w:rsidP="00EA30F5">
      <w:pPr>
        <w:spacing w:after="0" w:line="360" w:lineRule="auto"/>
        <w:jc w:val="both"/>
        <w:rPr>
          <w:rFonts w:ascii="Calibri" w:eastAsia="Calibri" w:hAnsi="Calibri" w:cs="Times New Roman"/>
          <w:sz w:val="24"/>
          <w:szCs w:val="24"/>
          <w:highlight w:val="yellow"/>
        </w:rPr>
      </w:pPr>
    </w:p>
    <w:p w14:paraId="7D49A36D" w14:textId="77777777" w:rsidR="002F7E02" w:rsidRPr="007F0E44" w:rsidRDefault="002F7E02" w:rsidP="00EA30F5">
      <w:pPr>
        <w:spacing w:after="0" w:line="360" w:lineRule="auto"/>
        <w:jc w:val="both"/>
        <w:rPr>
          <w:rFonts w:ascii="Calibri" w:eastAsia="Calibri" w:hAnsi="Calibri" w:cs="Times New Roman"/>
          <w:sz w:val="24"/>
          <w:szCs w:val="24"/>
          <w:highlight w:val="yellow"/>
          <w:lang w:val="en-US"/>
        </w:rPr>
      </w:pPr>
    </w:p>
    <w:p w14:paraId="54DFF202" w14:textId="77777777" w:rsidR="00C60420" w:rsidRPr="006F0645" w:rsidRDefault="00C60420" w:rsidP="00700BFC">
      <w:pPr>
        <w:spacing w:after="160" w:line="360" w:lineRule="auto"/>
        <w:jc w:val="both"/>
        <w:rPr>
          <w:rFonts w:ascii="Calibri" w:eastAsia="Calibri" w:hAnsi="Calibri" w:cs="Times New Roman"/>
        </w:rPr>
      </w:pPr>
    </w:p>
    <w:p w14:paraId="0038F96D" w14:textId="4B7BCB5D" w:rsidR="00CA5A18" w:rsidRPr="00DE77D0" w:rsidRDefault="00875508" w:rsidP="0008588D">
      <w:pPr>
        <w:pStyle w:val="a3"/>
        <w:numPr>
          <w:ilvl w:val="0"/>
          <w:numId w:val="4"/>
        </w:numPr>
        <w:spacing w:after="0" w:line="360" w:lineRule="auto"/>
        <w:jc w:val="both"/>
        <w:rPr>
          <w:rFonts w:ascii="Calibri" w:eastAsia="Calibri" w:hAnsi="Calibri" w:cs="Times New Roman"/>
          <w:b/>
          <w:sz w:val="24"/>
          <w:szCs w:val="24"/>
          <w:u w:val="single"/>
        </w:rPr>
      </w:pPr>
      <w:r w:rsidRPr="0071365A">
        <w:rPr>
          <w:rFonts w:ascii="Calibri" w:eastAsia="Calibri" w:hAnsi="Calibri" w:cs="Times New Roman"/>
          <w:b/>
          <w:sz w:val="24"/>
          <w:szCs w:val="24"/>
          <w:u w:val="single"/>
        </w:rPr>
        <w:t xml:space="preserve">Ρευστότητα </w:t>
      </w:r>
    </w:p>
    <w:p w14:paraId="2E70D272" w14:textId="00D604FA" w:rsidR="00CA5A18" w:rsidRDefault="00CA5A18" w:rsidP="00CA5A18">
      <w:pPr>
        <w:spacing w:after="0" w:line="360" w:lineRule="auto"/>
        <w:jc w:val="both"/>
        <w:rPr>
          <w:rFonts w:ascii="Calibri" w:eastAsia="Calibri" w:hAnsi="Calibri" w:cs="Times New Roman"/>
          <w:sz w:val="24"/>
          <w:szCs w:val="24"/>
        </w:rPr>
      </w:pPr>
      <w:r w:rsidRPr="00CA5A18">
        <w:rPr>
          <w:rFonts w:ascii="Calibri" w:eastAsia="Calibri" w:hAnsi="Calibri" w:cs="Times New Roman"/>
          <w:sz w:val="24"/>
          <w:szCs w:val="24"/>
        </w:rPr>
        <w:t>Σε ό</w:t>
      </w:r>
      <w:r w:rsidR="00016444">
        <w:rPr>
          <w:rFonts w:ascii="Calibri" w:eastAsia="Calibri" w:hAnsi="Calibri" w:cs="Times New Roman"/>
          <w:sz w:val="24"/>
          <w:szCs w:val="24"/>
        </w:rPr>
        <w:t>,</w:t>
      </w:r>
      <w:r w:rsidRPr="00CA5A18">
        <w:rPr>
          <w:rFonts w:ascii="Calibri" w:eastAsia="Calibri" w:hAnsi="Calibri" w:cs="Times New Roman"/>
          <w:sz w:val="24"/>
          <w:szCs w:val="24"/>
        </w:rPr>
        <w:t>τι αφορά τη ρευστότητα,</w:t>
      </w:r>
      <w:r>
        <w:rPr>
          <w:rFonts w:ascii="Calibri" w:eastAsia="Calibri" w:hAnsi="Calibri" w:cs="Times New Roman"/>
          <w:sz w:val="24"/>
          <w:szCs w:val="24"/>
        </w:rPr>
        <w:t xml:space="preserve"> </w:t>
      </w:r>
      <w:r w:rsidR="00F83D4F">
        <w:rPr>
          <w:rFonts w:ascii="Calibri" w:eastAsia="Calibri" w:hAnsi="Calibri" w:cs="Times New Roman"/>
          <w:sz w:val="24"/>
          <w:szCs w:val="24"/>
        </w:rPr>
        <w:t xml:space="preserve">το πρώτο εξάμηνο του 2024 </w:t>
      </w:r>
      <w:r>
        <w:rPr>
          <w:rFonts w:ascii="Calibri" w:eastAsia="Calibri" w:hAnsi="Calibri" w:cs="Times New Roman"/>
          <w:sz w:val="24"/>
          <w:szCs w:val="24"/>
        </w:rPr>
        <w:t>παρατηρείται</w:t>
      </w:r>
      <w:r w:rsidRPr="00CA5A18">
        <w:rPr>
          <w:rFonts w:ascii="Calibri" w:eastAsia="Calibri" w:hAnsi="Calibri" w:cs="Times New Roman"/>
          <w:sz w:val="24"/>
          <w:szCs w:val="24"/>
        </w:rPr>
        <w:t xml:space="preserve"> </w:t>
      </w:r>
      <w:r w:rsidR="00F83D4F">
        <w:rPr>
          <w:rFonts w:ascii="Calibri" w:eastAsia="Calibri" w:hAnsi="Calibri" w:cs="Times New Roman"/>
          <w:sz w:val="24"/>
          <w:szCs w:val="24"/>
        </w:rPr>
        <w:t>επιδείνωση σχεδόν για έξι στις δέκα επιχειρήσεις (55,9%)</w:t>
      </w:r>
      <w:r w:rsidR="009B5755">
        <w:rPr>
          <w:rFonts w:ascii="Calibri" w:eastAsia="Calibri" w:hAnsi="Calibri" w:cs="Times New Roman"/>
          <w:sz w:val="24"/>
          <w:szCs w:val="24"/>
        </w:rPr>
        <w:t>,</w:t>
      </w:r>
      <w:r w:rsidR="00F83D4F">
        <w:rPr>
          <w:rFonts w:ascii="Calibri" w:eastAsia="Calibri" w:hAnsi="Calibri" w:cs="Times New Roman"/>
          <w:sz w:val="24"/>
          <w:szCs w:val="24"/>
        </w:rPr>
        <w:t xml:space="preserve"> έναντι λίγο περισσότερων από μία στις δέκα επιχειρήσεις (13,3%) που</w:t>
      </w:r>
      <w:r w:rsidR="007F0E44" w:rsidRPr="007F0E44">
        <w:rPr>
          <w:rFonts w:ascii="Calibri" w:eastAsia="Calibri" w:hAnsi="Calibri" w:cs="Times New Roman"/>
          <w:sz w:val="24"/>
          <w:szCs w:val="24"/>
        </w:rPr>
        <w:t xml:space="preserve"> </w:t>
      </w:r>
      <w:r w:rsidR="007F0E44">
        <w:rPr>
          <w:rFonts w:ascii="Calibri" w:eastAsia="Calibri" w:hAnsi="Calibri" w:cs="Times New Roman"/>
          <w:sz w:val="24"/>
          <w:szCs w:val="24"/>
        </w:rPr>
        <w:t>δήλωσε αύξηση ρευστότητας</w:t>
      </w:r>
      <w:r w:rsidR="00F83D4F">
        <w:rPr>
          <w:rFonts w:ascii="Calibri" w:eastAsia="Calibri" w:hAnsi="Calibri" w:cs="Times New Roman"/>
          <w:sz w:val="24"/>
          <w:szCs w:val="24"/>
        </w:rPr>
        <w:t xml:space="preserve">. Πρόκειται για τη χειρότερη επίδοση στο σύνολο των εξαμήνων μετά την υγειονομική κρίση, συμπεριλαμβανομένης και της </w:t>
      </w:r>
      <w:r w:rsidR="002C7EBD">
        <w:rPr>
          <w:rFonts w:ascii="Calibri" w:eastAsia="Calibri" w:hAnsi="Calibri" w:cs="Times New Roman"/>
          <w:sz w:val="24"/>
          <w:szCs w:val="24"/>
        </w:rPr>
        <w:t xml:space="preserve">περιόδου που χαρακτηρίστηκε από την </w:t>
      </w:r>
      <w:r w:rsidR="00F83D4F">
        <w:rPr>
          <w:rFonts w:ascii="Calibri" w:eastAsia="Calibri" w:hAnsi="Calibri" w:cs="Times New Roman"/>
          <w:sz w:val="24"/>
          <w:szCs w:val="24"/>
        </w:rPr>
        <w:t xml:space="preserve">ενεργειακή κρίση. </w:t>
      </w:r>
      <w:r w:rsidR="002C7EBD">
        <w:rPr>
          <w:rFonts w:ascii="Calibri" w:eastAsia="Calibri" w:hAnsi="Calibri" w:cs="Times New Roman"/>
          <w:sz w:val="24"/>
          <w:szCs w:val="24"/>
        </w:rPr>
        <w:t>Ό</w:t>
      </w:r>
      <w:r w:rsidR="00DD1350">
        <w:rPr>
          <w:rFonts w:ascii="Calibri" w:eastAsia="Calibri" w:hAnsi="Calibri" w:cs="Times New Roman"/>
          <w:sz w:val="24"/>
          <w:szCs w:val="24"/>
        </w:rPr>
        <w:t>πως καταγράφεται διαχρονικά</w:t>
      </w:r>
      <w:r>
        <w:rPr>
          <w:rFonts w:ascii="Calibri" w:eastAsia="Calibri" w:hAnsi="Calibri" w:cs="Times New Roman"/>
          <w:sz w:val="24"/>
          <w:szCs w:val="24"/>
        </w:rPr>
        <w:t xml:space="preserve">, η έλλειψη ρευστότητας παραμένει ένα από τα σημαντικότερα προβλήματα που αντιμετωπίζουν οι μικρές και πολύ μικρές επιχειρήσεις και συνδέεται </w:t>
      </w:r>
      <w:r w:rsidR="002C7EBD">
        <w:rPr>
          <w:rFonts w:ascii="Calibri" w:eastAsia="Calibri" w:hAnsi="Calibri" w:cs="Times New Roman"/>
          <w:sz w:val="24"/>
          <w:szCs w:val="24"/>
        </w:rPr>
        <w:t xml:space="preserve">άμεσα </w:t>
      </w:r>
      <w:r>
        <w:rPr>
          <w:rFonts w:ascii="Calibri" w:eastAsia="Calibri" w:hAnsi="Calibri" w:cs="Times New Roman"/>
          <w:sz w:val="24"/>
          <w:szCs w:val="24"/>
        </w:rPr>
        <w:t>με τις δυσκολίες που υφίστανται</w:t>
      </w:r>
      <w:r w:rsidR="007F0E44">
        <w:rPr>
          <w:rFonts w:ascii="Calibri" w:eastAsia="Calibri" w:hAnsi="Calibri" w:cs="Times New Roman"/>
          <w:sz w:val="24"/>
          <w:szCs w:val="24"/>
        </w:rPr>
        <w:t xml:space="preserve"> ω</w:t>
      </w:r>
      <w:r>
        <w:rPr>
          <w:rFonts w:ascii="Calibri" w:eastAsia="Calibri" w:hAnsi="Calibri" w:cs="Times New Roman"/>
          <w:sz w:val="24"/>
          <w:szCs w:val="24"/>
        </w:rPr>
        <w:t>ς προς την πρόσβασ</w:t>
      </w:r>
      <w:r w:rsidR="00016444">
        <w:rPr>
          <w:rFonts w:ascii="Calibri" w:eastAsia="Calibri" w:hAnsi="Calibri" w:cs="Times New Roman"/>
          <w:sz w:val="24"/>
          <w:szCs w:val="24"/>
        </w:rPr>
        <w:t>ή</w:t>
      </w:r>
      <w:r>
        <w:rPr>
          <w:rFonts w:ascii="Calibri" w:eastAsia="Calibri" w:hAnsi="Calibri" w:cs="Times New Roman"/>
          <w:sz w:val="24"/>
          <w:szCs w:val="24"/>
        </w:rPr>
        <w:t xml:space="preserve"> του</w:t>
      </w:r>
      <w:r w:rsidR="00016444">
        <w:rPr>
          <w:rFonts w:ascii="Calibri" w:eastAsia="Calibri" w:hAnsi="Calibri" w:cs="Times New Roman"/>
          <w:sz w:val="24"/>
          <w:szCs w:val="24"/>
        </w:rPr>
        <w:t>ς</w:t>
      </w:r>
      <w:r>
        <w:rPr>
          <w:rFonts w:ascii="Calibri" w:eastAsia="Calibri" w:hAnsi="Calibri" w:cs="Times New Roman"/>
          <w:sz w:val="24"/>
          <w:szCs w:val="24"/>
        </w:rPr>
        <w:t xml:space="preserve"> σε χρηματοδότηση είτε για κεφάλαια κίνησης, είτε για επενδύσεις. </w:t>
      </w:r>
      <w:r w:rsidR="00DD1350">
        <w:rPr>
          <w:rFonts w:ascii="Calibri" w:eastAsia="Calibri" w:hAnsi="Calibri" w:cs="Times New Roman"/>
          <w:sz w:val="24"/>
          <w:szCs w:val="24"/>
        </w:rPr>
        <w:t xml:space="preserve">Η έλλειψη ρευστότητας </w:t>
      </w:r>
      <w:r w:rsidR="003F035C">
        <w:rPr>
          <w:rFonts w:ascii="Calibri" w:eastAsia="Calibri" w:hAnsi="Calibri" w:cs="Times New Roman"/>
          <w:sz w:val="24"/>
          <w:szCs w:val="24"/>
        </w:rPr>
        <w:t xml:space="preserve">παρατηρείται </w:t>
      </w:r>
      <w:r w:rsidR="00DD1350">
        <w:rPr>
          <w:rFonts w:ascii="Calibri" w:eastAsia="Calibri" w:hAnsi="Calibri" w:cs="Times New Roman"/>
          <w:sz w:val="24"/>
          <w:szCs w:val="24"/>
        </w:rPr>
        <w:t xml:space="preserve">οριζόντια </w:t>
      </w:r>
      <w:r w:rsidR="003F035C">
        <w:rPr>
          <w:rFonts w:ascii="Calibri" w:eastAsia="Calibri" w:hAnsi="Calibri" w:cs="Times New Roman"/>
          <w:sz w:val="24"/>
          <w:szCs w:val="24"/>
        </w:rPr>
        <w:t xml:space="preserve">σε </w:t>
      </w:r>
      <w:r w:rsidR="00DD1350">
        <w:rPr>
          <w:rFonts w:ascii="Calibri" w:eastAsia="Calibri" w:hAnsi="Calibri" w:cs="Times New Roman"/>
          <w:sz w:val="24"/>
          <w:szCs w:val="24"/>
        </w:rPr>
        <w:t xml:space="preserve">όλους τους κλάδους απασχόλησης των </w:t>
      </w:r>
      <w:proofErr w:type="spellStart"/>
      <w:r w:rsidR="00DD1350">
        <w:rPr>
          <w:rFonts w:ascii="Calibri" w:eastAsia="Calibri" w:hAnsi="Calibri" w:cs="Times New Roman"/>
          <w:sz w:val="24"/>
          <w:szCs w:val="24"/>
        </w:rPr>
        <w:t>ΜμΕ</w:t>
      </w:r>
      <w:proofErr w:type="spellEnd"/>
      <w:r w:rsidR="00DD1350">
        <w:rPr>
          <w:rFonts w:ascii="Calibri" w:eastAsia="Calibri" w:hAnsi="Calibri" w:cs="Times New Roman"/>
          <w:sz w:val="24"/>
          <w:szCs w:val="24"/>
        </w:rPr>
        <w:t xml:space="preserve"> </w:t>
      </w:r>
      <w:r w:rsidR="003F035C">
        <w:rPr>
          <w:rFonts w:ascii="Calibri" w:eastAsia="Calibri" w:hAnsi="Calibri" w:cs="Times New Roman"/>
          <w:sz w:val="24"/>
          <w:szCs w:val="24"/>
        </w:rPr>
        <w:t xml:space="preserve">και </w:t>
      </w:r>
      <w:r w:rsidR="00DD1350">
        <w:rPr>
          <w:rFonts w:ascii="Calibri" w:eastAsia="Calibri" w:hAnsi="Calibri" w:cs="Times New Roman"/>
          <w:sz w:val="24"/>
          <w:szCs w:val="24"/>
        </w:rPr>
        <w:t>σε όλη την επικράτεια</w:t>
      </w:r>
      <w:r w:rsidR="003F035C">
        <w:rPr>
          <w:rFonts w:ascii="Calibri" w:eastAsia="Calibri" w:hAnsi="Calibri" w:cs="Times New Roman"/>
          <w:sz w:val="24"/>
          <w:szCs w:val="24"/>
        </w:rPr>
        <w:t>,</w:t>
      </w:r>
      <w:r w:rsidR="00DD1350">
        <w:rPr>
          <w:rFonts w:ascii="Calibri" w:eastAsia="Calibri" w:hAnsi="Calibri" w:cs="Times New Roman"/>
          <w:sz w:val="24"/>
          <w:szCs w:val="24"/>
        </w:rPr>
        <w:t xml:space="preserve"> με μικρές μόνο διαφοροποιήσεις που σχετίζονται με το μέγεθος της επιχείρησης</w:t>
      </w:r>
      <w:r w:rsidR="003F035C">
        <w:rPr>
          <w:rFonts w:ascii="Calibri" w:eastAsia="Calibri" w:hAnsi="Calibri" w:cs="Times New Roman"/>
          <w:sz w:val="24"/>
          <w:szCs w:val="24"/>
        </w:rPr>
        <w:t>,</w:t>
      </w:r>
      <w:r w:rsidR="00DD1350">
        <w:rPr>
          <w:rFonts w:ascii="Calibri" w:eastAsia="Calibri" w:hAnsi="Calibri" w:cs="Times New Roman"/>
          <w:sz w:val="24"/>
          <w:szCs w:val="24"/>
        </w:rPr>
        <w:t xml:space="preserve"> με τις μικρότερες προφανώς να αντιμετωπίζουν πιο έντονο πρόβλημα.</w:t>
      </w:r>
    </w:p>
    <w:p w14:paraId="4E905C8A" w14:textId="6CB528DB" w:rsidR="007F0E44" w:rsidRDefault="007F0E44" w:rsidP="00BD022F">
      <w:pPr>
        <w:spacing w:before="120" w:after="120" w:line="360" w:lineRule="auto"/>
        <w:jc w:val="both"/>
        <w:rPr>
          <w:rFonts w:ascii="Calibri" w:eastAsia="Calibri" w:hAnsi="Calibri" w:cs="Times New Roman"/>
          <w:b/>
          <w:bCs/>
          <w:sz w:val="24"/>
          <w:szCs w:val="24"/>
        </w:rPr>
      </w:pPr>
      <w:r>
        <w:rPr>
          <w:noProof/>
        </w:rPr>
        <w:lastRenderedPageBreak/>
        <w:drawing>
          <wp:inline distT="0" distB="0" distL="0" distR="0" wp14:anchorId="7CED3A36" wp14:editId="7084673F">
            <wp:extent cx="6660515" cy="3556000"/>
            <wp:effectExtent l="0" t="0" r="6985" b="6350"/>
            <wp:docPr id="808241473" name="Γράφημα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E0E1B8C" w14:textId="68066283" w:rsidR="00BD022F" w:rsidRPr="00BD022F" w:rsidRDefault="00BD022F" w:rsidP="00BD022F">
      <w:pPr>
        <w:spacing w:before="120" w:after="120" w:line="360" w:lineRule="auto"/>
        <w:jc w:val="both"/>
        <w:rPr>
          <w:rFonts w:ascii="Calibri" w:eastAsia="Calibri" w:hAnsi="Calibri" w:cs="Times New Roman"/>
          <w:sz w:val="24"/>
          <w:szCs w:val="24"/>
        </w:rPr>
      </w:pPr>
      <w:r w:rsidRPr="00BD022F">
        <w:rPr>
          <w:rFonts w:ascii="Calibri" w:eastAsia="Calibri" w:hAnsi="Calibri" w:cs="Times New Roman"/>
          <w:sz w:val="24"/>
          <w:szCs w:val="24"/>
        </w:rPr>
        <w:t xml:space="preserve">Ενδεικτική της δυσχερούς κατάστασης σχετικά με την πρόσβαση σε χρηματοδοτικές πηγές </w:t>
      </w:r>
      <w:r w:rsidR="000A5346">
        <w:rPr>
          <w:rFonts w:ascii="Calibri" w:eastAsia="Calibri" w:hAnsi="Calibri" w:cs="Times New Roman"/>
          <w:sz w:val="24"/>
          <w:szCs w:val="24"/>
        </w:rPr>
        <w:t xml:space="preserve">των μικρών και πολύ μικρών επιχειρήσεων και ως εκ τούτου την μειωμένη ρευστότητα σε συνθήκες ακρίβειας και αυξημένου λειτουργικού κόστους είναι ότι αφορά το μεγαλύτερο μέρος των επιχειρήσεων αυτών ανεξάρτητα από το μέγεθός τους. </w:t>
      </w:r>
      <w:r w:rsidRPr="00BD022F">
        <w:rPr>
          <w:rFonts w:ascii="Calibri" w:eastAsia="Calibri" w:hAnsi="Calibri" w:cs="Times New Roman"/>
          <w:sz w:val="24"/>
          <w:szCs w:val="24"/>
        </w:rPr>
        <w:t xml:space="preserve">  </w:t>
      </w:r>
      <w:r w:rsidR="000A5346">
        <w:rPr>
          <w:rFonts w:ascii="Calibri" w:eastAsia="Calibri" w:hAnsi="Calibri" w:cs="Times New Roman"/>
          <w:sz w:val="24"/>
          <w:szCs w:val="24"/>
        </w:rPr>
        <w:t>Έτσι</w:t>
      </w:r>
      <w:r w:rsidRPr="00BD022F">
        <w:rPr>
          <w:rFonts w:ascii="Calibri" w:eastAsia="Calibri" w:hAnsi="Calibri" w:cs="Times New Roman"/>
          <w:sz w:val="24"/>
          <w:szCs w:val="24"/>
        </w:rPr>
        <w:t>, το 34,9% των μικρών και μεσαίων επιχειρήσεων (10 άτομα και άνω προσωπικό) δήλωσε μείωση ρευστότητας, με το ποσοστό αυτό να αυξάνεται αισθητά στο 55,7% για τι</w:t>
      </w:r>
      <w:r w:rsidR="00727253">
        <w:rPr>
          <w:rFonts w:ascii="Calibri" w:eastAsia="Calibri" w:hAnsi="Calibri" w:cs="Times New Roman"/>
          <w:sz w:val="24"/>
          <w:szCs w:val="24"/>
        </w:rPr>
        <w:t>ς</w:t>
      </w:r>
      <w:r w:rsidRPr="00BD022F">
        <w:rPr>
          <w:rFonts w:ascii="Calibri" w:eastAsia="Calibri" w:hAnsi="Calibri" w:cs="Times New Roman"/>
          <w:sz w:val="24"/>
          <w:szCs w:val="24"/>
        </w:rPr>
        <w:t xml:space="preserve"> πολύ μικρές επιχειρήσεις (με προσωπικό από 1-9 άτομα) και να εκτοξεύεται στο 60,9% για τις επιχειρήσεις χωρίς προσωπικό. Ωστόσο κι εδώ είναι εμφανές ότι το μέγεθος της επιχείρησης </w:t>
      </w:r>
      <w:r w:rsidR="000A5346">
        <w:rPr>
          <w:rFonts w:ascii="Calibri" w:eastAsia="Calibri" w:hAnsi="Calibri" w:cs="Times New Roman"/>
          <w:sz w:val="24"/>
          <w:szCs w:val="24"/>
        </w:rPr>
        <w:t>σχετίζεται με τη</w:t>
      </w:r>
      <w:r w:rsidR="00727253">
        <w:rPr>
          <w:rFonts w:ascii="Calibri" w:eastAsia="Calibri" w:hAnsi="Calibri" w:cs="Times New Roman"/>
          <w:sz w:val="24"/>
          <w:szCs w:val="24"/>
        </w:rPr>
        <w:t>ν</w:t>
      </w:r>
      <w:r w:rsidR="000A5346">
        <w:rPr>
          <w:rFonts w:ascii="Calibri" w:eastAsia="Calibri" w:hAnsi="Calibri" w:cs="Times New Roman"/>
          <w:sz w:val="24"/>
          <w:szCs w:val="24"/>
        </w:rPr>
        <w:t xml:space="preserve"> εν λόγω μεταβολή</w:t>
      </w:r>
      <w:r w:rsidRPr="00BD022F">
        <w:rPr>
          <w:rFonts w:ascii="Calibri" w:eastAsia="Calibri" w:hAnsi="Calibri" w:cs="Times New Roman"/>
          <w:sz w:val="24"/>
          <w:szCs w:val="24"/>
        </w:rPr>
        <w:t xml:space="preserve">, με τις μεγαλύτερες επιχειρήσεις (10 άτομα και άνω προσωπικό) να παρουσιάζουν το μεγαλύτερο ποσοστό αύξησης στη ρευστότητα (25,4%). Το ποσοστό αυτό μειώνεται στο 14,3% για τις επιχειρήσεις με προσωπικό από 1 έως 9 άτομα, για να </w:t>
      </w:r>
      <w:r w:rsidR="000A5346">
        <w:rPr>
          <w:rFonts w:ascii="Calibri" w:eastAsia="Calibri" w:hAnsi="Calibri" w:cs="Times New Roman"/>
          <w:sz w:val="24"/>
          <w:szCs w:val="24"/>
        </w:rPr>
        <w:t>υποχωρήσει</w:t>
      </w:r>
      <w:r w:rsidRPr="00BD022F">
        <w:rPr>
          <w:rFonts w:ascii="Calibri" w:eastAsia="Calibri" w:hAnsi="Calibri" w:cs="Times New Roman"/>
          <w:sz w:val="24"/>
          <w:szCs w:val="24"/>
        </w:rPr>
        <w:t xml:space="preserve"> στο </w:t>
      </w:r>
      <w:r w:rsidR="004F6B97">
        <w:rPr>
          <w:rFonts w:ascii="Calibri" w:eastAsia="Calibri" w:hAnsi="Calibri" w:cs="Times New Roman"/>
          <w:sz w:val="24"/>
          <w:szCs w:val="24"/>
        </w:rPr>
        <w:t xml:space="preserve">μόλις </w:t>
      </w:r>
      <w:r w:rsidRPr="00BD022F">
        <w:rPr>
          <w:rFonts w:ascii="Calibri" w:eastAsia="Calibri" w:hAnsi="Calibri" w:cs="Times New Roman"/>
          <w:sz w:val="24"/>
          <w:szCs w:val="24"/>
        </w:rPr>
        <w:t>9,2% για τις επιχειρήσεις χωρίς προσωπικό.</w:t>
      </w:r>
    </w:p>
    <w:tbl>
      <w:tblPr>
        <w:tblW w:w="5000" w:type="pct"/>
        <w:tblLook w:val="04A0" w:firstRow="1" w:lastRow="0" w:firstColumn="1" w:lastColumn="0" w:noHBand="0" w:noVBand="1"/>
      </w:tblPr>
      <w:tblGrid>
        <w:gridCol w:w="1941"/>
        <w:gridCol w:w="3133"/>
        <w:gridCol w:w="3079"/>
        <w:gridCol w:w="2326"/>
      </w:tblGrid>
      <w:tr w:rsidR="00BD022F" w:rsidRPr="00BD022F" w14:paraId="5211910A" w14:textId="77777777" w:rsidTr="007F0E44">
        <w:trPr>
          <w:trHeight w:val="297"/>
        </w:trPr>
        <w:tc>
          <w:tcPr>
            <w:tcW w:w="5000" w:type="pct"/>
            <w:gridSpan w:val="4"/>
            <w:tcBorders>
              <w:top w:val="single" w:sz="4" w:space="0" w:color="auto"/>
              <w:left w:val="single" w:sz="4" w:space="0" w:color="auto"/>
              <w:bottom w:val="single" w:sz="4" w:space="0" w:color="auto"/>
              <w:right w:val="single" w:sz="4" w:space="0" w:color="000000"/>
            </w:tcBorders>
            <w:shd w:val="clear" w:color="D9E1F2" w:fill="D9E1F2"/>
            <w:vAlign w:val="bottom"/>
            <w:hideMark/>
          </w:tcPr>
          <w:p w14:paraId="10226A61" w14:textId="2AF81D9F" w:rsidR="004F6B97" w:rsidRDefault="004F6B97" w:rsidP="00BD022F">
            <w:pPr>
              <w:spacing w:after="0" w:line="360" w:lineRule="auto"/>
              <w:jc w:val="center"/>
              <w:rPr>
                <w:rFonts w:ascii="Calibri" w:eastAsia="Calibri" w:hAnsi="Calibri" w:cs="Times New Roman"/>
                <w:sz w:val="24"/>
                <w:szCs w:val="24"/>
              </w:rPr>
            </w:pPr>
            <w:r>
              <w:rPr>
                <w:rFonts w:ascii="Calibri" w:eastAsia="Calibri" w:hAnsi="Calibri" w:cs="Times New Roman"/>
                <w:sz w:val="24"/>
                <w:szCs w:val="24"/>
              </w:rPr>
              <w:t>Πίνακας 4</w:t>
            </w:r>
          </w:p>
          <w:p w14:paraId="01B0EC63" w14:textId="77777777" w:rsidR="00BD022F" w:rsidRDefault="004F6B97" w:rsidP="00BD022F">
            <w:pPr>
              <w:spacing w:after="0" w:line="360" w:lineRule="auto"/>
              <w:jc w:val="center"/>
              <w:rPr>
                <w:rFonts w:ascii="Calibri" w:eastAsia="Calibri" w:hAnsi="Calibri" w:cs="Times New Roman"/>
                <w:sz w:val="24"/>
                <w:szCs w:val="24"/>
              </w:rPr>
            </w:pPr>
            <w:r>
              <w:rPr>
                <w:rFonts w:ascii="Calibri" w:eastAsia="Calibri" w:hAnsi="Calibri" w:cs="Times New Roman"/>
                <w:sz w:val="24"/>
                <w:szCs w:val="24"/>
              </w:rPr>
              <w:t>Μεταβολή ρευστότητας Α εξαμήνου 2024</w:t>
            </w:r>
          </w:p>
          <w:p w14:paraId="0E439757" w14:textId="7B695120" w:rsidR="004F6B97" w:rsidRPr="00BD022F" w:rsidRDefault="004F6B97" w:rsidP="00BD022F">
            <w:pPr>
              <w:spacing w:after="0" w:line="360" w:lineRule="auto"/>
              <w:jc w:val="center"/>
              <w:rPr>
                <w:rFonts w:ascii="Calibri" w:eastAsia="Calibri" w:hAnsi="Calibri" w:cs="Times New Roman"/>
                <w:sz w:val="24"/>
                <w:szCs w:val="24"/>
              </w:rPr>
            </w:pPr>
            <w:r w:rsidRPr="00790731">
              <w:rPr>
                <w:rFonts w:ascii="Calibri" w:eastAsia="Times New Roman" w:hAnsi="Calibri" w:cs="Times New Roman"/>
                <w:sz w:val="24"/>
                <w:szCs w:val="24"/>
              </w:rPr>
              <w:t>-</w:t>
            </w:r>
            <w:r w:rsidRPr="00790731">
              <w:rPr>
                <w:rFonts w:ascii="Calibri" w:eastAsia="Times New Roman" w:hAnsi="Calibri" w:cs="Calibri"/>
                <w:color w:val="000000"/>
              </w:rPr>
              <w:t xml:space="preserve"> Επιχειρήσεις βάσει τάξη μεγέθους απασχόλησης-</w:t>
            </w:r>
          </w:p>
        </w:tc>
      </w:tr>
      <w:tr w:rsidR="00BD022F" w:rsidRPr="00BD022F" w14:paraId="610E9B3D" w14:textId="77777777" w:rsidTr="007F0E44">
        <w:trPr>
          <w:trHeight w:val="506"/>
        </w:trPr>
        <w:tc>
          <w:tcPr>
            <w:tcW w:w="926" w:type="pct"/>
            <w:tcBorders>
              <w:top w:val="nil"/>
              <w:left w:val="single" w:sz="4" w:space="0" w:color="auto"/>
              <w:bottom w:val="single" w:sz="4" w:space="0" w:color="auto"/>
              <w:right w:val="single" w:sz="4" w:space="0" w:color="auto"/>
            </w:tcBorders>
            <w:shd w:val="clear" w:color="D9E1F2" w:fill="D9E1F2"/>
            <w:vAlign w:val="bottom"/>
            <w:hideMark/>
          </w:tcPr>
          <w:p w14:paraId="06F5FB76"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Ετικέτες γραμμής</w:t>
            </w:r>
          </w:p>
        </w:tc>
        <w:tc>
          <w:tcPr>
            <w:tcW w:w="1495" w:type="pct"/>
            <w:tcBorders>
              <w:top w:val="nil"/>
              <w:left w:val="nil"/>
              <w:bottom w:val="single" w:sz="4" w:space="0" w:color="auto"/>
              <w:right w:val="single" w:sz="4" w:space="0" w:color="auto"/>
            </w:tcBorders>
            <w:shd w:val="clear" w:color="D9E1F2" w:fill="D9E1F2"/>
            <w:vAlign w:val="bottom"/>
            <w:hideMark/>
          </w:tcPr>
          <w:p w14:paraId="25BC94A4"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Χωρίς προσωπικό</w:t>
            </w:r>
          </w:p>
        </w:tc>
        <w:tc>
          <w:tcPr>
            <w:tcW w:w="1469" w:type="pct"/>
            <w:tcBorders>
              <w:top w:val="nil"/>
              <w:left w:val="nil"/>
              <w:bottom w:val="single" w:sz="4" w:space="0" w:color="auto"/>
              <w:right w:val="single" w:sz="4" w:space="0" w:color="auto"/>
            </w:tcBorders>
            <w:shd w:val="clear" w:color="D9E1F2" w:fill="D9E1F2"/>
            <w:vAlign w:val="bottom"/>
            <w:hideMark/>
          </w:tcPr>
          <w:p w14:paraId="4E9F28F3" w14:textId="4F5EDAC5"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Πολύ μικρή (1-9 εργαζόμενοι</w:t>
            </w:r>
            <w:r w:rsidR="002650CB">
              <w:rPr>
                <w:rFonts w:ascii="Calibri" w:eastAsia="Calibri" w:hAnsi="Calibri" w:cs="Times New Roman"/>
                <w:sz w:val="24"/>
                <w:szCs w:val="24"/>
              </w:rPr>
              <w:t>/ες</w:t>
            </w:r>
            <w:r w:rsidRPr="00BD022F">
              <w:rPr>
                <w:rFonts w:ascii="Calibri" w:eastAsia="Calibri" w:hAnsi="Calibri" w:cs="Times New Roman"/>
                <w:sz w:val="24"/>
                <w:szCs w:val="24"/>
              </w:rPr>
              <w:t>)</w:t>
            </w:r>
          </w:p>
        </w:tc>
        <w:tc>
          <w:tcPr>
            <w:tcW w:w="1110" w:type="pct"/>
            <w:tcBorders>
              <w:top w:val="nil"/>
              <w:left w:val="nil"/>
              <w:bottom w:val="single" w:sz="4" w:space="0" w:color="auto"/>
              <w:right w:val="single" w:sz="4" w:space="0" w:color="auto"/>
            </w:tcBorders>
            <w:shd w:val="clear" w:color="D9E1F2" w:fill="D9E1F2"/>
            <w:vAlign w:val="bottom"/>
            <w:hideMark/>
          </w:tcPr>
          <w:p w14:paraId="4AF2D628"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Μικρή - Μεσαία (10 και άνω άτομα προσωπικό)</w:t>
            </w:r>
          </w:p>
        </w:tc>
      </w:tr>
      <w:tr w:rsidR="00BD022F" w:rsidRPr="00BD022F" w14:paraId="23D3EBE0" w14:textId="77777777" w:rsidTr="007F0E44">
        <w:trPr>
          <w:trHeight w:val="297"/>
        </w:trPr>
        <w:tc>
          <w:tcPr>
            <w:tcW w:w="926" w:type="pct"/>
            <w:tcBorders>
              <w:top w:val="nil"/>
              <w:left w:val="single" w:sz="4" w:space="0" w:color="auto"/>
              <w:bottom w:val="single" w:sz="4" w:space="0" w:color="auto"/>
              <w:right w:val="single" w:sz="4" w:space="0" w:color="auto"/>
            </w:tcBorders>
            <w:shd w:val="clear" w:color="auto" w:fill="auto"/>
            <w:vAlign w:val="bottom"/>
            <w:hideMark/>
          </w:tcPr>
          <w:p w14:paraId="086663C8"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lastRenderedPageBreak/>
              <w:t>αυξήθηκε</w:t>
            </w:r>
          </w:p>
        </w:tc>
        <w:tc>
          <w:tcPr>
            <w:tcW w:w="1495" w:type="pct"/>
            <w:tcBorders>
              <w:top w:val="nil"/>
              <w:left w:val="nil"/>
              <w:bottom w:val="single" w:sz="4" w:space="0" w:color="auto"/>
              <w:right w:val="single" w:sz="4" w:space="0" w:color="auto"/>
            </w:tcBorders>
            <w:shd w:val="clear" w:color="auto" w:fill="auto"/>
            <w:vAlign w:val="bottom"/>
            <w:hideMark/>
          </w:tcPr>
          <w:p w14:paraId="5B0EA35B"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9,2%</w:t>
            </w:r>
          </w:p>
        </w:tc>
        <w:tc>
          <w:tcPr>
            <w:tcW w:w="1469" w:type="pct"/>
            <w:tcBorders>
              <w:top w:val="nil"/>
              <w:left w:val="nil"/>
              <w:bottom w:val="single" w:sz="4" w:space="0" w:color="auto"/>
              <w:right w:val="single" w:sz="4" w:space="0" w:color="auto"/>
            </w:tcBorders>
            <w:shd w:val="clear" w:color="auto" w:fill="auto"/>
            <w:vAlign w:val="bottom"/>
            <w:hideMark/>
          </w:tcPr>
          <w:p w14:paraId="5B9DC0A2"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14,3%</w:t>
            </w:r>
          </w:p>
        </w:tc>
        <w:tc>
          <w:tcPr>
            <w:tcW w:w="1110" w:type="pct"/>
            <w:tcBorders>
              <w:top w:val="nil"/>
              <w:left w:val="nil"/>
              <w:bottom w:val="single" w:sz="4" w:space="0" w:color="auto"/>
              <w:right w:val="single" w:sz="4" w:space="0" w:color="auto"/>
            </w:tcBorders>
            <w:shd w:val="clear" w:color="auto" w:fill="auto"/>
            <w:vAlign w:val="bottom"/>
            <w:hideMark/>
          </w:tcPr>
          <w:p w14:paraId="4DF3FA3E"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25,4%</w:t>
            </w:r>
          </w:p>
        </w:tc>
      </w:tr>
      <w:tr w:rsidR="00BD022F" w:rsidRPr="00BD022F" w14:paraId="29CCBE34" w14:textId="77777777" w:rsidTr="007F0E44">
        <w:trPr>
          <w:trHeight w:val="297"/>
        </w:trPr>
        <w:tc>
          <w:tcPr>
            <w:tcW w:w="926" w:type="pct"/>
            <w:tcBorders>
              <w:top w:val="nil"/>
              <w:left w:val="single" w:sz="4" w:space="0" w:color="auto"/>
              <w:bottom w:val="single" w:sz="4" w:space="0" w:color="auto"/>
              <w:right w:val="single" w:sz="4" w:space="0" w:color="auto"/>
            </w:tcBorders>
            <w:shd w:val="clear" w:color="auto" w:fill="auto"/>
            <w:vAlign w:val="bottom"/>
            <w:hideMark/>
          </w:tcPr>
          <w:p w14:paraId="140CB191"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αμετάβλητος/η</w:t>
            </w:r>
          </w:p>
        </w:tc>
        <w:tc>
          <w:tcPr>
            <w:tcW w:w="1495" w:type="pct"/>
            <w:tcBorders>
              <w:top w:val="nil"/>
              <w:left w:val="nil"/>
              <w:bottom w:val="single" w:sz="4" w:space="0" w:color="auto"/>
              <w:right w:val="single" w:sz="4" w:space="0" w:color="auto"/>
            </w:tcBorders>
            <w:shd w:val="clear" w:color="auto" w:fill="auto"/>
            <w:vAlign w:val="bottom"/>
            <w:hideMark/>
          </w:tcPr>
          <w:p w14:paraId="4604BC33"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29,2%</w:t>
            </w:r>
          </w:p>
        </w:tc>
        <w:tc>
          <w:tcPr>
            <w:tcW w:w="1469" w:type="pct"/>
            <w:tcBorders>
              <w:top w:val="nil"/>
              <w:left w:val="nil"/>
              <w:bottom w:val="single" w:sz="4" w:space="0" w:color="auto"/>
              <w:right w:val="single" w:sz="4" w:space="0" w:color="auto"/>
            </w:tcBorders>
            <w:shd w:val="clear" w:color="auto" w:fill="auto"/>
            <w:vAlign w:val="bottom"/>
            <w:hideMark/>
          </w:tcPr>
          <w:p w14:paraId="3EB4D708"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28,9%</w:t>
            </w:r>
          </w:p>
        </w:tc>
        <w:tc>
          <w:tcPr>
            <w:tcW w:w="1110" w:type="pct"/>
            <w:tcBorders>
              <w:top w:val="nil"/>
              <w:left w:val="nil"/>
              <w:bottom w:val="single" w:sz="4" w:space="0" w:color="auto"/>
              <w:right w:val="single" w:sz="4" w:space="0" w:color="auto"/>
            </w:tcBorders>
            <w:shd w:val="clear" w:color="auto" w:fill="auto"/>
            <w:vAlign w:val="bottom"/>
            <w:hideMark/>
          </w:tcPr>
          <w:p w14:paraId="3AAA13F7"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39,7%</w:t>
            </w:r>
          </w:p>
        </w:tc>
      </w:tr>
      <w:tr w:rsidR="00BD022F" w:rsidRPr="00BD022F" w14:paraId="1390F120" w14:textId="77777777" w:rsidTr="007F0E44">
        <w:trPr>
          <w:trHeight w:val="297"/>
        </w:trPr>
        <w:tc>
          <w:tcPr>
            <w:tcW w:w="926" w:type="pct"/>
            <w:tcBorders>
              <w:top w:val="nil"/>
              <w:left w:val="single" w:sz="4" w:space="0" w:color="auto"/>
              <w:bottom w:val="single" w:sz="4" w:space="0" w:color="auto"/>
              <w:right w:val="single" w:sz="4" w:space="0" w:color="auto"/>
            </w:tcBorders>
            <w:shd w:val="clear" w:color="auto" w:fill="auto"/>
            <w:vAlign w:val="bottom"/>
            <w:hideMark/>
          </w:tcPr>
          <w:p w14:paraId="2EA991B4"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μειώθηκε</w:t>
            </w:r>
          </w:p>
        </w:tc>
        <w:tc>
          <w:tcPr>
            <w:tcW w:w="1495" w:type="pct"/>
            <w:tcBorders>
              <w:top w:val="nil"/>
              <w:left w:val="nil"/>
              <w:bottom w:val="single" w:sz="4" w:space="0" w:color="auto"/>
              <w:right w:val="single" w:sz="4" w:space="0" w:color="auto"/>
            </w:tcBorders>
            <w:shd w:val="clear" w:color="auto" w:fill="auto"/>
            <w:vAlign w:val="bottom"/>
            <w:hideMark/>
          </w:tcPr>
          <w:p w14:paraId="3A4784CD"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60,9%</w:t>
            </w:r>
          </w:p>
        </w:tc>
        <w:tc>
          <w:tcPr>
            <w:tcW w:w="1469" w:type="pct"/>
            <w:tcBorders>
              <w:top w:val="nil"/>
              <w:left w:val="nil"/>
              <w:bottom w:val="single" w:sz="4" w:space="0" w:color="auto"/>
              <w:right w:val="single" w:sz="4" w:space="0" w:color="auto"/>
            </w:tcBorders>
            <w:shd w:val="clear" w:color="auto" w:fill="auto"/>
            <w:vAlign w:val="bottom"/>
            <w:hideMark/>
          </w:tcPr>
          <w:p w14:paraId="64BE8137"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55,7%</w:t>
            </w:r>
          </w:p>
        </w:tc>
        <w:tc>
          <w:tcPr>
            <w:tcW w:w="1110" w:type="pct"/>
            <w:tcBorders>
              <w:top w:val="nil"/>
              <w:left w:val="nil"/>
              <w:bottom w:val="single" w:sz="4" w:space="0" w:color="auto"/>
              <w:right w:val="single" w:sz="4" w:space="0" w:color="auto"/>
            </w:tcBorders>
            <w:shd w:val="clear" w:color="auto" w:fill="auto"/>
            <w:vAlign w:val="bottom"/>
            <w:hideMark/>
          </w:tcPr>
          <w:p w14:paraId="7B700586" w14:textId="77777777" w:rsidR="00BD022F" w:rsidRPr="00BD022F" w:rsidRDefault="00BD022F" w:rsidP="00BD022F">
            <w:pPr>
              <w:spacing w:after="0" w:line="360" w:lineRule="auto"/>
              <w:jc w:val="center"/>
              <w:rPr>
                <w:rFonts w:ascii="Calibri" w:eastAsia="Calibri" w:hAnsi="Calibri" w:cs="Times New Roman"/>
                <w:sz w:val="24"/>
                <w:szCs w:val="24"/>
              </w:rPr>
            </w:pPr>
            <w:r w:rsidRPr="00BD022F">
              <w:rPr>
                <w:rFonts w:ascii="Calibri" w:eastAsia="Calibri" w:hAnsi="Calibri" w:cs="Times New Roman"/>
                <w:sz w:val="24"/>
                <w:szCs w:val="24"/>
              </w:rPr>
              <w:t>34,9%</w:t>
            </w:r>
          </w:p>
        </w:tc>
      </w:tr>
    </w:tbl>
    <w:p w14:paraId="5EB45587" w14:textId="77777777" w:rsidR="00CA5A18" w:rsidRDefault="00CA5A18" w:rsidP="0008588D">
      <w:pPr>
        <w:spacing w:after="0" w:line="360" w:lineRule="auto"/>
        <w:jc w:val="both"/>
        <w:rPr>
          <w:rFonts w:ascii="Calibri" w:eastAsia="Calibri" w:hAnsi="Calibri" w:cs="Times New Roman"/>
          <w:sz w:val="24"/>
          <w:szCs w:val="24"/>
        </w:rPr>
      </w:pPr>
    </w:p>
    <w:p w14:paraId="42F9B1F2" w14:textId="77777777" w:rsidR="0008588D" w:rsidRPr="00E90916" w:rsidRDefault="0008588D" w:rsidP="00E90916">
      <w:pPr>
        <w:pStyle w:val="a3"/>
        <w:numPr>
          <w:ilvl w:val="0"/>
          <w:numId w:val="4"/>
        </w:numPr>
        <w:spacing w:after="0" w:line="360" w:lineRule="auto"/>
        <w:jc w:val="both"/>
        <w:rPr>
          <w:rFonts w:ascii="Calibri" w:eastAsia="Calibri" w:hAnsi="Calibri" w:cs="Times New Roman"/>
          <w:b/>
          <w:sz w:val="24"/>
          <w:szCs w:val="24"/>
          <w:u w:val="single"/>
        </w:rPr>
      </w:pPr>
      <w:r w:rsidRPr="00E90916">
        <w:rPr>
          <w:rFonts w:ascii="Calibri" w:eastAsia="Calibri" w:hAnsi="Calibri" w:cs="Times New Roman"/>
          <w:b/>
          <w:sz w:val="24"/>
          <w:szCs w:val="24"/>
          <w:u w:val="single"/>
        </w:rPr>
        <w:t>Ταμειακά διαθέσιμα</w:t>
      </w:r>
    </w:p>
    <w:p w14:paraId="0FC4CB2A" w14:textId="120291FF" w:rsidR="00961715" w:rsidRPr="00961715" w:rsidRDefault="00961715" w:rsidP="00961715">
      <w:pPr>
        <w:spacing w:after="0" w:line="360" w:lineRule="auto"/>
        <w:jc w:val="both"/>
        <w:rPr>
          <w:rFonts w:ascii="Calibri" w:eastAsia="Calibri" w:hAnsi="Calibri" w:cs="Times New Roman"/>
          <w:sz w:val="24"/>
          <w:szCs w:val="24"/>
        </w:rPr>
      </w:pPr>
      <w:r>
        <w:rPr>
          <w:rFonts w:ascii="Calibri" w:eastAsia="Calibri" w:hAnsi="Calibri" w:cs="Times New Roman"/>
          <w:sz w:val="24"/>
          <w:szCs w:val="24"/>
        </w:rPr>
        <w:t>Το πρόβλημα ρευστότητας που αντιμετωπίζει ένας αρκετά μεγάλος αριθμός μικρών και πολύ μικρών επιχειρήσεων φαίνεται από τα ρευστά διαθέσιμ</w:t>
      </w:r>
      <w:r w:rsidR="00016444">
        <w:rPr>
          <w:rFonts w:ascii="Calibri" w:eastAsia="Calibri" w:hAnsi="Calibri" w:cs="Times New Roman"/>
          <w:sz w:val="24"/>
          <w:szCs w:val="24"/>
        </w:rPr>
        <w:t>ά</w:t>
      </w:r>
      <w:r>
        <w:rPr>
          <w:rFonts w:ascii="Calibri" w:eastAsia="Calibri" w:hAnsi="Calibri" w:cs="Times New Roman"/>
          <w:sz w:val="24"/>
          <w:szCs w:val="24"/>
        </w:rPr>
        <w:t xml:space="preserve"> τους. Συγκεκριμένα</w:t>
      </w:r>
      <w:r w:rsidR="00016444">
        <w:rPr>
          <w:rFonts w:ascii="Calibri" w:eastAsia="Calibri" w:hAnsi="Calibri" w:cs="Times New Roman"/>
          <w:sz w:val="24"/>
          <w:szCs w:val="24"/>
        </w:rPr>
        <w:t>,</w:t>
      </w:r>
      <w:r>
        <w:rPr>
          <w:rFonts w:ascii="Calibri" w:eastAsia="Calibri" w:hAnsi="Calibri" w:cs="Times New Roman"/>
          <w:sz w:val="24"/>
          <w:szCs w:val="24"/>
        </w:rPr>
        <w:t xml:space="preserve"> </w:t>
      </w:r>
      <w:r w:rsidRPr="00961715">
        <w:rPr>
          <w:rFonts w:ascii="Calibri" w:eastAsia="Calibri" w:hAnsi="Calibri" w:cs="Times New Roman"/>
          <w:sz w:val="24"/>
          <w:szCs w:val="24"/>
        </w:rPr>
        <w:t xml:space="preserve">περισσότερες από τις μισές επιχειρήσεις δεν </w:t>
      </w:r>
      <w:r w:rsidR="00D6170C">
        <w:rPr>
          <w:rFonts w:ascii="Calibri" w:eastAsia="Calibri" w:hAnsi="Calibri" w:cs="Times New Roman"/>
          <w:sz w:val="24"/>
          <w:szCs w:val="24"/>
        </w:rPr>
        <w:t>έχουν</w:t>
      </w:r>
      <w:r w:rsidR="00D6170C" w:rsidRPr="00961715">
        <w:rPr>
          <w:rFonts w:ascii="Calibri" w:eastAsia="Calibri" w:hAnsi="Calibri" w:cs="Times New Roman"/>
          <w:sz w:val="24"/>
          <w:szCs w:val="24"/>
        </w:rPr>
        <w:t xml:space="preserve"> </w:t>
      </w:r>
      <w:r w:rsidRPr="00961715">
        <w:rPr>
          <w:rFonts w:ascii="Calibri" w:eastAsia="Calibri" w:hAnsi="Calibri" w:cs="Times New Roman"/>
          <w:sz w:val="24"/>
          <w:szCs w:val="24"/>
        </w:rPr>
        <w:t>(2</w:t>
      </w:r>
      <w:r w:rsidR="00E50490">
        <w:rPr>
          <w:rFonts w:ascii="Calibri" w:eastAsia="Calibri" w:hAnsi="Calibri" w:cs="Times New Roman"/>
          <w:sz w:val="24"/>
          <w:szCs w:val="24"/>
        </w:rPr>
        <w:t>9,6</w:t>
      </w:r>
      <w:r w:rsidRPr="00961715">
        <w:rPr>
          <w:rFonts w:ascii="Calibri" w:eastAsia="Calibri" w:hAnsi="Calibri" w:cs="Times New Roman"/>
          <w:sz w:val="24"/>
          <w:szCs w:val="24"/>
        </w:rPr>
        <w:t xml:space="preserve">%) ή </w:t>
      </w:r>
      <w:r w:rsidR="00D6170C">
        <w:rPr>
          <w:rFonts w:ascii="Calibri" w:eastAsia="Calibri" w:hAnsi="Calibri" w:cs="Times New Roman"/>
          <w:sz w:val="24"/>
          <w:szCs w:val="24"/>
        </w:rPr>
        <w:t>έχουν</w:t>
      </w:r>
      <w:r w:rsidRPr="00961715">
        <w:rPr>
          <w:rFonts w:ascii="Calibri" w:eastAsia="Calibri" w:hAnsi="Calibri" w:cs="Times New Roman"/>
          <w:sz w:val="24"/>
          <w:szCs w:val="24"/>
        </w:rPr>
        <w:t xml:space="preserve"> το πολύ για ένα μήνα (</w:t>
      </w:r>
      <w:r w:rsidR="00E50490">
        <w:rPr>
          <w:rFonts w:ascii="Calibri" w:eastAsia="Calibri" w:hAnsi="Calibri" w:cs="Times New Roman"/>
          <w:sz w:val="24"/>
          <w:szCs w:val="24"/>
        </w:rPr>
        <w:t>22,5</w:t>
      </w:r>
      <w:r w:rsidRPr="00961715">
        <w:rPr>
          <w:rFonts w:ascii="Calibri" w:eastAsia="Calibri" w:hAnsi="Calibri" w:cs="Times New Roman"/>
          <w:sz w:val="24"/>
          <w:szCs w:val="24"/>
        </w:rPr>
        <w:t xml:space="preserve">%) ταμειακά διαθέσιμα. </w:t>
      </w:r>
    </w:p>
    <w:p w14:paraId="0BB2D4D1" w14:textId="1E98D87A" w:rsidR="00961715" w:rsidRPr="00961715" w:rsidRDefault="00961715" w:rsidP="00961715">
      <w:pPr>
        <w:spacing w:after="0" w:line="360" w:lineRule="auto"/>
        <w:jc w:val="both"/>
        <w:rPr>
          <w:rFonts w:ascii="Calibri" w:eastAsia="Calibri" w:hAnsi="Calibri" w:cs="Times New Roman"/>
          <w:sz w:val="24"/>
          <w:szCs w:val="24"/>
        </w:rPr>
      </w:pPr>
      <w:r w:rsidRPr="00961715">
        <w:rPr>
          <w:rFonts w:ascii="Calibri" w:eastAsia="Calibri" w:hAnsi="Calibri" w:cs="Times New Roman"/>
          <w:sz w:val="24"/>
          <w:szCs w:val="24"/>
        </w:rPr>
        <w:t xml:space="preserve">Η ταμειακή </w:t>
      </w:r>
      <w:r w:rsidR="0063201C">
        <w:rPr>
          <w:rFonts w:ascii="Calibri" w:eastAsia="Calibri" w:hAnsi="Calibri" w:cs="Times New Roman"/>
          <w:sz w:val="24"/>
          <w:szCs w:val="24"/>
        </w:rPr>
        <w:t>επάρκεια</w:t>
      </w:r>
      <w:r w:rsidRPr="00961715">
        <w:rPr>
          <w:rFonts w:ascii="Calibri" w:eastAsia="Calibri" w:hAnsi="Calibri" w:cs="Times New Roman"/>
          <w:sz w:val="24"/>
          <w:szCs w:val="24"/>
        </w:rPr>
        <w:t xml:space="preserve"> των επιχειρήσεων είναι συνυφασμένη με το μέγεθός </w:t>
      </w:r>
      <w:r w:rsidR="00D6170C">
        <w:rPr>
          <w:rFonts w:ascii="Calibri" w:eastAsia="Calibri" w:hAnsi="Calibri" w:cs="Times New Roman"/>
          <w:sz w:val="24"/>
          <w:szCs w:val="24"/>
        </w:rPr>
        <w:t>τους,</w:t>
      </w:r>
      <w:r w:rsidRPr="00961715">
        <w:rPr>
          <w:rFonts w:ascii="Calibri" w:eastAsia="Calibri" w:hAnsi="Calibri" w:cs="Times New Roman"/>
          <w:sz w:val="24"/>
          <w:szCs w:val="24"/>
        </w:rPr>
        <w:t xml:space="preserve"> καθώς οι μικρότερες επιχειρήσεις εμφανίζουν σημαντικά μεγαλύτερη έλλειψη ρευστών διαθ</w:t>
      </w:r>
      <w:r w:rsidR="00913E65">
        <w:rPr>
          <w:rFonts w:ascii="Calibri" w:eastAsia="Calibri" w:hAnsi="Calibri" w:cs="Times New Roman"/>
          <w:sz w:val="24"/>
          <w:szCs w:val="24"/>
        </w:rPr>
        <w:t>ε</w:t>
      </w:r>
      <w:r w:rsidRPr="00961715">
        <w:rPr>
          <w:rFonts w:ascii="Calibri" w:eastAsia="Calibri" w:hAnsi="Calibri" w:cs="Times New Roman"/>
          <w:sz w:val="24"/>
          <w:szCs w:val="24"/>
        </w:rPr>
        <w:t>σ</w:t>
      </w:r>
      <w:r w:rsidR="00913E65">
        <w:rPr>
          <w:rFonts w:ascii="Calibri" w:eastAsia="Calibri" w:hAnsi="Calibri" w:cs="Times New Roman"/>
          <w:sz w:val="24"/>
          <w:szCs w:val="24"/>
        </w:rPr>
        <w:t>ί</w:t>
      </w:r>
      <w:r w:rsidRPr="00961715">
        <w:rPr>
          <w:rFonts w:ascii="Calibri" w:eastAsia="Calibri" w:hAnsi="Calibri" w:cs="Times New Roman"/>
          <w:sz w:val="24"/>
          <w:szCs w:val="24"/>
        </w:rPr>
        <w:t>μων</w:t>
      </w:r>
      <w:r w:rsidR="00913E65">
        <w:rPr>
          <w:rFonts w:ascii="Calibri" w:eastAsia="Calibri" w:hAnsi="Calibri" w:cs="Times New Roman"/>
          <w:sz w:val="24"/>
          <w:szCs w:val="24"/>
        </w:rPr>
        <w:t>,</w:t>
      </w:r>
      <w:r w:rsidRPr="00961715">
        <w:rPr>
          <w:rFonts w:ascii="Calibri" w:eastAsia="Calibri" w:hAnsi="Calibri" w:cs="Times New Roman"/>
          <w:sz w:val="24"/>
          <w:szCs w:val="24"/>
        </w:rPr>
        <w:t xml:space="preserve"> από </w:t>
      </w:r>
      <w:r w:rsidR="00D6170C">
        <w:rPr>
          <w:rFonts w:ascii="Calibri" w:eastAsia="Calibri" w:hAnsi="Calibri" w:cs="Times New Roman"/>
          <w:sz w:val="24"/>
          <w:szCs w:val="24"/>
        </w:rPr>
        <w:t>ότι οι</w:t>
      </w:r>
      <w:r w:rsidRPr="00961715">
        <w:rPr>
          <w:rFonts w:ascii="Calibri" w:eastAsia="Calibri" w:hAnsi="Calibri" w:cs="Times New Roman"/>
          <w:sz w:val="24"/>
          <w:szCs w:val="24"/>
        </w:rPr>
        <w:t xml:space="preserve"> μεγαλύτερες. </w:t>
      </w:r>
      <w:r w:rsidR="00E50490">
        <w:rPr>
          <w:rFonts w:ascii="Calibri" w:eastAsia="Calibri" w:hAnsi="Calibri" w:cs="Times New Roman"/>
          <w:sz w:val="24"/>
          <w:szCs w:val="24"/>
        </w:rPr>
        <w:t>Παρά τις διακυμάνσεις</w:t>
      </w:r>
      <w:r w:rsidR="003F035C">
        <w:rPr>
          <w:rFonts w:ascii="Calibri" w:eastAsia="Calibri" w:hAnsi="Calibri" w:cs="Times New Roman"/>
          <w:sz w:val="24"/>
          <w:szCs w:val="24"/>
        </w:rPr>
        <w:t>,</w:t>
      </w:r>
      <w:r w:rsidR="00E50490">
        <w:rPr>
          <w:rFonts w:ascii="Calibri" w:eastAsia="Calibri" w:hAnsi="Calibri" w:cs="Times New Roman"/>
          <w:sz w:val="24"/>
          <w:szCs w:val="24"/>
        </w:rPr>
        <w:t xml:space="preserve"> </w:t>
      </w:r>
      <w:r w:rsidR="003F035C">
        <w:rPr>
          <w:rFonts w:ascii="Calibri" w:eastAsia="Calibri" w:hAnsi="Calibri" w:cs="Times New Roman"/>
          <w:sz w:val="24"/>
          <w:szCs w:val="24"/>
        </w:rPr>
        <w:t xml:space="preserve">το συγκεκριμένο εξάμηνο </w:t>
      </w:r>
      <w:r w:rsidR="00E50490">
        <w:rPr>
          <w:rFonts w:ascii="Calibri" w:eastAsia="Calibri" w:hAnsi="Calibri" w:cs="Times New Roman"/>
          <w:sz w:val="24"/>
          <w:szCs w:val="24"/>
        </w:rPr>
        <w:t xml:space="preserve">φαίνεται ότι η έλλειψη ταμειακών διαθέσιμων αφορά και μεγαλύτερου μεγέθους επιχειρήσεις. </w:t>
      </w:r>
      <w:r w:rsidR="00476CA4">
        <w:rPr>
          <w:rFonts w:ascii="Calibri" w:eastAsia="Calibri" w:hAnsi="Calibri" w:cs="Times New Roman"/>
          <w:sz w:val="24"/>
          <w:szCs w:val="24"/>
        </w:rPr>
        <w:t>Ειδικά</w:t>
      </w:r>
      <w:r w:rsidRPr="00961715">
        <w:rPr>
          <w:rFonts w:ascii="Calibri" w:eastAsia="Calibri" w:hAnsi="Calibri" w:cs="Times New Roman"/>
          <w:sz w:val="24"/>
          <w:szCs w:val="24"/>
        </w:rPr>
        <w:t xml:space="preserve">, το </w:t>
      </w:r>
      <w:r w:rsidR="00E50490">
        <w:rPr>
          <w:rFonts w:ascii="Calibri" w:eastAsia="Calibri" w:hAnsi="Calibri" w:cs="Times New Roman"/>
          <w:sz w:val="24"/>
          <w:szCs w:val="24"/>
        </w:rPr>
        <w:t>37,8</w:t>
      </w:r>
      <w:r w:rsidRPr="00961715">
        <w:rPr>
          <w:rFonts w:ascii="Calibri" w:eastAsia="Calibri" w:hAnsi="Calibri" w:cs="Times New Roman"/>
          <w:sz w:val="24"/>
          <w:szCs w:val="24"/>
        </w:rPr>
        <w:t>% των επιχειρήσεων με κύκλο εργασιών έως 50.000 € δήλωσ</w:t>
      </w:r>
      <w:r w:rsidR="00476CA4">
        <w:rPr>
          <w:rFonts w:ascii="Calibri" w:eastAsia="Calibri" w:hAnsi="Calibri" w:cs="Times New Roman"/>
          <w:sz w:val="24"/>
          <w:szCs w:val="24"/>
        </w:rPr>
        <w:t>ε</w:t>
      </w:r>
      <w:r w:rsidRPr="00961715">
        <w:rPr>
          <w:rFonts w:ascii="Calibri" w:eastAsia="Calibri" w:hAnsi="Calibri" w:cs="Times New Roman"/>
          <w:sz w:val="24"/>
          <w:szCs w:val="24"/>
        </w:rPr>
        <w:t xml:space="preserve"> ότι δεν έχ</w:t>
      </w:r>
      <w:r w:rsidR="00476CA4">
        <w:rPr>
          <w:rFonts w:ascii="Calibri" w:eastAsia="Calibri" w:hAnsi="Calibri" w:cs="Times New Roman"/>
          <w:sz w:val="24"/>
          <w:szCs w:val="24"/>
        </w:rPr>
        <w:t>ε</w:t>
      </w:r>
      <w:r w:rsidR="00913E65">
        <w:rPr>
          <w:rFonts w:ascii="Calibri" w:eastAsia="Calibri" w:hAnsi="Calibri" w:cs="Times New Roman"/>
          <w:sz w:val="24"/>
          <w:szCs w:val="24"/>
        </w:rPr>
        <w:t>ι</w:t>
      </w:r>
      <w:r w:rsidRPr="00961715">
        <w:rPr>
          <w:rFonts w:ascii="Calibri" w:eastAsia="Calibri" w:hAnsi="Calibri" w:cs="Times New Roman"/>
          <w:sz w:val="24"/>
          <w:szCs w:val="24"/>
        </w:rPr>
        <w:t xml:space="preserve"> καθόλου ταμειακά διαθέσιμα</w:t>
      </w:r>
      <w:r w:rsidR="00E50490">
        <w:rPr>
          <w:rFonts w:ascii="Calibri" w:eastAsia="Calibri" w:hAnsi="Calibri" w:cs="Times New Roman"/>
          <w:sz w:val="24"/>
          <w:szCs w:val="24"/>
        </w:rPr>
        <w:t xml:space="preserve"> και αντίστοιχα το 27% αυτών με κύκλο εργασιών 50.000€ έως 100.000€, το 30,2% με ετήσιο τζίρο 100.000€ έως 300.000€ αλλά και το 14,2% όσων ξεπερνούν σε ετήσιο κύκλο εργασιών τις 300.000€. </w:t>
      </w:r>
      <w:r w:rsidR="003D6138">
        <w:rPr>
          <w:rFonts w:ascii="Calibri" w:eastAsia="Calibri" w:hAnsi="Calibri" w:cs="Times New Roman"/>
          <w:sz w:val="24"/>
          <w:szCs w:val="24"/>
        </w:rPr>
        <w:t>Αξιοσημείωτο είναι ότι περισσότερες από μία στις πέντε επιχειρήσεις όλων των προαναφερόμενων κατηγοριών ετήσιου κύκλου εργασιών διαθέτουν ταμειακά διαθέσιμα το πολύ για ένα</w:t>
      </w:r>
      <w:r w:rsidR="00913E65">
        <w:rPr>
          <w:rFonts w:ascii="Calibri" w:eastAsia="Calibri" w:hAnsi="Calibri" w:cs="Times New Roman"/>
          <w:sz w:val="24"/>
          <w:szCs w:val="24"/>
        </w:rPr>
        <w:t>ν</w:t>
      </w:r>
      <w:r w:rsidR="003D6138">
        <w:rPr>
          <w:rFonts w:ascii="Calibri" w:eastAsia="Calibri" w:hAnsi="Calibri" w:cs="Times New Roman"/>
          <w:sz w:val="24"/>
          <w:szCs w:val="24"/>
        </w:rPr>
        <w:t xml:space="preserve"> μήνα. </w:t>
      </w:r>
      <w:r w:rsidR="00CA2BEC">
        <w:rPr>
          <w:rFonts w:ascii="Calibri" w:eastAsia="Calibri" w:hAnsi="Calibri" w:cs="Times New Roman"/>
          <w:sz w:val="24"/>
          <w:szCs w:val="24"/>
        </w:rPr>
        <w:t xml:space="preserve">Επιπρόσθετα, </w:t>
      </w:r>
      <w:r w:rsidR="003D6138">
        <w:rPr>
          <w:rFonts w:ascii="Calibri" w:eastAsia="Calibri" w:hAnsi="Calibri" w:cs="Times New Roman"/>
          <w:sz w:val="24"/>
          <w:szCs w:val="24"/>
        </w:rPr>
        <w:t xml:space="preserve">η συσχέτιση της ταμειακής </w:t>
      </w:r>
      <w:r w:rsidR="0063201C">
        <w:rPr>
          <w:rFonts w:ascii="Calibri" w:eastAsia="Calibri" w:hAnsi="Calibri" w:cs="Times New Roman"/>
          <w:sz w:val="24"/>
          <w:szCs w:val="24"/>
        </w:rPr>
        <w:t>επάρκειας</w:t>
      </w:r>
      <w:r w:rsidR="003D6138">
        <w:rPr>
          <w:rFonts w:ascii="Calibri" w:eastAsia="Calibri" w:hAnsi="Calibri" w:cs="Times New Roman"/>
          <w:sz w:val="24"/>
          <w:szCs w:val="24"/>
        </w:rPr>
        <w:t xml:space="preserve"> των επιχειρήσεων </w:t>
      </w:r>
      <w:r w:rsidR="00CA2BEC">
        <w:rPr>
          <w:rFonts w:ascii="Calibri" w:eastAsia="Calibri" w:hAnsi="Calibri" w:cs="Times New Roman"/>
          <w:sz w:val="24"/>
          <w:szCs w:val="24"/>
        </w:rPr>
        <w:t xml:space="preserve">με την απασχόληση </w:t>
      </w:r>
      <w:r w:rsidR="003D6138">
        <w:rPr>
          <w:rFonts w:ascii="Calibri" w:eastAsia="Calibri" w:hAnsi="Calibri" w:cs="Times New Roman"/>
          <w:sz w:val="24"/>
          <w:szCs w:val="24"/>
        </w:rPr>
        <w:t>προσωπικ</w:t>
      </w:r>
      <w:r w:rsidR="00CA2BEC">
        <w:rPr>
          <w:rFonts w:ascii="Calibri" w:eastAsia="Calibri" w:hAnsi="Calibri" w:cs="Times New Roman"/>
          <w:sz w:val="24"/>
          <w:szCs w:val="24"/>
        </w:rPr>
        <w:t>ού φαίνεται ότι ενέχει κινδύνους,</w:t>
      </w:r>
      <w:r w:rsidR="003D6138">
        <w:rPr>
          <w:rFonts w:ascii="Calibri" w:eastAsia="Calibri" w:hAnsi="Calibri" w:cs="Times New Roman"/>
          <w:sz w:val="24"/>
          <w:szCs w:val="24"/>
        </w:rPr>
        <w:t xml:space="preserve"> καθώς σχεδόν μία στις πέντε (19,8%) επιχειρήσεις που απασχολούν περισσότερα από πέντε άτομα προσωπικό δηλώνουν μηδενικά ταμειακά διαθέσιμα και σχεδόν αντίστοιχο είναι το ποσοστό αυτών (16,4%) που επαρκούν το πολύ για ένα μήνα. Παρομοίως, οι επιχειρήσεις που απασχολούν 4-5 άτομα δηλώνουν σε ποσοστό 14,8% ότι δεν έχουν καθόλου ταμειακά διαθέσιμα και σε ποσοστό 32,1% ότι αυτά επαρκούν το πολύ για ένα</w:t>
      </w:r>
      <w:r w:rsidR="000B7B44">
        <w:rPr>
          <w:rFonts w:ascii="Calibri" w:eastAsia="Calibri" w:hAnsi="Calibri" w:cs="Times New Roman"/>
          <w:sz w:val="24"/>
          <w:szCs w:val="24"/>
        </w:rPr>
        <w:t>ν</w:t>
      </w:r>
      <w:r w:rsidR="003D6138">
        <w:rPr>
          <w:rFonts w:ascii="Calibri" w:eastAsia="Calibri" w:hAnsi="Calibri" w:cs="Times New Roman"/>
          <w:sz w:val="24"/>
          <w:szCs w:val="24"/>
        </w:rPr>
        <w:t xml:space="preserve"> μήνα. Δυσοίωνη είναι η εικόνα και στις επιχειρήσεις με 2-3 ή 1 εργαζόμενο</w:t>
      </w:r>
      <w:r w:rsidR="002650CB">
        <w:rPr>
          <w:rFonts w:ascii="Calibri" w:eastAsia="Calibri" w:hAnsi="Calibri" w:cs="Times New Roman"/>
          <w:sz w:val="24"/>
          <w:szCs w:val="24"/>
        </w:rPr>
        <w:t>/η</w:t>
      </w:r>
      <w:r w:rsidR="007B0568">
        <w:rPr>
          <w:rFonts w:ascii="Calibri" w:eastAsia="Calibri" w:hAnsi="Calibri" w:cs="Times New Roman"/>
          <w:sz w:val="24"/>
          <w:szCs w:val="24"/>
        </w:rPr>
        <w:t>,</w:t>
      </w:r>
      <w:r w:rsidR="003D6138">
        <w:rPr>
          <w:rFonts w:ascii="Calibri" w:eastAsia="Calibri" w:hAnsi="Calibri" w:cs="Times New Roman"/>
          <w:sz w:val="24"/>
          <w:szCs w:val="24"/>
        </w:rPr>
        <w:t xml:space="preserve"> </w:t>
      </w:r>
      <w:r w:rsidR="007B0568">
        <w:rPr>
          <w:rFonts w:ascii="Calibri" w:eastAsia="Calibri" w:hAnsi="Calibri" w:cs="Times New Roman"/>
          <w:sz w:val="24"/>
          <w:szCs w:val="24"/>
        </w:rPr>
        <w:t>από τις οποίες</w:t>
      </w:r>
      <w:r w:rsidR="003D6138">
        <w:rPr>
          <w:rFonts w:ascii="Calibri" w:eastAsia="Calibri" w:hAnsi="Calibri" w:cs="Times New Roman"/>
          <w:sz w:val="24"/>
          <w:szCs w:val="24"/>
        </w:rPr>
        <w:t xml:space="preserve"> </w:t>
      </w:r>
      <w:r w:rsidR="007B0568">
        <w:rPr>
          <w:rFonts w:ascii="Calibri" w:eastAsia="Calibri" w:hAnsi="Calibri" w:cs="Times New Roman"/>
          <w:sz w:val="24"/>
          <w:szCs w:val="24"/>
        </w:rPr>
        <w:t xml:space="preserve">δηλώνουν </w:t>
      </w:r>
      <w:r w:rsidR="003D6138">
        <w:rPr>
          <w:rFonts w:ascii="Calibri" w:eastAsia="Calibri" w:hAnsi="Calibri" w:cs="Times New Roman"/>
          <w:sz w:val="24"/>
          <w:szCs w:val="24"/>
        </w:rPr>
        <w:t>μηδενικά ταμειακά διαθέσιμα το 24,4</w:t>
      </w:r>
      <w:r w:rsidR="0063201C">
        <w:rPr>
          <w:rFonts w:ascii="Calibri" w:eastAsia="Calibri" w:hAnsi="Calibri" w:cs="Times New Roman"/>
          <w:sz w:val="24"/>
          <w:szCs w:val="24"/>
        </w:rPr>
        <w:t>%</w:t>
      </w:r>
      <w:r w:rsidR="003D6138">
        <w:rPr>
          <w:rFonts w:ascii="Calibri" w:eastAsia="Calibri" w:hAnsi="Calibri" w:cs="Times New Roman"/>
          <w:sz w:val="24"/>
          <w:szCs w:val="24"/>
        </w:rPr>
        <w:t xml:space="preserve"> και το 28,8</w:t>
      </w:r>
      <w:r w:rsidR="0063201C">
        <w:rPr>
          <w:rFonts w:ascii="Calibri" w:eastAsia="Calibri" w:hAnsi="Calibri" w:cs="Times New Roman"/>
          <w:sz w:val="24"/>
          <w:szCs w:val="24"/>
        </w:rPr>
        <w:t>%</w:t>
      </w:r>
      <w:r w:rsidR="003D6138">
        <w:rPr>
          <w:rFonts w:ascii="Calibri" w:eastAsia="Calibri" w:hAnsi="Calibri" w:cs="Times New Roman"/>
          <w:sz w:val="24"/>
          <w:szCs w:val="24"/>
        </w:rPr>
        <w:t xml:space="preserve"> των επιχειρήσεων, ενώ το πολύ για ένα</w:t>
      </w:r>
      <w:r w:rsidR="000B7B44">
        <w:rPr>
          <w:rFonts w:ascii="Calibri" w:eastAsia="Calibri" w:hAnsi="Calibri" w:cs="Times New Roman"/>
          <w:sz w:val="24"/>
          <w:szCs w:val="24"/>
        </w:rPr>
        <w:t>ν</w:t>
      </w:r>
      <w:r w:rsidR="003D6138">
        <w:rPr>
          <w:rFonts w:ascii="Calibri" w:eastAsia="Calibri" w:hAnsi="Calibri" w:cs="Times New Roman"/>
          <w:sz w:val="24"/>
          <w:szCs w:val="24"/>
        </w:rPr>
        <w:t xml:space="preserve"> μήνα επαρκούν τα διαθέσιμα του 31% και </w:t>
      </w:r>
      <w:r w:rsidR="00B5121E">
        <w:rPr>
          <w:rFonts w:ascii="Calibri" w:eastAsia="Calibri" w:hAnsi="Calibri" w:cs="Times New Roman"/>
          <w:sz w:val="24"/>
          <w:szCs w:val="24"/>
        </w:rPr>
        <w:t xml:space="preserve">του 18,8% των επιχειρήσεων αντίστοιχα. </w:t>
      </w:r>
    </w:p>
    <w:p w14:paraId="669AFF22" w14:textId="13A110DD" w:rsidR="00961715" w:rsidRPr="009C7BCE" w:rsidRDefault="00961715" w:rsidP="00961715">
      <w:pPr>
        <w:spacing w:after="0" w:line="360" w:lineRule="auto"/>
        <w:jc w:val="both"/>
        <w:rPr>
          <w:rFonts w:ascii="Calibri" w:eastAsia="Calibri" w:hAnsi="Calibri" w:cs="Times New Roman"/>
          <w:sz w:val="24"/>
          <w:szCs w:val="24"/>
        </w:rPr>
      </w:pPr>
      <w:r w:rsidRPr="00961715">
        <w:rPr>
          <w:rFonts w:ascii="Calibri" w:eastAsia="Calibri" w:hAnsi="Calibri" w:cs="Times New Roman"/>
          <w:sz w:val="24"/>
          <w:szCs w:val="24"/>
        </w:rPr>
        <w:t>Το πρόβλημα της έλλειψης ταμειακών διαθ</w:t>
      </w:r>
      <w:r w:rsidR="000B7B44">
        <w:rPr>
          <w:rFonts w:ascii="Calibri" w:eastAsia="Calibri" w:hAnsi="Calibri" w:cs="Times New Roman"/>
          <w:sz w:val="24"/>
          <w:szCs w:val="24"/>
        </w:rPr>
        <w:t>ε</w:t>
      </w:r>
      <w:r w:rsidRPr="00961715">
        <w:rPr>
          <w:rFonts w:ascii="Calibri" w:eastAsia="Calibri" w:hAnsi="Calibri" w:cs="Times New Roman"/>
          <w:sz w:val="24"/>
          <w:szCs w:val="24"/>
        </w:rPr>
        <w:t>σ</w:t>
      </w:r>
      <w:r w:rsidR="000B7B44">
        <w:rPr>
          <w:rFonts w:ascii="Calibri" w:eastAsia="Calibri" w:hAnsi="Calibri" w:cs="Times New Roman"/>
          <w:sz w:val="24"/>
          <w:szCs w:val="24"/>
        </w:rPr>
        <w:t>ί</w:t>
      </w:r>
      <w:r w:rsidRPr="00961715">
        <w:rPr>
          <w:rFonts w:ascii="Calibri" w:eastAsia="Calibri" w:hAnsi="Calibri" w:cs="Times New Roman"/>
          <w:sz w:val="24"/>
          <w:szCs w:val="24"/>
        </w:rPr>
        <w:t xml:space="preserve">μων διαπερνά το σύνολο των κλάδων δραστηριότητας, αφού μόλις το </w:t>
      </w:r>
      <w:r w:rsidR="00B5121E">
        <w:rPr>
          <w:rFonts w:ascii="Calibri" w:eastAsia="Calibri" w:hAnsi="Calibri" w:cs="Times New Roman"/>
          <w:sz w:val="24"/>
          <w:szCs w:val="24"/>
        </w:rPr>
        <w:t>17</w:t>
      </w:r>
      <w:r w:rsidRPr="00961715">
        <w:rPr>
          <w:rFonts w:ascii="Calibri" w:eastAsia="Calibri" w:hAnsi="Calibri" w:cs="Times New Roman"/>
          <w:sz w:val="24"/>
          <w:szCs w:val="24"/>
        </w:rPr>
        <w:t>,</w:t>
      </w:r>
      <w:r w:rsidR="00B5121E">
        <w:rPr>
          <w:rFonts w:ascii="Calibri" w:eastAsia="Calibri" w:hAnsi="Calibri" w:cs="Times New Roman"/>
          <w:sz w:val="24"/>
          <w:szCs w:val="24"/>
        </w:rPr>
        <w:t>2</w:t>
      </w:r>
      <w:r w:rsidRPr="00961715">
        <w:rPr>
          <w:rFonts w:ascii="Calibri" w:eastAsia="Calibri" w:hAnsi="Calibri" w:cs="Times New Roman"/>
          <w:sz w:val="24"/>
          <w:szCs w:val="24"/>
        </w:rPr>
        <w:t>% των επιχειρήσεων στη μεταποίηση</w:t>
      </w:r>
      <w:r w:rsidR="00D6170C">
        <w:rPr>
          <w:rFonts w:ascii="Calibri" w:eastAsia="Calibri" w:hAnsi="Calibri" w:cs="Times New Roman"/>
          <w:sz w:val="24"/>
          <w:szCs w:val="24"/>
        </w:rPr>
        <w:t>-</w:t>
      </w:r>
      <w:r w:rsidRPr="00961715">
        <w:rPr>
          <w:rFonts w:ascii="Calibri" w:eastAsia="Calibri" w:hAnsi="Calibri" w:cs="Times New Roman"/>
          <w:sz w:val="24"/>
          <w:szCs w:val="24"/>
        </w:rPr>
        <w:t>βιοτεχνία διαθέτουν ταμειακό απόθεμα για περισσότερο από έξι μήνες,</w:t>
      </w:r>
      <w:r w:rsidR="00D6170C">
        <w:rPr>
          <w:rFonts w:ascii="Calibri" w:eastAsia="Calibri" w:hAnsi="Calibri" w:cs="Times New Roman"/>
          <w:sz w:val="24"/>
          <w:szCs w:val="24"/>
        </w:rPr>
        <w:t xml:space="preserve"> όπως και</w:t>
      </w:r>
      <w:r w:rsidRPr="00961715">
        <w:rPr>
          <w:rFonts w:ascii="Calibri" w:eastAsia="Calibri" w:hAnsi="Calibri" w:cs="Times New Roman"/>
          <w:sz w:val="24"/>
          <w:szCs w:val="24"/>
        </w:rPr>
        <w:t xml:space="preserve"> το 1</w:t>
      </w:r>
      <w:r w:rsidR="00B5121E">
        <w:rPr>
          <w:rFonts w:ascii="Calibri" w:eastAsia="Calibri" w:hAnsi="Calibri" w:cs="Times New Roman"/>
          <w:sz w:val="24"/>
          <w:szCs w:val="24"/>
        </w:rPr>
        <w:t>7</w:t>
      </w:r>
      <w:r w:rsidRPr="00961715">
        <w:rPr>
          <w:rFonts w:ascii="Calibri" w:eastAsia="Calibri" w:hAnsi="Calibri" w:cs="Times New Roman"/>
          <w:sz w:val="24"/>
          <w:szCs w:val="24"/>
        </w:rPr>
        <w:t>,</w:t>
      </w:r>
      <w:r w:rsidR="00B5121E">
        <w:rPr>
          <w:rFonts w:ascii="Calibri" w:eastAsia="Calibri" w:hAnsi="Calibri" w:cs="Times New Roman"/>
          <w:sz w:val="24"/>
          <w:szCs w:val="24"/>
        </w:rPr>
        <w:t>8</w:t>
      </w:r>
      <w:r w:rsidRPr="00961715">
        <w:rPr>
          <w:rFonts w:ascii="Calibri" w:eastAsia="Calibri" w:hAnsi="Calibri" w:cs="Times New Roman"/>
          <w:sz w:val="24"/>
          <w:szCs w:val="24"/>
        </w:rPr>
        <w:t>% και το 18,</w:t>
      </w:r>
      <w:r w:rsidR="00B5121E">
        <w:rPr>
          <w:rFonts w:ascii="Calibri" w:eastAsia="Calibri" w:hAnsi="Calibri" w:cs="Times New Roman"/>
          <w:sz w:val="24"/>
          <w:szCs w:val="24"/>
        </w:rPr>
        <w:t>6</w:t>
      </w:r>
      <w:r w:rsidRPr="00961715">
        <w:rPr>
          <w:rFonts w:ascii="Calibri" w:eastAsia="Calibri" w:hAnsi="Calibri" w:cs="Times New Roman"/>
          <w:sz w:val="24"/>
          <w:szCs w:val="24"/>
        </w:rPr>
        <w:t xml:space="preserve">% των επιχειρήσεων του εμπορίου και των υπηρεσιών αντίστοιχα. </w:t>
      </w:r>
      <w:r>
        <w:rPr>
          <w:rFonts w:ascii="Calibri" w:eastAsia="Calibri" w:hAnsi="Calibri" w:cs="Times New Roman"/>
          <w:sz w:val="24"/>
          <w:szCs w:val="24"/>
        </w:rPr>
        <w:t>Από την άλλη μεριά</w:t>
      </w:r>
      <w:r w:rsidR="00D6170C">
        <w:rPr>
          <w:rFonts w:ascii="Calibri" w:eastAsia="Calibri" w:hAnsi="Calibri" w:cs="Times New Roman"/>
          <w:sz w:val="24"/>
          <w:szCs w:val="24"/>
        </w:rPr>
        <w:t>,</w:t>
      </w:r>
      <w:r>
        <w:rPr>
          <w:rFonts w:ascii="Calibri" w:eastAsia="Calibri" w:hAnsi="Calibri" w:cs="Times New Roman"/>
          <w:sz w:val="24"/>
          <w:szCs w:val="24"/>
        </w:rPr>
        <w:t xml:space="preserve"> σοβαρό πρόβλημα ρευστότητας φαίνεται ότι αντιμετωπίζει το </w:t>
      </w:r>
      <w:r w:rsidR="00B5121E">
        <w:rPr>
          <w:rFonts w:ascii="Calibri" w:eastAsia="Calibri" w:hAnsi="Calibri" w:cs="Times New Roman"/>
          <w:sz w:val="24"/>
          <w:szCs w:val="24"/>
        </w:rPr>
        <w:t>35</w:t>
      </w:r>
      <w:r>
        <w:rPr>
          <w:rFonts w:ascii="Calibri" w:eastAsia="Calibri" w:hAnsi="Calibri" w:cs="Times New Roman"/>
          <w:sz w:val="24"/>
          <w:szCs w:val="24"/>
        </w:rPr>
        <w:t>,</w:t>
      </w:r>
      <w:r w:rsidR="00B5121E">
        <w:rPr>
          <w:rFonts w:ascii="Calibri" w:eastAsia="Calibri" w:hAnsi="Calibri" w:cs="Times New Roman"/>
          <w:sz w:val="24"/>
          <w:szCs w:val="24"/>
        </w:rPr>
        <w:t>1</w:t>
      </w:r>
      <w:r>
        <w:rPr>
          <w:rFonts w:ascii="Calibri" w:eastAsia="Calibri" w:hAnsi="Calibri" w:cs="Times New Roman"/>
          <w:sz w:val="24"/>
          <w:szCs w:val="24"/>
        </w:rPr>
        <w:t>% των εμπορικών επιχειρήσεων, το 26,</w:t>
      </w:r>
      <w:r w:rsidR="00B5121E">
        <w:rPr>
          <w:rFonts w:ascii="Calibri" w:eastAsia="Calibri" w:hAnsi="Calibri" w:cs="Times New Roman"/>
          <w:sz w:val="24"/>
          <w:szCs w:val="24"/>
        </w:rPr>
        <w:t>4</w:t>
      </w:r>
      <w:r>
        <w:rPr>
          <w:rFonts w:ascii="Calibri" w:eastAsia="Calibri" w:hAnsi="Calibri" w:cs="Times New Roman"/>
          <w:sz w:val="24"/>
          <w:szCs w:val="24"/>
        </w:rPr>
        <w:t xml:space="preserve">% των επιχειρήσεων στον τομέα των υπηρεσιών και το </w:t>
      </w:r>
      <w:r w:rsidR="00B5121E">
        <w:rPr>
          <w:rFonts w:ascii="Calibri" w:eastAsia="Calibri" w:hAnsi="Calibri" w:cs="Times New Roman"/>
          <w:sz w:val="24"/>
          <w:szCs w:val="24"/>
        </w:rPr>
        <w:t>26</w:t>
      </w:r>
      <w:r>
        <w:rPr>
          <w:rFonts w:ascii="Calibri" w:eastAsia="Calibri" w:hAnsi="Calibri" w:cs="Times New Roman"/>
          <w:sz w:val="24"/>
          <w:szCs w:val="24"/>
        </w:rPr>
        <w:t xml:space="preserve">% </w:t>
      </w:r>
      <w:r>
        <w:rPr>
          <w:rFonts w:ascii="Calibri" w:eastAsia="Calibri" w:hAnsi="Calibri" w:cs="Times New Roman"/>
          <w:sz w:val="24"/>
          <w:szCs w:val="24"/>
        </w:rPr>
        <w:lastRenderedPageBreak/>
        <w:t>των επιχειρήσεων στον τομέα της μεταποίησης</w:t>
      </w:r>
      <w:r w:rsidR="009C7BCE" w:rsidRPr="00D96969">
        <w:rPr>
          <w:rFonts w:ascii="Calibri" w:eastAsia="Calibri" w:hAnsi="Calibri" w:cs="Times New Roman"/>
          <w:sz w:val="24"/>
          <w:szCs w:val="24"/>
        </w:rPr>
        <w:t xml:space="preserve">, </w:t>
      </w:r>
      <w:r w:rsidR="009C7BCE">
        <w:rPr>
          <w:rFonts w:ascii="Calibri" w:eastAsia="Calibri" w:hAnsi="Calibri" w:cs="Times New Roman"/>
          <w:sz w:val="24"/>
          <w:szCs w:val="24"/>
        </w:rPr>
        <w:t xml:space="preserve">δεδομένου ότι τα προαναφερόμενα ποσοστά αφορούν </w:t>
      </w:r>
      <w:r w:rsidR="00D6170C">
        <w:rPr>
          <w:rFonts w:ascii="Calibri" w:eastAsia="Calibri" w:hAnsi="Calibri" w:cs="Times New Roman"/>
          <w:sz w:val="24"/>
          <w:szCs w:val="24"/>
        </w:rPr>
        <w:t xml:space="preserve">σε </w:t>
      </w:r>
      <w:r w:rsidR="009C7BCE">
        <w:rPr>
          <w:rFonts w:ascii="Calibri" w:eastAsia="Calibri" w:hAnsi="Calibri" w:cs="Times New Roman"/>
          <w:sz w:val="24"/>
          <w:szCs w:val="24"/>
        </w:rPr>
        <w:t>επιχειρήσεις με μηδενικά ρευστά διαθέσιμα.</w:t>
      </w:r>
    </w:p>
    <w:p w14:paraId="349D77F0" w14:textId="46C49513" w:rsidR="00961715" w:rsidRDefault="00961715" w:rsidP="00961715">
      <w:pPr>
        <w:spacing w:after="0" w:line="360" w:lineRule="auto"/>
        <w:jc w:val="both"/>
        <w:rPr>
          <w:rFonts w:ascii="Calibri" w:eastAsia="Calibri" w:hAnsi="Calibri" w:cs="Times New Roman"/>
          <w:sz w:val="24"/>
          <w:szCs w:val="24"/>
        </w:rPr>
      </w:pPr>
      <w:r w:rsidRPr="009C7BCE">
        <w:rPr>
          <w:rFonts w:ascii="Calibri" w:eastAsia="Calibri" w:hAnsi="Calibri" w:cs="Times New Roman"/>
          <w:sz w:val="24"/>
          <w:szCs w:val="24"/>
        </w:rPr>
        <w:t>Τέλος, πολύ σοβαρό πρόβλημα</w:t>
      </w:r>
      <w:r w:rsidR="009C7BCE" w:rsidRPr="009C7BCE">
        <w:rPr>
          <w:rFonts w:ascii="Calibri" w:eastAsia="Calibri" w:hAnsi="Calibri" w:cs="Times New Roman"/>
          <w:sz w:val="24"/>
          <w:szCs w:val="24"/>
        </w:rPr>
        <w:t xml:space="preserve"> συνεχίζουν να</w:t>
      </w:r>
      <w:r w:rsidRPr="009C7BCE">
        <w:rPr>
          <w:rFonts w:ascii="Calibri" w:eastAsia="Calibri" w:hAnsi="Calibri" w:cs="Times New Roman"/>
          <w:sz w:val="24"/>
          <w:szCs w:val="24"/>
        </w:rPr>
        <w:t xml:space="preserve"> αντιμετωπίζουν οι επιχειρήσεις εστίασης</w:t>
      </w:r>
      <w:r w:rsidR="007B0568">
        <w:rPr>
          <w:rFonts w:ascii="Calibri" w:eastAsia="Calibri" w:hAnsi="Calibri" w:cs="Times New Roman"/>
          <w:sz w:val="24"/>
          <w:szCs w:val="24"/>
        </w:rPr>
        <w:t>, καθώς</w:t>
      </w:r>
      <w:r w:rsidRPr="009C7BCE">
        <w:rPr>
          <w:rFonts w:ascii="Calibri" w:eastAsia="Calibri" w:hAnsi="Calibri" w:cs="Times New Roman"/>
          <w:sz w:val="24"/>
          <w:szCs w:val="24"/>
        </w:rPr>
        <w:t xml:space="preserve"> το ποσοστό εκείνων που δεν έχουν ταμειακά διαθέσιμα ή τα ταμειακά διαθέσιμα επαρκούν το πολύ για ένα</w:t>
      </w:r>
      <w:r w:rsidR="00FB7A77">
        <w:rPr>
          <w:rFonts w:ascii="Calibri" w:eastAsia="Calibri" w:hAnsi="Calibri" w:cs="Times New Roman"/>
          <w:sz w:val="24"/>
          <w:szCs w:val="24"/>
        </w:rPr>
        <w:t>ν</w:t>
      </w:r>
      <w:r w:rsidRPr="009C7BCE">
        <w:rPr>
          <w:rFonts w:ascii="Calibri" w:eastAsia="Calibri" w:hAnsi="Calibri" w:cs="Times New Roman"/>
          <w:sz w:val="24"/>
          <w:szCs w:val="24"/>
        </w:rPr>
        <w:t xml:space="preserve"> μήνα ανέρχεται στο </w:t>
      </w:r>
      <w:r w:rsidR="009C7BCE" w:rsidRPr="009C7BCE">
        <w:rPr>
          <w:rFonts w:ascii="Calibri" w:eastAsia="Calibri" w:hAnsi="Calibri" w:cs="Times New Roman"/>
          <w:sz w:val="24"/>
          <w:szCs w:val="24"/>
        </w:rPr>
        <w:t>6</w:t>
      </w:r>
      <w:r w:rsidR="007B592E">
        <w:rPr>
          <w:rFonts w:ascii="Calibri" w:eastAsia="Calibri" w:hAnsi="Calibri" w:cs="Times New Roman"/>
          <w:sz w:val="24"/>
          <w:szCs w:val="24"/>
        </w:rPr>
        <w:t>7</w:t>
      </w:r>
      <w:r w:rsidR="009C7BCE" w:rsidRPr="009C7BCE">
        <w:rPr>
          <w:rFonts w:ascii="Calibri" w:eastAsia="Calibri" w:hAnsi="Calibri" w:cs="Times New Roman"/>
          <w:sz w:val="24"/>
          <w:szCs w:val="24"/>
        </w:rPr>
        <w:t>,</w:t>
      </w:r>
      <w:r w:rsidR="007B592E">
        <w:rPr>
          <w:rFonts w:ascii="Calibri" w:eastAsia="Calibri" w:hAnsi="Calibri" w:cs="Times New Roman"/>
          <w:sz w:val="24"/>
          <w:szCs w:val="24"/>
        </w:rPr>
        <w:t>1</w:t>
      </w:r>
      <w:r w:rsidRPr="009C7BCE">
        <w:rPr>
          <w:rFonts w:ascii="Calibri" w:eastAsia="Calibri" w:hAnsi="Calibri" w:cs="Times New Roman"/>
          <w:sz w:val="24"/>
          <w:szCs w:val="24"/>
        </w:rPr>
        <w:t>% (</w:t>
      </w:r>
      <w:r w:rsidR="009C7BCE" w:rsidRPr="009C7BCE">
        <w:rPr>
          <w:rFonts w:ascii="Calibri" w:eastAsia="Calibri" w:hAnsi="Calibri" w:cs="Times New Roman"/>
          <w:sz w:val="24"/>
          <w:szCs w:val="24"/>
        </w:rPr>
        <w:t>30</w:t>
      </w:r>
      <w:r w:rsidRPr="009C7BCE">
        <w:rPr>
          <w:rFonts w:ascii="Calibri" w:eastAsia="Calibri" w:hAnsi="Calibri" w:cs="Times New Roman"/>
          <w:sz w:val="24"/>
          <w:szCs w:val="24"/>
        </w:rPr>
        <w:t>% δεν έχ</w:t>
      </w:r>
      <w:r w:rsidR="00D6170C">
        <w:rPr>
          <w:rFonts w:ascii="Calibri" w:eastAsia="Calibri" w:hAnsi="Calibri" w:cs="Times New Roman"/>
          <w:sz w:val="24"/>
          <w:szCs w:val="24"/>
        </w:rPr>
        <w:t>ει</w:t>
      </w:r>
      <w:r w:rsidRPr="009C7BCE">
        <w:rPr>
          <w:rFonts w:ascii="Calibri" w:eastAsia="Calibri" w:hAnsi="Calibri" w:cs="Times New Roman"/>
          <w:sz w:val="24"/>
          <w:szCs w:val="24"/>
        </w:rPr>
        <w:t xml:space="preserve"> καθόλου ταμειακά διαθέσιμα και </w:t>
      </w:r>
      <w:r w:rsidR="009C7BCE" w:rsidRPr="009C7BCE">
        <w:rPr>
          <w:rFonts w:ascii="Calibri" w:eastAsia="Calibri" w:hAnsi="Calibri" w:cs="Times New Roman"/>
          <w:sz w:val="24"/>
          <w:szCs w:val="24"/>
        </w:rPr>
        <w:t>3</w:t>
      </w:r>
      <w:r w:rsidR="007B592E">
        <w:rPr>
          <w:rFonts w:ascii="Calibri" w:eastAsia="Calibri" w:hAnsi="Calibri" w:cs="Times New Roman"/>
          <w:sz w:val="24"/>
          <w:szCs w:val="24"/>
        </w:rPr>
        <w:t>7,1</w:t>
      </w:r>
      <w:r w:rsidRPr="009C7BCE">
        <w:rPr>
          <w:rFonts w:ascii="Calibri" w:eastAsia="Calibri" w:hAnsi="Calibri" w:cs="Times New Roman"/>
          <w:sz w:val="24"/>
          <w:szCs w:val="24"/>
        </w:rPr>
        <w:t>% έχει ταμειακά διαθέσιμα που επαρκούν το πολύ για ένα</w:t>
      </w:r>
      <w:r w:rsidR="00FB7A77">
        <w:rPr>
          <w:rFonts w:ascii="Calibri" w:eastAsia="Calibri" w:hAnsi="Calibri" w:cs="Times New Roman"/>
          <w:sz w:val="24"/>
          <w:szCs w:val="24"/>
        </w:rPr>
        <w:t>ν</w:t>
      </w:r>
      <w:r w:rsidRPr="009C7BCE">
        <w:rPr>
          <w:rFonts w:ascii="Calibri" w:eastAsia="Calibri" w:hAnsi="Calibri" w:cs="Times New Roman"/>
          <w:sz w:val="24"/>
          <w:szCs w:val="24"/>
        </w:rPr>
        <w:t xml:space="preserve"> μήνα).</w:t>
      </w:r>
      <w:r>
        <w:rPr>
          <w:rFonts w:ascii="Calibri" w:eastAsia="Calibri" w:hAnsi="Calibri" w:cs="Times New Roman"/>
          <w:sz w:val="24"/>
          <w:szCs w:val="24"/>
        </w:rPr>
        <w:t xml:space="preserve"> </w:t>
      </w:r>
    </w:p>
    <w:p w14:paraId="5C113305" w14:textId="500DDD5A" w:rsidR="0063201C" w:rsidRDefault="0063201C" w:rsidP="00BD022F">
      <w:pPr>
        <w:spacing w:before="120" w:after="120" w:line="360" w:lineRule="auto"/>
        <w:jc w:val="both"/>
        <w:rPr>
          <w:rFonts w:ascii="Calibri" w:eastAsia="Calibri" w:hAnsi="Calibri" w:cs="Times New Roman"/>
          <w:b/>
          <w:bCs/>
          <w:sz w:val="24"/>
          <w:szCs w:val="24"/>
        </w:rPr>
      </w:pPr>
      <w:r>
        <w:rPr>
          <w:noProof/>
        </w:rPr>
        <w:drawing>
          <wp:inline distT="0" distB="0" distL="0" distR="0" wp14:anchorId="3EF194AC" wp14:editId="49551CC5">
            <wp:extent cx="6660515" cy="4573905"/>
            <wp:effectExtent l="0" t="0" r="6985" b="17145"/>
            <wp:docPr id="1659612911" name="Γράφημα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BB8A8A" w14:textId="0DD32D92" w:rsidR="00BD022F" w:rsidRPr="00BD022F" w:rsidRDefault="00BD022F" w:rsidP="00BD022F">
      <w:pPr>
        <w:spacing w:before="120" w:after="120" w:line="360" w:lineRule="auto"/>
        <w:jc w:val="both"/>
        <w:rPr>
          <w:rFonts w:ascii="Calibri" w:eastAsia="Calibri" w:hAnsi="Calibri" w:cs="Times New Roman"/>
          <w:sz w:val="24"/>
          <w:szCs w:val="24"/>
        </w:rPr>
      </w:pPr>
      <w:r w:rsidRPr="00BD022F">
        <w:rPr>
          <w:rFonts w:ascii="Calibri" w:eastAsia="Calibri" w:hAnsi="Calibri" w:cs="Times New Roman"/>
          <w:sz w:val="24"/>
          <w:szCs w:val="24"/>
        </w:rPr>
        <w:t>Η εικόνα που σκιαγραφείται όσον αφορά τα ταμειακά διαθέσιμα, αντανακλά τη δυσχερή κατάσταση που περιγράφηκε σχετικά με τις δυνατότητες πρόσβασης των μικρών επιχειρήσεων σε πηγές χρηματοδότησης, επηρεάζοντας, επομένως, σημαντικά τη ρευστότητά τους και συνακόλουθα τη βιωσιμότητα και την αναπτυξιακή τους πορεία. Είναι χαρακτηριστικό ότι το 40,49% των επιχειρήσεων χωρίς προσωπικό δήλωσε ότι δεν υπάρχουν ταμειακά διαθέσιμα, με το ποσοστό αυτό να μειώνεται στο 24,89% για τις πολύ μικρές επιχειρήσεις, ενώ ακόμα μικρότερο είναι το ποσοστό των μεγαλύτερων επιχειρήσεων (με προσωπικό από 10 άτομ</w:t>
      </w:r>
      <w:r w:rsidR="002650CB">
        <w:rPr>
          <w:rFonts w:ascii="Calibri" w:eastAsia="Calibri" w:hAnsi="Calibri" w:cs="Times New Roman"/>
          <w:sz w:val="24"/>
          <w:szCs w:val="24"/>
        </w:rPr>
        <w:t>α</w:t>
      </w:r>
      <w:r w:rsidRPr="00BD022F">
        <w:rPr>
          <w:rFonts w:ascii="Calibri" w:eastAsia="Calibri" w:hAnsi="Calibri" w:cs="Times New Roman"/>
          <w:sz w:val="24"/>
          <w:szCs w:val="24"/>
        </w:rPr>
        <w:t xml:space="preserve"> και άνω) που δήλωσε ότι δεν έχει ταμειακά διαθέσιμα (14,29%). Στον αντίποδα, δηλαδή στην ερώτηση για ύπαρξη ταμειακών διαθεσίμων για περισσότερους από 6 μήνες, αντίστοιχα το </w:t>
      </w:r>
      <w:r w:rsidRPr="00BD022F">
        <w:rPr>
          <w:rFonts w:ascii="Calibri" w:eastAsia="Calibri" w:hAnsi="Calibri" w:cs="Times New Roman"/>
          <w:sz w:val="24"/>
          <w:szCs w:val="24"/>
        </w:rPr>
        <w:lastRenderedPageBreak/>
        <w:t xml:space="preserve">μεγαλύτερο ποσοστό εμφανίζεται στις μεγαλύτερες  σε μέγεθος επιχειρήσεις, με αυτές που έχουν προσωπικό από 10 άτομα και πάνω να δηλώνουν σε ποσοστό 15,87% ότι έχουν ταμειακά διαθέσιμα για περισσότερο από 6 μήνες, ενώ το ποσοστό αυτό πέφτει όσο μικραίνει το μέγεθος της επιχείρησης. Έτσι οι πολύ μικρές επιχειρήσεις (1-9 άτομα προσωπικό) δήλωσαν σε ποσοστό 9,47% ότι έχουν ταμειακά διαθέσιμα για περισσότερο από 6 μήνες, ενώ το ποσοστό αυτό μειώνεται στο μόλις 5,63% για τις επιχειρήσεις χωρίς προσωπικό. </w:t>
      </w:r>
    </w:p>
    <w:tbl>
      <w:tblPr>
        <w:tblW w:w="5000" w:type="pct"/>
        <w:tblLook w:val="04A0" w:firstRow="1" w:lastRow="0" w:firstColumn="1" w:lastColumn="0" w:noHBand="0" w:noVBand="1"/>
      </w:tblPr>
      <w:tblGrid>
        <w:gridCol w:w="3127"/>
        <w:gridCol w:w="1836"/>
        <w:gridCol w:w="2203"/>
        <w:gridCol w:w="3313"/>
      </w:tblGrid>
      <w:tr w:rsidR="00BD022F" w:rsidRPr="00BD022F" w14:paraId="77C45680" w14:textId="77777777" w:rsidTr="0063201C">
        <w:trPr>
          <w:trHeight w:val="285"/>
        </w:trPr>
        <w:tc>
          <w:tcPr>
            <w:tcW w:w="5000" w:type="pct"/>
            <w:gridSpan w:val="4"/>
            <w:tcBorders>
              <w:top w:val="single" w:sz="4" w:space="0" w:color="auto"/>
              <w:left w:val="single" w:sz="4" w:space="0" w:color="auto"/>
              <w:bottom w:val="single" w:sz="4" w:space="0" w:color="auto"/>
              <w:right w:val="single" w:sz="4" w:space="0" w:color="000000"/>
            </w:tcBorders>
            <w:shd w:val="clear" w:color="D9E1F2" w:fill="D9E1F2"/>
            <w:vAlign w:val="bottom"/>
            <w:hideMark/>
          </w:tcPr>
          <w:p w14:paraId="6F667A26" w14:textId="4FB9E4DA" w:rsidR="0063201C" w:rsidRDefault="0063201C" w:rsidP="00973ABE">
            <w:pPr>
              <w:spacing w:after="0" w:line="240" w:lineRule="auto"/>
              <w:jc w:val="center"/>
              <w:rPr>
                <w:rFonts w:ascii="Calibri" w:eastAsia="Calibri" w:hAnsi="Calibri" w:cs="Times New Roman"/>
                <w:sz w:val="24"/>
                <w:szCs w:val="24"/>
              </w:rPr>
            </w:pPr>
            <w:r>
              <w:rPr>
                <w:rFonts w:ascii="Calibri" w:eastAsia="Calibri" w:hAnsi="Calibri" w:cs="Times New Roman"/>
                <w:sz w:val="24"/>
                <w:szCs w:val="24"/>
              </w:rPr>
              <w:t>Πίνακας 5</w:t>
            </w:r>
          </w:p>
          <w:p w14:paraId="7436EA2F" w14:textId="48408CCD" w:rsid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ΤΑΜΕΙΑΚΑ ΔΙΑΘΕΣΙΜΑ</w:t>
            </w:r>
          </w:p>
          <w:p w14:paraId="7EBEC624" w14:textId="79C2FBBD" w:rsidR="0063201C" w:rsidRPr="00BD022F" w:rsidRDefault="0063201C" w:rsidP="00973ABE">
            <w:pPr>
              <w:spacing w:after="0" w:line="240" w:lineRule="auto"/>
              <w:jc w:val="center"/>
              <w:rPr>
                <w:rFonts w:ascii="Calibri" w:eastAsia="Calibri" w:hAnsi="Calibri" w:cs="Times New Roman"/>
                <w:sz w:val="24"/>
                <w:szCs w:val="24"/>
              </w:rPr>
            </w:pPr>
            <w:r w:rsidRPr="00790731">
              <w:rPr>
                <w:rFonts w:ascii="Calibri" w:eastAsia="Times New Roman" w:hAnsi="Calibri" w:cs="Times New Roman"/>
                <w:sz w:val="24"/>
                <w:szCs w:val="24"/>
              </w:rPr>
              <w:t>-</w:t>
            </w:r>
            <w:r w:rsidRPr="00790731">
              <w:rPr>
                <w:rFonts w:ascii="Calibri" w:eastAsia="Times New Roman" w:hAnsi="Calibri" w:cs="Calibri"/>
                <w:color w:val="000000"/>
              </w:rPr>
              <w:t xml:space="preserve"> Επιχειρήσεις βάσει τάξη μεγέθους απασχόλησης-</w:t>
            </w:r>
          </w:p>
        </w:tc>
      </w:tr>
      <w:tr w:rsidR="00BD022F" w:rsidRPr="00BD022F" w14:paraId="07F12AA8" w14:textId="77777777" w:rsidTr="0063201C">
        <w:trPr>
          <w:trHeight w:val="542"/>
        </w:trPr>
        <w:tc>
          <w:tcPr>
            <w:tcW w:w="1492" w:type="pct"/>
            <w:tcBorders>
              <w:top w:val="nil"/>
              <w:left w:val="single" w:sz="4" w:space="0" w:color="auto"/>
              <w:bottom w:val="single" w:sz="4" w:space="0" w:color="auto"/>
              <w:right w:val="single" w:sz="4" w:space="0" w:color="auto"/>
            </w:tcBorders>
            <w:shd w:val="clear" w:color="D9E1F2" w:fill="D9E1F2"/>
            <w:vAlign w:val="bottom"/>
            <w:hideMark/>
          </w:tcPr>
          <w:p w14:paraId="42375D6B" w14:textId="77777777" w:rsidR="00BD022F" w:rsidRPr="00BD022F" w:rsidRDefault="00BD022F" w:rsidP="00973ABE">
            <w:pPr>
              <w:spacing w:after="0" w:line="240" w:lineRule="auto"/>
              <w:jc w:val="center"/>
              <w:rPr>
                <w:rFonts w:ascii="Calibri" w:eastAsia="Calibri" w:hAnsi="Calibri" w:cs="Times New Roman"/>
                <w:sz w:val="24"/>
                <w:szCs w:val="24"/>
              </w:rPr>
            </w:pPr>
          </w:p>
        </w:tc>
        <w:tc>
          <w:tcPr>
            <w:tcW w:w="876" w:type="pct"/>
            <w:tcBorders>
              <w:top w:val="nil"/>
              <w:left w:val="nil"/>
              <w:bottom w:val="single" w:sz="4" w:space="0" w:color="auto"/>
              <w:right w:val="single" w:sz="4" w:space="0" w:color="auto"/>
            </w:tcBorders>
            <w:shd w:val="clear" w:color="D9E1F2" w:fill="D9E1F2"/>
            <w:vAlign w:val="bottom"/>
            <w:hideMark/>
          </w:tcPr>
          <w:p w14:paraId="6107A185"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Χωρίς προσωπικό</w:t>
            </w:r>
          </w:p>
        </w:tc>
        <w:tc>
          <w:tcPr>
            <w:tcW w:w="1051" w:type="pct"/>
            <w:tcBorders>
              <w:top w:val="nil"/>
              <w:left w:val="nil"/>
              <w:bottom w:val="single" w:sz="4" w:space="0" w:color="auto"/>
              <w:right w:val="single" w:sz="4" w:space="0" w:color="auto"/>
            </w:tcBorders>
            <w:shd w:val="clear" w:color="D9E1F2" w:fill="D9E1F2"/>
            <w:vAlign w:val="bottom"/>
            <w:hideMark/>
          </w:tcPr>
          <w:p w14:paraId="7CCC4860" w14:textId="55A0ED0E"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Πολύ μικρή (1-9 εργαζόμενοι</w:t>
            </w:r>
            <w:r w:rsidR="002650CB">
              <w:rPr>
                <w:rFonts w:ascii="Calibri" w:eastAsia="Calibri" w:hAnsi="Calibri" w:cs="Times New Roman"/>
                <w:sz w:val="24"/>
                <w:szCs w:val="24"/>
              </w:rPr>
              <w:t>/ες</w:t>
            </w:r>
            <w:r w:rsidRPr="00BD022F">
              <w:rPr>
                <w:rFonts w:ascii="Calibri" w:eastAsia="Calibri" w:hAnsi="Calibri" w:cs="Times New Roman"/>
                <w:sz w:val="24"/>
                <w:szCs w:val="24"/>
              </w:rPr>
              <w:t>)</w:t>
            </w:r>
          </w:p>
        </w:tc>
        <w:tc>
          <w:tcPr>
            <w:tcW w:w="1581" w:type="pct"/>
            <w:tcBorders>
              <w:top w:val="nil"/>
              <w:left w:val="nil"/>
              <w:bottom w:val="single" w:sz="4" w:space="0" w:color="auto"/>
              <w:right w:val="single" w:sz="4" w:space="0" w:color="auto"/>
            </w:tcBorders>
            <w:shd w:val="clear" w:color="D9E1F2" w:fill="D9E1F2"/>
            <w:vAlign w:val="bottom"/>
            <w:hideMark/>
          </w:tcPr>
          <w:p w14:paraId="44017BA4"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Μικρή - Μεσαία (10 και άνω άτομα προσωπικό)</w:t>
            </w:r>
          </w:p>
        </w:tc>
      </w:tr>
      <w:tr w:rsidR="00BD022F" w:rsidRPr="00BD022F" w14:paraId="0011804B" w14:textId="77777777" w:rsidTr="0063201C">
        <w:trPr>
          <w:trHeight w:val="285"/>
        </w:trPr>
        <w:tc>
          <w:tcPr>
            <w:tcW w:w="1492" w:type="pct"/>
            <w:tcBorders>
              <w:top w:val="nil"/>
              <w:left w:val="single" w:sz="4" w:space="0" w:color="auto"/>
              <w:bottom w:val="single" w:sz="4" w:space="0" w:color="auto"/>
              <w:right w:val="single" w:sz="4" w:space="0" w:color="auto"/>
            </w:tcBorders>
            <w:shd w:val="clear" w:color="auto" w:fill="auto"/>
            <w:vAlign w:val="bottom"/>
            <w:hideMark/>
          </w:tcPr>
          <w:p w14:paraId="49FE2DF9"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Δεν υπάρχουν ταμειακά διαθέσιμα</w:t>
            </w:r>
          </w:p>
        </w:tc>
        <w:tc>
          <w:tcPr>
            <w:tcW w:w="876" w:type="pct"/>
            <w:tcBorders>
              <w:top w:val="nil"/>
              <w:left w:val="nil"/>
              <w:bottom w:val="single" w:sz="4" w:space="0" w:color="auto"/>
              <w:right w:val="single" w:sz="4" w:space="0" w:color="auto"/>
            </w:tcBorders>
            <w:shd w:val="clear" w:color="auto" w:fill="auto"/>
            <w:vAlign w:val="bottom"/>
            <w:hideMark/>
          </w:tcPr>
          <w:p w14:paraId="3736731D"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40,49%</w:t>
            </w:r>
          </w:p>
        </w:tc>
        <w:tc>
          <w:tcPr>
            <w:tcW w:w="1051" w:type="pct"/>
            <w:tcBorders>
              <w:top w:val="nil"/>
              <w:left w:val="nil"/>
              <w:bottom w:val="single" w:sz="4" w:space="0" w:color="auto"/>
              <w:right w:val="single" w:sz="4" w:space="0" w:color="auto"/>
            </w:tcBorders>
            <w:shd w:val="clear" w:color="auto" w:fill="auto"/>
            <w:vAlign w:val="bottom"/>
            <w:hideMark/>
          </w:tcPr>
          <w:p w14:paraId="3EEAE837"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24,89%</w:t>
            </w:r>
          </w:p>
        </w:tc>
        <w:tc>
          <w:tcPr>
            <w:tcW w:w="1581" w:type="pct"/>
            <w:tcBorders>
              <w:top w:val="nil"/>
              <w:left w:val="nil"/>
              <w:bottom w:val="single" w:sz="4" w:space="0" w:color="auto"/>
              <w:right w:val="single" w:sz="4" w:space="0" w:color="auto"/>
            </w:tcBorders>
            <w:shd w:val="clear" w:color="auto" w:fill="auto"/>
            <w:vAlign w:val="bottom"/>
            <w:hideMark/>
          </w:tcPr>
          <w:p w14:paraId="54DB6729"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14,29%</w:t>
            </w:r>
          </w:p>
        </w:tc>
      </w:tr>
      <w:tr w:rsidR="00BD022F" w:rsidRPr="00BD022F" w14:paraId="5737BADC" w14:textId="77777777" w:rsidTr="0063201C">
        <w:trPr>
          <w:trHeight w:val="285"/>
        </w:trPr>
        <w:tc>
          <w:tcPr>
            <w:tcW w:w="1492" w:type="pct"/>
            <w:tcBorders>
              <w:top w:val="nil"/>
              <w:left w:val="single" w:sz="4" w:space="0" w:color="auto"/>
              <w:bottom w:val="single" w:sz="4" w:space="0" w:color="auto"/>
              <w:right w:val="single" w:sz="4" w:space="0" w:color="auto"/>
            </w:tcBorders>
            <w:shd w:val="clear" w:color="auto" w:fill="auto"/>
            <w:vAlign w:val="bottom"/>
            <w:hideMark/>
          </w:tcPr>
          <w:p w14:paraId="3A735C0B"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Λιγότερο από μήνα</w:t>
            </w:r>
          </w:p>
        </w:tc>
        <w:tc>
          <w:tcPr>
            <w:tcW w:w="876" w:type="pct"/>
            <w:tcBorders>
              <w:top w:val="nil"/>
              <w:left w:val="nil"/>
              <w:bottom w:val="single" w:sz="4" w:space="0" w:color="auto"/>
              <w:right w:val="single" w:sz="4" w:space="0" w:color="auto"/>
            </w:tcBorders>
            <w:shd w:val="clear" w:color="auto" w:fill="auto"/>
            <w:vAlign w:val="bottom"/>
            <w:hideMark/>
          </w:tcPr>
          <w:p w14:paraId="769EDE92"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8,80%</w:t>
            </w:r>
          </w:p>
        </w:tc>
        <w:tc>
          <w:tcPr>
            <w:tcW w:w="1051" w:type="pct"/>
            <w:tcBorders>
              <w:top w:val="nil"/>
              <w:left w:val="nil"/>
              <w:bottom w:val="single" w:sz="4" w:space="0" w:color="auto"/>
              <w:right w:val="single" w:sz="4" w:space="0" w:color="auto"/>
            </w:tcBorders>
            <w:shd w:val="clear" w:color="auto" w:fill="auto"/>
            <w:vAlign w:val="bottom"/>
            <w:hideMark/>
          </w:tcPr>
          <w:p w14:paraId="47CD86F1"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6,17%</w:t>
            </w:r>
          </w:p>
        </w:tc>
        <w:tc>
          <w:tcPr>
            <w:tcW w:w="1581" w:type="pct"/>
            <w:tcBorders>
              <w:top w:val="nil"/>
              <w:left w:val="nil"/>
              <w:bottom w:val="single" w:sz="4" w:space="0" w:color="auto"/>
              <w:right w:val="single" w:sz="4" w:space="0" w:color="auto"/>
            </w:tcBorders>
            <w:shd w:val="clear" w:color="auto" w:fill="auto"/>
            <w:vAlign w:val="bottom"/>
            <w:hideMark/>
          </w:tcPr>
          <w:p w14:paraId="32BEA7CA"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7,94%</w:t>
            </w:r>
          </w:p>
        </w:tc>
      </w:tr>
      <w:tr w:rsidR="00BD022F" w:rsidRPr="00BD022F" w14:paraId="065E73F5" w14:textId="77777777" w:rsidTr="0063201C">
        <w:trPr>
          <w:trHeight w:val="285"/>
        </w:trPr>
        <w:tc>
          <w:tcPr>
            <w:tcW w:w="1492" w:type="pct"/>
            <w:tcBorders>
              <w:top w:val="nil"/>
              <w:left w:val="single" w:sz="4" w:space="0" w:color="auto"/>
              <w:bottom w:val="single" w:sz="4" w:space="0" w:color="auto"/>
              <w:right w:val="single" w:sz="4" w:space="0" w:color="auto"/>
            </w:tcBorders>
            <w:shd w:val="clear" w:color="auto" w:fill="auto"/>
            <w:vAlign w:val="bottom"/>
            <w:hideMark/>
          </w:tcPr>
          <w:p w14:paraId="100878E5"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Ένα μήνα</w:t>
            </w:r>
          </w:p>
        </w:tc>
        <w:tc>
          <w:tcPr>
            <w:tcW w:w="876" w:type="pct"/>
            <w:tcBorders>
              <w:top w:val="nil"/>
              <w:left w:val="nil"/>
              <w:bottom w:val="single" w:sz="4" w:space="0" w:color="auto"/>
              <w:right w:val="single" w:sz="4" w:space="0" w:color="auto"/>
            </w:tcBorders>
            <w:shd w:val="clear" w:color="auto" w:fill="auto"/>
            <w:vAlign w:val="bottom"/>
            <w:hideMark/>
          </w:tcPr>
          <w:p w14:paraId="30129D0B"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14,44%</w:t>
            </w:r>
          </w:p>
        </w:tc>
        <w:tc>
          <w:tcPr>
            <w:tcW w:w="1051" w:type="pct"/>
            <w:tcBorders>
              <w:top w:val="nil"/>
              <w:left w:val="nil"/>
              <w:bottom w:val="single" w:sz="4" w:space="0" w:color="auto"/>
              <w:right w:val="single" w:sz="4" w:space="0" w:color="auto"/>
            </w:tcBorders>
            <w:shd w:val="clear" w:color="auto" w:fill="auto"/>
            <w:vAlign w:val="bottom"/>
            <w:hideMark/>
          </w:tcPr>
          <w:p w14:paraId="551F7D25"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16,30%</w:t>
            </w:r>
          </w:p>
        </w:tc>
        <w:tc>
          <w:tcPr>
            <w:tcW w:w="1581" w:type="pct"/>
            <w:tcBorders>
              <w:top w:val="nil"/>
              <w:left w:val="nil"/>
              <w:bottom w:val="single" w:sz="4" w:space="0" w:color="auto"/>
              <w:right w:val="single" w:sz="4" w:space="0" w:color="auto"/>
            </w:tcBorders>
            <w:shd w:val="clear" w:color="auto" w:fill="auto"/>
            <w:vAlign w:val="bottom"/>
            <w:hideMark/>
          </w:tcPr>
          <w:p w14:paraId="3410DF97"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9,52%</w:t>
            </w:r>
          </w:p>
        </w:tc>
      </w:tr>
      <w:tr w:rsidR="00BD022F" w:rsidRPr="00BD022F" w14:paraId="72797AD8" w14:textId="77777777" w:rsidTr="0063201C">
        <w:trPr>
          <w:trHeight w:val="285"/>
        </w:trPr>
        <w:tc>
          <w:tcPr>
            <w:tcW w:w="1492" w:type="pct"/>
            <w:tcBorders>
              <w:top w:val="nil"/>
              <w:left w:val="single" w:sz="4" w:space="0" w:color="auto"/>
              <w:bottom w:val="single" w:sz="4" w:space="0" w:color="auto"/>
              <w:right w:val="single" w:sz="4" w:space="0" w:color="auto"/>
            </w:tcBorders>
            <w:shd w:val="clear" w:color="auto" w:fill="auto"/>
            <w:vAlign w:val="bottom"/>
            <w:hideMark/>
          </w:tcPr>
          <w:p w14:paraId="70933825"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2 μήνες</w:t>
            </w:r>
          </w:p>
        </w:tc>
        <w:tc>
          <w:tcPr>
            <w:tcW w:w="876" w:type="pct"/>
            <w:tcBorders>
              <w:top w:val="nil"/>
              <w:left w:val="nil"/>
              <w:bottom w:val="single" w:sz="4" w:space="0" w:color="auto"/>
              <w:right w:val="single" w:sz="4" w:space="0" w:color="auto"/>
            </w:tcBorders>
            <w:shd w:val="clear" w:color="auto" w:fill="auto"/>
            <w:vAlign w:val="bottom"/>
            <w:hideMark/>
          </w:tcPr>
          <w:p w14:paraId="5ADDE1D8"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7,04%</w:t>
            </w:r>
          </w:p>
        </w:tc>
        <w:tc>
          <w:tcPr>
            <w:tcW w:w="1051" w:type="pct"/>
            <w:tcBorders>
              <w:top w:val="nil"/>
              <w:left w:val="nil"/>
              <w:bottom w:val="single" w:sz="4" w:space="0" w:color="auto"/>
              <w:right w:val="single" w:sz="4" w:space="0" w:color="auto"/>
            </w:tcBorders>
            <w:shd w:val="clear" w:color="auto" w:fill="auto"/>
            <w:vAlign w:val="bottom"/>
            <w:hideMark/>
          </w:tcPr>
          <w:p w14:paraId="0D2E05CC"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9,91%</w:t>
            </w:r>
          </w:p>
        </w:tc>
        <w:tc>
          <w:tcPr>
            <w:tcW w:w="1581" w:type="pct"/>
            <w:tcBorders>
              <w:top w:val="nil"/>
              <w:left w:val="nil"/>
              <w:bottom w:val="single" w:sz="4" w:space="0" w:color="auto"/>
              <w:right w:val="single" w:sz="4" w:space="0" w:color="auto"/>
            </w:tcBorders>
            <w:shd w:val="clear" w:color="auto" w:fill="auto"/>
            <w:vAlign w:val="bottom"/>
            <w:hideMark/>
          </w:tcPr>
          <w:p w14:paraId="39A10CEC"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12,70%</w:t>
            </w:r>
          </w:p>
        </w:tc>
      </w:tr>
      <w:tr w:rsidR="00BD022F" w:rsidRPr="00BD022F" w14:paraId="6D6148F7" w14:textId="77777777" w:rsidTr="0063201C">
        <w:trPr>
          <w:trHeight w:val="285"/>
        </w:trPr>
        <w:tc>
          <w:tcPr>
            <w:tcW w:w="1492" w:type="pct"/>
            <w:tcBorders>
              <w:top w:val="nil"/>
              <w:left w:val="single" w:sz="4" w:space="0" w:color="auto"/>
              <w:bottom w:val="single" w:sz="4" w:space="0" w:color="auto"/>
              <w:right w:val="single" w:sz="4" w:space="0" w:color="auto"/>
            </w:tcBorders>
            <w:shd w:val="clear" w:color="auto" w:fill="auto"/>
            <w:vAlign w:val="bottom"/>
            <w:hideMark/>
          </w:tcPr>
          <w:p w14:paraId="396AAAC1"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3 - 4 μήνες</w:t>
            </w:r>
          </w:p>
        </w:tc>
        <w:tc>
          <w:tcPr>
            <w:tcW w:w="876" w:type="pct"/>
            <w:tcBorders>
              <w:top w:val="nil"/>
              <w:left w:val="nil"/>
              <w:bottom w:val="single" w:sz="4" w:space="0" w:color="auto"/>
              <w:right w:val="single" w:sz="4" w:space="0" w:color="auto"/>
            </w:tcBorders>
            <w:shd w:val="clear" w:color="auto" w:fill="auto"/>
            <w:vAlign w:val="bottom"/>
            <w:hideMark/>
          </w:tcPr>
          <w:p w14:paraId="4C25725F"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7,04%</w:t>
            </w:r>
          </w:p>
        </w:tc>
        <w:tc>
          <w:tcPr>
            <w:tcW w:w="1051" w:type="pct"/>
            <w:tcBorders>
              <w:top w:val="nil"/>
              <w:left w:val="nil"/>
              <w:bottom w:val="single" w:sz="4" w:space="0" w:color="auto"/>
              <w:right w:val="single" w:sz="4" w:space="0" w:color="auto"/>
            </w:tcBorders>
            <w:shd w:val="clear" w:color="auto" w:fill="auto"/>
            <w:vAlign w:val="bottom"/>
            <w:hideMark/>
          </w:tcPr>
          <w:p w14:paraId="53A1928F"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14,76%</w:t>
            </w:r>
          </w:p>
        </w:tc>
        <w:tc>
          <w:tcPr>
            <w:tcW w:w="1581" w:type="pct"/>
            <w:tcBorders>
              <w:top w:val="nil"/>
              <w:left w:val="nil"/>
              <w:bottom w:val="single" w:sz="4" w:space="0" w:color="auto"/>
              <w:right w:val="single" w:sz="4" w:space="0" w:color="auto"/>
            </w:tcBorders>
            <w:shd w:val="clear" w:color="auto" w:fill="auto"/>
            <w:vAlign w:val="bottom"/>
            <w:hideMark/>
          </w:tcPr>
          <w:p w14:paraId="78804EF0"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12,70%</w:t>
            </w:r>
          </w:p>
        </w:tc>
      </w:tr>
      <w:tr w:rsidR="00BD022F" w:rsidRPr="00BD022F" w14:paraId="66F8EF4E" w14:textId="77777777" w:rsidTr="0063201C">
        <w:trPr>
          <w:trHeight w:val="285"/>
        </w:trPr>
        <w:tc>
          <w:tcPr>
            <w:tcW w:w="1492" w:type="pct"/>
            <w:tcBorders>
              <w:top w:val="nil"/>
              <w:left w:val="single" w:sz="4" w:space="0" w:color="auto"/>
              <w:bottom w:val="single" w:sz="4" w:space="0" w:color="auto"/>
              <w:right w:val="single" w:sz="4" w:space="0" w:color="auto"/>
            </w:tcBorders>
            <w:shd w:val="clear" w:color="auto" w:fill="auto"/>
            <w:vAlign w:val="bottom"/>
            <w:hideMark/>
          </w:tcPr>
          <w:p w14:paraId="48392EA1"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5 - 6 μήνες</w:t>
            </w:r>
          </w:p>
        </w:tc>
        <w:tc>
          <w:tcPr>
            <w:tcW w:w="876" w:type="pct"/>
            <w:tcBorders>
              <w:top w:val="nil"/>
              <w:left w:val="nil"/>
              <w:bottom w:val="single" w:sz="4" w:space="0" w:color="auto"/>
              <w:right w:val="single" w:sz="4" w:space="0" w:color="auto"/>
            </w:tcBorders>
            <w:shd w:val="clear" w:color="auto" w:fill="auto"/>
            <w:vAlign w:val="bottom"/>
            <w:hideMark/>
          </w:tcPr>
          <w:p w14:paraId="54BEBCEA"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10,56%</w:t>
            </w:r>
          </w:p>
        </w:tc>
        <w:tc>
          <w:tcPr>
            <w:tcW w:w="1051" w:type="pct"/>
            <w:tcBorders>
              <w:top w:val="nil"/>
              <w:left w:val="nil"/>
              <w:bottom w:val="single" w:sz="4" w:space="0" w:color="auto"/>
              <w:right w:val="single" w:sz="4" w:space="0" w:color="auto"/>
            </w:tcBorders>
            <w:shd w:val="clear" w:color="auto" w:fill="auto"/>
            <w:vAlign w:val="bottom"/>
            <w:hideMark/>
          </w:tcPr>
          <w:p w14:paraId="34624276"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11,89%</w:t>
            </w:r>
          </w:p>
        </w:tc>
        <w:tc>
          <w:tcPr>
            <w:tcW w:w="1581" w:type="pct"/>
            <w:tcBorders>
              <w:top w:val="nil"/>
              <w:left w:val="nil"/>
              <w:bottom w:val="single" w:sz="4" w:space="0" w:color="auto"/>
              <w:right w:val="single" w:sz="4" w:space="0" w:color="auto"/>
            </w:tcBorders>
            <w:shd w:val="clear" w:color="auto" w:fill="auto"/>
            <w:vAlign w:val="bottom"/>
            <w:hideMark/>
          </w:tcPr>
          <w:p w14:paraId="389C8076"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12,70%</w:t>
            </w:r>
          </w:p>
        </w:tc>
      </w:tr>
      <w:tr w:rsidR="00BD022F" w:rsidRPr="00BD022F" w14:paraId="71762B11" w14:textId="77777777" w:rsidTr="0063201C">
        <w:trPr>
          <w:trHeight w:val="285"/>
        </w:trPr>
        <w:tc>
          <w:tcPr>
            <w:tcW w:w="1492" w:type="pct"/>
            <w:tcBorders>
              <w:top w:val="nil"/>
              <w:left w:val="single" w:sz="4" w:space="0" w:color="auto"/>
              <w:bottom w:val="single" w:sz="4" w:space="0" w:color="auto"/>
              <w:right w:val="single" w:sz="4" w:space="0" w:color="auto"/>
            </w:tcBorders>
            <w:shd w:val="clear" w:color="auto" w:fill="auto"/>
            <w:vAlign w:val="bottom"/>
            <w:hideMark/>
          </w:tcPr>
          <w:p w14:paraId="77016544"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Περισσότερο από 6 μήνες</w:t>
            </w:r>
          </w:p>
        </w:tc>
        <w:tc>
          <w:tcPr>
            <w:tcW w:w="876" w:type="pct"/>
            <w:tcBorders>
              <w:top w:val="nil"/>
              <w:left w:val="nil"/>
              <w:bottom w:val="single" w:sz="4" w:space="0" w:color="auto"/>
              <w:right w:val="single" w:sz="4" w:space="0" w:color="auto"/>
            </w:tcBorders>
            <w:shd w:val="clear" w:color="auto" w:fill="auto"/>
            <w:vAlign w:val="bottom"/>
            <w:hideMark/>
          </w:tcPr>
          <w:p w14:paraId="0B96CB0E"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5,63%</w:t>
            </w:r>
          </w:p>
        </w:tc>
        <w:tc>
          <w:tcPr>
            <w:tcW w:w="1051" w:type="pct"/>
            <w:tcBorders>
              <w:top w:val="nil"/>
              <w:left w:val="nil"/>
              <w:bottom w:val="single" w:sz="4" w:space="0" w:color="auto"/>
              <w:right w:val="single" w:sz="4" w:space="0" w:color="auto"/>
            </w:tcBorders>
            <w:shd w:val="clear" w:color="auto" w:fill="auto"/>
            <w:vAlign w:val="bottom"/>
            <w:hideMark/>
          </w:tcPr>
          <w:p w14:paraId="32F89A8C"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9,47%</w:t>
            </w:r>
          </w:p>
        </w:tc>
        <w:tc>
          <w:tcPr>
            <w:tcW w:w="1581" w:type="pct"/>
            <w:tcBorders>
              <w:top w:val="nil"/>
              <w:left w:val="nil"/>
              <w:bottom w:val="single" w:sz="4" w:space="0" w:color="auto"/>
              <w:right w:val="single" w:sz="4" w:space="0" w:color="auto"/>
            </w:tcBorders>
            <w:shd w:val="clear" w:color="auto" w:fill="auto"/>
            <w:vAlign w:val="bottom"/>
            <w:hideMark/>
          </w:tcPr>
          <w:p w14:paraId="064DCB1F"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15,87%</w:t>
            </w:r>
          </w:p>
        </w:tc>
      </w:tr>
      <w:tr w:rsidR="00BD022F" w:rsidRPr="00BD022F" w14:paraId="37A428D7" w14:textId="77777777" w:rsidTr="0063201C">
        <w:trPr>
          <w:trHeight w:val="285"/>
        </w:trPr>
        <w:tc>
          <w:tcPr>
            <w:tcW w:w="1492" w:type="pct"/>
            <w:tcBorders>
              <w:top w:val="nil"/>
              <w:left w:val="single" w:sz="4" w:space="0" w:color="auto"/>
              <w:bottom w:val="single" w:sz="4" w:space="0" w:color="auto"/>
              <w:right w:val="single" w:sz="4" w:space="0" w:color="auto"/>
            </w:tcBorders>
            <w:shd w:val="clear" w:color="auto" w:fill="auto"/>
            <w:vAlign w:val="bottom"/>
            <w:hideMark/>
          </w:tcPr>
          <w:p w14:paraId="5D5F1DF7"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Δ.Α</w:t>
            </w:r>
          </w:p>
        </w:tc>
        <w:tc>
          <w:tcPr>
            <w:tcW w:w="876" w:type="pct"/>
            <w:tcBorders>
              <w:top w:val="nil"/>
              <w:left w:val="nil"/>
              <w:bottom w:val="single" w:sz="4" w:space="0" w:color="auto"/>
              <w:right w:val="single" w:sz="4" w:space="0" w:color="auto"/>
            </w:tcBorders>
            <w:shd w:val="clear" w:color="auto" w:fill="auto"/>
            <w:vAlign w:val="bottom"/>
            <w:hideMark/>
          </w:tcPr>
          <w:p w14:paraId="250D7110"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5,63%</w:t>
            </w:r>
          </w:p>
        </w:tc>
        <w:tc>
          <w:tcPr>
            <w:tcW w:w="1051" w:type="pct"/>
            <w:tcBorders>
              <w:top w:val="nil"/>
              <w:left w:val="nil"/>
              <w:bottom w:val="single" w:sz="4" w:space="0" w:color="auto"/>
              <w:right w:val="single" w:sz="4" w:space="0" w:color="auto"/>
            </w:tcBorders>
            <w:shd w:val="clear" w:color="auto" w:fill="auto"/>
            <w:vAlign w:val="bottom"/>
            <w:hideMark/>
          </w:tcPr>
          <w:p w14:paraId="0FB72E9C"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6,61%</w:t>
            </w:r>
          </w:p>
        </w:tc>
        <w:tc>
          <w:tcPr>
            <w:tcW w:w="1581" w:type="pct"/>
            <w:tcBorders>
              <w:top w:val="nil"/>
              <w:left w:val="nil"/>
              <w:bottom w:val="single" w:sz="4" w:space="0" w:color="auto"/>
              <w:right w:val="single" w:sz="4" w:space="0" w:color="auto"/>
            </w:tcBorders>
            <w:shd w:val="clear" w:color="auto" w:fill="auto"/>
            <w:vAlign w:val="bottom"/>
            <w:hideMark/>
          </w:tcPr>
          <w:p w14:paraId="0183C834" w14:textId="77777777" w:rsidR="00BD022F" w:rsidRPr="00BD022F" w:rsidRDefault="00BD022F" w:rsidP="00973ABE">
            <w:pPr>
              <w:spacing w:after="0" w:line="240" w:lineRule="auto"/>
              <w:jc w:val="center"/>
              <w:rPr>
                <w:rFonts w:ascii="Calibri" w:eastAsia="Calibri" w:hAnsi="Calibri" w:cs="Times New Roman"/>
                <w:sz w:val="24"/>
                <w:szCs w:val="24"/>
              </w:rPr>
            </w:pPr>
            <w:r w:rsidRPr="00BD022F">
              <w:rPr>
                <w:rFonts w:ascii="Calibri" w:eastAsia="Calibri" w:hAnsi="Calibri" w:cs="Times New Roman"/>
                <w:sz w:val="24"/>
                <w:szCs w:val="24"/>
              </w:rPr>
              <w:t>14,29%</w:t>
            </w:r>
          </w:p>
        </w:tc>
      </w:tr>
    </w:tbl>
    <w:p w14:paraId="633AB7CE" w14:textId="77777777" w:rsidR="00961715" w:rsidRPr="00961715" w:rsidRDefault="00961715" w:rsidP="00961715">
      <w:pPr>
        <w:spacing w:after="0" w:line="360" w:lineRule="auto"/>
        <w:jc w:val="both"/>
        <w:rPr>
          <w:rFonts w:ascii="Calibri" w:eastAsia="Calibri" w:hAnsi="Calibri" w:cs="Times New Roman"/>
          <w:sz w:val="24"/>
          <w:szCs w:val="24"/>
        </w:rPr>
      </w:pPr>
    </w:p>
    <w:p w14:paraId="5EAA4EB9" w14:textId="40C49E79" w:rsidR="00961715" w:rsidRPr="00961715" w:rsidRDefault="00961715" w:rsidP="00961715">
      <w:pPr>
        <w:spacing w:line="360" w:lineRule="auto"/>
        <w:jc w:val="both"/>
        <w:rPr>
          <w:rFonts w:ascii="Calibri" w:eastAsia="Times New Roman" w:hAnsi="Calibri" w:cs="Times New Roman"/>
        </w:rPr>
      </w:pPr>
    </w:p>
    <w:p w14:paraId="0780BF5B" w14:textId="77777777" w:rsidR="00A2282D" w:rsidRPr="00A2282D" w:rsidRDefault="00A2282D" w:rsidP="00700BFC">
      <w:pPr>
        <w:spacing w:after="0" w:line="360" w:lineRule="auto"/>
        <w:jc w:val="both"/>
      </w:pPr>
    </w:p>
    <w:p w14:paraId="37D7577B" w14:textId="37E931A8" w:rsidR="00D96969" w:rsidRPr="00E90916" w:rsidRDefault="00D60539" w:rsidP="00E90916">
      <w:pPr>
        <w:pStyle w:val="a3"/>
        <w:numPr>
          <w:ilvl w:val="0"/>
          <w:numId w:val="4"/>
        </w:numPr>
        <w:spacing w:after="0" w:line="360" w:lineRule="auto"/>
        <w:jc w:val="both"/>
        <w:rPr>
          <w:rFonts w:eastAsia="Times New Roman" w:cstheme="minorHAnsi"/>
          <w:b/>
          <w:sz w:val="24"/>
          <w:szCs w:val="24"/>
          <w:u w:val="single"/>
        </w:rPr>
      </w:pPr>
      <w:r w:rsidRPr="00E90916">
        <w:rPr>
          <w:rFonts w:eastAsia="Times New Roman" w:cstheme="minorHAnsi"/>
          <w:b/>
          <w:sz w:val="24"/>
          <w:szCs w:val="24"/>
          <w:u w:val="single"/>
        </w:rPr>
        <w:t>Απασχόληση</w:t>
      </w:r>
    </w:p>
    <w:p w14:paraId="3F06740C" w14:textId="0A51250F" w:rsidR="009815A2" w:rsidRPr="00514CDF" w:rsidRDefault="009815A2" w:rsidP="00CD0181">
      <w:pPr>
        <w:pStyle w:val="ae"/>
        <w:spacing w:before="120" w:after="120" w:line="360" w:lineRule="auto"/>
        <w:jc w:val="both"/>
        <w:rPr>
          <w:rFonts w:ascii="Calibri" w:eastAsia="Calibri" w:hAnsi="Calibri" w:cs="Times New Roman"/>
          <w:spacing w:val="0"/>
          <w:kern w:val="0"/>
          <w:sz w:val="24"/>
          <w:szCs w:val="24"/>
          <w:lang w:eastAsia="el-GR"/>
        </w:rPr>
      </w:pPr>
      <w:r w:rsidRPr="00514CDF">
        <w:rPr>
          <w:rFonts w:ascii="Calibri" w:eastAsia="Calibri" w:hAnsi="Calibri" w:cs="Times New Roman"/>
          <w:spacing w:val="0"/>
          <w:kern w:val="0"/>
          <w:sz w:val="24"/>
          <w:szCs w:val="24"/>
          <w:lang w:eastAsia="el-GR"/>
        </w:rPr>
        <w:t xml:space="preserve">Όσον αφορά την απασχόληση, εξετάζοντάς την σε μια διαχρονική βάση, το ισοζύγιο των επιχειρήσεων που μετέβαλαν το προσωπικό τους κατά το </w:t>
      </w:r>
      <w:r w:rsidR="00C35CF8">
        <w:rPr>
          <w:rFonts w:ascii="Calibri" w:eastAsia="Calibri" w:hAnsi="Calibri" w:cs="Times New Roman"/>
          <w:spacing w:val="0"/>
          <w:kern w:val="0"/>
          <w:sz w:val="24"/>
          <w:szCs w:val="24"/>
          <w:lang w:eastAsia="el-GR"/>
        </w:rPr>
        <w:t>Α΄</w:t>
      </w:r>
      <w:r w:rsidRPr="00514CDF">
        <w:rPr>
          <w:rFonts w:ascii="Calibri" w:eastAsia="Calibri" w:hAnsi="Calibri" w:cs="Times New Roman"/>
          <w:spacing w:val="0"/>
          <w:kern w:val="0"/>
          <w:sz w:val="24"/>
          <w:szCs w:val="24"/>
          <w:lang w:eastAsia="el-GR"/>
        </w:rPr>
        <w:t xml:space="preserve">΄εξάμηνο του 2024 παρέμεινε θετικό, αν και υποδεέστερο των εκτιμήσεων που είχαν γίνει για το συγκεκριμένο εξάμηνο, καθώς το 13,7% των επιχειρήσεων είχε δηλώσει ότι θα αυξήσει το προσωπικό του, έναντι 3,5 % που είχε εκτιμήσει ότι θα το μείωνε. Έτσι, πιο συγκεκριμένα, το </w:t>
      </w:r>
      <w:r w:rsidR="00C35CF8">
        <w:rPr>
          <w:rFonts w:ascii="Calibri" w:eastAsia="Calibri" w:hAnsi="Calibri" w:cs="Times New Roman"/>
          <w:spacing w:val="0"/>
          <w:kern w:val="0"/>
          <w:sz w:val="24"/>
          <w:szCs w:val="24"/>
          <w:lang w:eastAsia="el-GR"/>
        </w:rPr>
        <w:t>Α΄</w:t>
      </w:r>
      <w:r w:rsidRPr="00514CDF">
        <w:rPr>
          <w:rFonts w:ascii="Calibri" w:eastAsia="Calibri" w:hAnsi="Calibri" w:cs="Times New Roman"/>
          <w:spacing w:val="0"/>
          <w:kern w:val="0"/>
          <w:sz w:val="24"/>
          <w:szCs w:val="24"/>
          <w:lang w:eastAsia="el-GR"/>
        </w:rPr>
        <w:t xml:space="preserve">΄ εξάμηνο του 2024, οι επιχειρήσεις που δήλωσαν ότι αύξησαν το προσωπικό τους αντιστοιχούν στο 10,3%, έναντι 6,6% που δήλωσε ότι το μείωσε </w:t>
      </w:r>
      <w:r w:rsidRPr="00384243">
        <w:rPr>
          <w:rFonts w:ascii="Calibri" w:eastAsia="Calibri" w:hAnsi="Calibri" w:cs="Times New Roman"/>
          <w:spacing w:val="0"/>
          <w:kern w:val="0"/>
          <w:sz w:val="24"/>
          <w:szCs w:val="24"/>
          <w:lang w:eastAsia="el-GR"/>
        </w:rPr>
        <w:t>(Γράφημα</w:t>
      </w:r>
      <w:r w:rsidR="00561E56" w:rsidRPr="00384243">
        <w:rPr>
          <w:rFonts w:ascii="Calibri" w:eastAsia="Calibri" w:hAnsi="Calibri" w:cs="Times New Roman"/>
          <w:spacing w:val="0"/>
          <w:kern w:val="0"/>
          <w:sz w:val="24"/>
          <w:szCs w:val="24"/>
          <w:lang w:eastAsia="el-GR"/>
        </w:rPr>
        <w:t xml:space="preserve"> 1</w:t>
      </w:r>
      <w:r w:rsidR="00643FA4" w:rsidRPr="00384243">
        <w:rPr>
          <w:rFonts w:ascii="Calibri" w:eastAsia="Calibri" w:hAnsi="Calibri" w:cs="Times New Roman"/>
          <w:spacing w:val="0"/>
          <w:kern w:val="0"/>
          <w:sz w:val="24"/>
          <w:szCs w:val="24"/>
          <w:lang w:eastAsia="el-GR"/>
        </w:rPr>
        <w:t>0</w:t>
      </w:r>
      <w:r w:rsidRPr="00384243">
        <w:rPr>
          <w:rFonts w:ascii="Calibri" w:eastAsia="Calibri" w:hAnsi="Calibri" w:cs="Times New Roman"/>
          <w:spacing w:val="0"/>
          <w:kern w:val="0"/>
          <w:sz w:val="24"/>
          <w:szCs w:val="24"/>
          <w:lang w:eastAsia="el-GR"/>
        </w:rPr>
        <w:t>).</w:t>
      </w:r>
      <w:r w:rsidRPr="00514CDF">
        <w:rPr>
          <w:rFonts w:ascii="Calibri" w:eastAsia="Calibri" w:hAnsi="Calibri" w:cs="Times New Roman"/>
          <w:spacing w:val="0"/>
          <w:kern w:val="0"/>
          <w:sz w:val="24"/>
          <w:szCs w:val="24"/>
          <w:lang w:eastAsia="el-GR"/>
        </w:rPr>
        <w:t xml:space="preserve"> Η εικόνα αυτή συνάδει με τα πλέον πρόσφατα στοιχεία της ΕΛΣΤΑΤ για τη μείωση της ανεργίας</w:t>
      </w:r>
      <w:r w:rsidRPr="00E90916">
        <w:rPr>
          <w:rFonts w:ascii="Calibri" w:eastAsia="Calibri" w:hAnsi="Calibri" w:cs="Times New Roman"/>
          <w:spacing w:val="0"/>
          <w:kern w:val="0"/>
          <w:sz w:val="24"/>
          <w:szCs w:val="24"/>
          <w:vertAlign w:val="superscript"/>
          <w:lang w:eastAsia="el-GR"/>
        </w:rPr>
        <w:footnoteReference w:id="2"/>
      </w:r>
      <w:r w:rsidRPr="00514CDF">
        <w:rPr>
          <w:rFonts w:ascii="Calibri" w:eastAsia="Calibri" w:hAnsi="Calibri" w:cs="Times New Roman"/>
          <w:spacing w:val="0"/>
          <w:kern w:val="0"/>
          <w:sz w:val="24"/>
          <w:szCs w:val="24"/>
          <w:lang w:eastAsia="el-GR"/>
        </w:rPr>
        <w:t xml:space="preserve">, καθώς και για τις αυξητικές τάσεις </w:t>
      </w:r>
      <w:r w:rsidRPr="00514CDF">
        <w:rPr>
          <w:rFonts w:ascii="Calibri" w:eastAsia="Calibri" w:hAnsi="Calibri" w:cs="Times New Roman"/>
          <w:spacing w:val="0"/>
          <w:kern w:val="0"/>
          <w:sz w:val="24"/>
          <w:szCs w:val="24"/>
          <w:lang w:eastAsia="el-GR"/>
        </w:rPr>
        <w:lastRenderedPageBreak/>
        <w:t>που παρουσίασε ο αριθμός των απασχολουμένων</w:t>
      </w:r>
      <w:r w:rsidRPr="00E90916">
        <w:rPr>
          <w:rFonts w:ascii="Calibri" w:eastAsia="Calibri" w:hAnsi="Calibri" w:cs="Times New Roman"/>
          <w:spacing w:val="0"/>
          <w:kern w:val="0"/>
          <w:sz w:val="24"/>
          <w:szCs w:val="24"/>
          <w:vertAlign w:val="superscript"/>
          <w:lang w:eastAsia="el-GR"/>
        </w:rPr>
        <w:footnoteReference w:id="3"/>
      </w:r>
      <w:r w:rsidRPr="00514CDF">
        <w:rPr>
          <w:rFonts w:ascii="Calibri" w:eastAsia="Calibri" w:hAnsi="Calibri" w:cs="Times New Roman"/>
          <w:spacing w:val="0"/>
          <w:kern w:val="0"/>
          <w:sz w:val="24"/>
          <w:szCs w:val="24"/>
          <w:lang w:eastAsia="el-GR"/>
        </w:rPr>
        <w:t>.</w:t>
      </w:r>
      <w:r w:rsidR="00CD0181">
        <w:rPr>
          <w:rFonts w:ascii="Calibri" w:eastAsia="Calibri" w:hAnsi="Calibri" w:cs="Times New Roman"/>
          <w:spacing w:val="0"/>
          <w:kern w:val="0"/>
          <w:sz w:val="24"/>
          <w:szCs w:val="24"/>
          <w:lang w:eastAsia="el-GR"/>
        </w:rPr>
        <w:t xml:space="preserve"> </w:t>
      </w:r>
      <w:r w:rsidRPr="00514CDF">
        <w:rPr>
          <w:rFonts w:ascii="Calibri" w:eastAsia="Calibri" w:hAnsi="Calibri" w:cs="Times New Roman"/>
          <w:spacing w:val="0"/>
          <w:kern w:val="0"/>
          <w:sz w:val="24"/>
          <w:szCs w:val="24"/>
          <w:lang w:eastAsia="el-GR"/>
        </w:rPr>
        <w:t xml:space="preserve">Στο σημείο αυτό, ωστόσο, θα πρέπει να επισημανθεί ότι η θετική αυτή εικόνα που σκιαγραφείται χρήζει προσεκτικότερης ανάγνωσης, λαμβάνοντας </w:t>
      </w:r>
      <w:proofErr w:type="spellStart"/>
      <w:r w:rsidRPr="00514CDF">
        <w:rPr>
          <w:rFonts w:ascii="Calibri" w:eastAsia="Calibri" w:hAnsi="Calibri" w:cs="Times New Roman"/>
          <w:spacing w:val="0"/>
          <w:kern w:val="0"/>
          <w:sz w:val="24"/>
          <w:szCs w:val="24"/>
          <w:lang w:eastAsia="el-GR"/>
        </w:rPr>
        <w:t>υπ’όψιν</w:t>
      </w:r>
      <w:proofErr w:type="spellEnd"/>
      <w:r w:rsidRPr="00514CDF">
        <w:rPr>
          <w:rFonts w:ascii="Calibri" w:eastAsia="Calibri" w:hAnsi="Calibri" w:cs="Times New Roman"/>
          <w:spacing w:val="0"/>
          <w:kern w:val="0"/>
          <w:sz w:val="24"/>
          <w:szCs w:val="24"/>
          <w:lang w:eastAsia="el-GR"/>
        </w:rPr>
        <w:t xml:space="preserve"> τόσο τα χαρακτηριστικά του ευρύτερου πλαισίου της ελληνικής αγοράς εργασίας, όσο και τις ιδιαιτερότητες της εξεταζόμενης περιόδου αλλά και τη σύγκριση με την προηγούμενη χρονιά (2023) στο σύνολό της.  </w:t>
      </w:r>
    </w:p>
    <w:p w14:paraId="663BC9A8" w14:textId="59220A51" w:rsidR="009815A2" w:rsidRPr="00514CDF" w:rsidRDefault="009815A2" w:rsidP="00514CDF">
      <w:pPr>
        <w:pStyle w:val="ae"/>
        <w:spacing w:line="360" w:lineRule="auto"/>
        <w:jc w:val="both"/>
        <w:rPr>
          <w:rFonts w:ascii="Calibri" w:eastAsia="Calibri" w:hAnsi="Calibri" w:cs="Times New Roman"/>
          <w:spacing w:val="0"/>
          <w:kern w:val="0"/>
          <w:sz w:val="24"/>
          <w:szCs w:val="24"/>
          <w:lang w:eastAsia="el-GR"/>
        </w:rPr>
      </w:pPr>
      <w:r w:rsidRPr="00514CDF">
        <w:rPr>
          <w:rFonts w:ascii="Calibri" w:eastAsia="Calibri" w:hAnsi="Calibri" w:cs="Times New Roman"/>
          <w:spacing w:val="0"/>
          <w:kern w:val="0"/>
          <w:sz w:val="24"/>
          <w:szCs w:val="24"/>
          <w:lang w:eastAsia="el-GR"/>
        </w:rPr>
        <w:t>Συνεπώς, ξεκινώντας από την υπό εξέταση χρονική περίοδο (</w:t>
      </w:r>
      <w:r w:rsidR="00C35CF8">
        <w:rPr>
          <w:rFonts w:ascii="Calibri" w:eastAsia="Calibri" w:hAnsi="Calibri" w:cs="Times New Roman"/>
          <w:spacing w:val="0"/>
          <w:kern w:val="0"/>
          <w:sz w:val="24"/>
          <w:szCs w:val="24"/>
          <w:lang w:eastAsia="el-GR"/>
        </w:rPr>
        <w:t>Α΄</w:t>
      </w:r>
      <w:r w:rsidRPr="00514CDF">
        <w:rPr>
          <w:rFonts w:ascii="Calibri" w:eastAsia="Calibri" w:hAnsi="Calibri" w:cs="Times New Roman"/>
          <w:spacing w:val="0"/>
          <w:kern w:val="0"/>
          <w:sz w:val="24"/>
          <w:szCs w:val="24"/>
          <w:lang w:eastAsia="el-GR"/>
        </w:rPr>
        <w:t xml:space="preserve"> εξάμηνο 2024), δεν θα πρέπει να παραβλέπεται το γεγονός ότι αυτή αποτελεί το σημαντικότερο μέρος προετοιμασίας αλλά και ουσιαστικής έναρξης της τουριστικής περιόδου, με συνακόλουθη αύξηση της εποχικής απασχόλησης. Ως εκ τούτου, είναι αναμενόμενο η </w:t>
      </w:r>
      <w:proofErr w:type="spellStart"/>
      <w:r w:rsidRPr="00514CDF">
        <w:rPr>
          <w:rFonts w:ascii="Calibri" w:eastAsia="Calibri" w:hAnsi="Calibri" w:cs="Times New Roman"/>
          <w:spacing w:val="0"/>
          <w:kern w:val="0"/>
          <w:sz w:val="24"/>
          <w:szCs w:val="24"/>
          <w:lang w:eastAsia="el-GR"/>
        </w:rPr>
        <w:t>απασχολησιμότητα</w:t>
      </w:r>
      <w:proofErr w:type="spellEnd"/>
      <w:r w:rsidRPr="00514CDF">
        <w:rPr>
          <w:rFonts w:ascii="Calibri" w:eastAsia="Calibri" w:hAnsi="Calibri" w:cs="Times New Roman"/>
          <w:spacing w:val="0"/>
          <w:kern w:val="0"/>
          <w:sz w:val="24"/>
          <w:szCs w:val="24"/>
          <w:lang w:eastAsia="el-GR"/>
        </w:rPr>
        <w:t xml:space="preserve"> να κινείται σε υψηλότερα επίπεδα και τα ποσοστά ανεργίας να είναι χαμηλότερα σε σύγκριση με άλλες εξεταζόμενες χρονικές περιόδους. </w:t>
      </w:r>
    </w:p>
    <w:p w14:paraId="66FD0F6F" w14:textId="2DB1A4D1" w:rsidR="00E237CD" w:rsidRDefault="00E237CD" w:rsidP="00514CDF">
      <w:pPr>
        <w:spacing w:before="120" w:after="120" w:line="360" w:lineRule="auto"/>
        <w:jc w:val="both"/>
        <w:rPr>
          <w:rFonts w:ascii="Calibri" w:eastAsia="Calibri" w:hAnsi="Calibri" w:cs="Times New Roman"/>
          <w:sz w:val="24"/>
          <w:szCs w:val="24"/>
        </w:rPr>
      </w:pPr>
    </w:p>
    <w:p w14:paraId="38ACBC25" w14:textId="3E077283" w:rsidR="00E237CD" w:rsidRDefault="00E237CD" w:rsidP="00514CDF">
      <w:pPr>
        <w:spacing w:before="120" w:after="120" w:line="360" w:lineRule="auto"/>
        <w:jc w:val="both"/>
        <w:rPr>
          <w:rFonts w:ascii="Calibri" w:eastAsia="Calibri" w:hAnsi="Calibri" w:cs="Times New Roman"/>
          <w:sz w:val="24"/>
          <w:szCs w:val="24"/>
        </w:rPr>
      </w:pPr>
      <w:r>
        <w:rPr>
          <w:noProof/>
        </w:rPr>
        <w:drawing>
          <wp:inline distT="0" distB="0" distL="0" distR="0" wp14:anchorId="3EC0E5A7" wp14:editId="562F1795">
            <wp:extent cx="6522720" cy="2628900"/>
            <wp:effectExtent l="0" t="0" r="11430" b="0"/>
            <wp:docPr id="2132955489" name="Γράφημα 1">
              <a:extLst xmlns:a="http://schemas.openxmlformats.org/drawingml/2006/main">
                <a:ext uri="{FF2B5EF4-FFF2-40B4-BE49-F238E27FC236}">
                  <a16:creationId xmlns:a16="http://schemas.microsoft.com/office/drawing/2014/main" id="{D9946F55-E6DB-4C2C-A161-5FF549C8B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B41EC1" w14:textId="1545FAA1" w:rsidR="009815A2" w:rsidRPr="00514CDF" w:rsidRDefault="009815A2" w:rsidP="00514CDF">
      <w:pPr>
        <w:spacing w:before="120" w:after="120" w:line="360" w:lineRule="auto"/>
        <w:jc w:val="both"/>
        <w:rPr>
          <w:rFonts w:ascii="Calibri" w:eastAsia="Calibri" w:hAnsi="Calibri" w:cs="Times New Roman"/>
          <w:sz w:val="24"/>
          <w:szCs w:val="24"/>
        </w:rPr>
      </w:pPr>
      <w:r w:rsidRPr="00514CDF">
        <w:rPr>
          <w:rFonts w:ascii="Calibri" w:eastAsia="Calibri" w:hAnsi="Calibri" w:cs="Times New Roman"/>
          <w:sz w:val="24"/>
          <w:szCs w:val="24"/>
        </w:rPr>
        <w:t xml:space="preserve">Σημαντικό, επίσης, για την αποφυγή δημιουργίας μιας πλασματικά θετικής εικόνας, που δεν θα επιτρέψει τον σχεδιασμό και την εφαρμογή ουσιαστικών και κατάλληλων μέτρων και στρατηγικών, είναι να ληφθούν </w:t>
      </w:r>
      <w:proofErr w:type="spellStart"/>
      <w:r w:rsidRPr="00514CDF">
        <w:rPr>
          <w:rFonts w:ascii="Calibri" w:eastAsia="Calibri" w:hAnsi="Calibri" w:cs="Times New Roman"/>
          <w:sz w:val="24"/>
          <w:szCs w:val="24"/>
        </w:rPr>
        <w:t>υπ’όψιν</w:t>
      </w:r>
      <w:proofErr w:type="spellEnd"/>
      <w:r w:rsidRPr="00514CDF">
        <w:rPr>
          <w:rFonts w:ascii="Calibri" w:eastAsia="Calibri" w:hAnsi="Calibri" w:cs="Times New Roman"/>
          <w:sz w:val="24"/>
          <w:szCs w:val="24"/>
        </w:rPr>
        <w:t xml:space="preserve"> οι ποσοτικοί και ποιοτικοί δείκτες που χαρακτηρίζουν την ελληνική αγορά εργασίας, η οποία συνεχίζει να έχει τον δεύτερο υψηλότερο δείκτη ανεργίας μετά την Ισπανία, ανάμεσα στις χώρες της ΕΕ των 27 κρατών μελών, ενώ παρά τη μικρή υποχώρηση του ποσοστού ανεργίας που σημειώθηκε στις πληθυσμιακές ομάδες των γυναικών κατά 2,2 μονάδες (από 14,4% τον Ιούνιο 2023 σε 12,2% τον Ιούνιο του 2024) και των νέων κατά 2 μονάδες (από 24,5% τον Ιούνιο 2023 σε 22,5% τον Ιούνιο 2024)</w:t>
      </w:r>
      <w:r w:rsidRPr="00E90916">
        <w:rPr>
          <w:rFonts w:eastAsia="Calibri"/>
          <w:vertAlign w:val="superscript"/>
        </w:rPr>
        <w:footnoteReference w:id="4"/>
      </w:r>
      <w:r w:rsidRPr="00514CDF">
        <w:rPr>
          <w:rFonts w:ascii="Calibri" w:eastAsia="Calibri" w:hAnsi="Calibri" w:cs="Times New Roman"/>
          <w:sz w:val="24"/>
          <w:szCs w:val="24"/>
        </w:rPr>
        <w:t xml:space="preserve">, </w:t>
      </w:r>
      <w:r w:rsidRPr="00514CDF">
        <w:rPr>
          <w:rFonts w:ascii="Calibri" w:eastAsia="Calibri" w:hAnsi="Calibri" w:cs="Times New Roman"/>
          <w:sz w:val="24"/>
          <w:szCs w:val="24"/>
        </w:rPr>
        <w:lastRenderedPageBreak/>
        <w:t xml:space="preserve">συνεχίζει να συνιστά ένα πλαίσιο έντονων, ιδίως </w:t>
      </w:r>
      <w:proofErr w:type="spellStart"/>
      <w:r w:rsidRPr="00514CDF">
        <w:rPr>
          <w:rFonts w:ascii="Calibri" w:eastAsia="Calibri" w:hAnsi="Calibri" w:cs="Times New Roman"/>
          <w:sz w:val="24"/>
          <w:szCs w:val="24"/>
        </w:rPr>
        <w:t>έμφυλων</w:t>
      </w:r>
      <w:proofErr w:type="spellEnd"/>
      <w:r w:rsidRPr="00514CDF">
        <w:rPr>
          <w:rFonts w:ascii="Calibri" w:eastAsia="Calibri" w:hAnsi="Calibri" w:cs="Times New Roman"/>
          <w:sz w:val="24"/>
          <w:szCs w:val="24"/>
        </w:rPr>
        <w:t xml:space="preserve"> και ηλικιακών ανισοτήτων. Ενδεικτικό της κατάστασης είναι το γεγονός ότι η ανεργία των γυναικών στην Ελλάδα παραμένει σχεδόν διπλάσια σε σχέση με αυτήν των ανδρών (12,2% για τις γυναίκες, έναντι 7,5% για τους άνδρες), με την Ελλάδα να κατέχει μάλιστα τη δεύτερη χειρότερη θέση σε ποσοστό απασχόλησης (απασχολείται μόνο το 52,4% των γυναικών), μετά την Ιταλία, στην ΕΕ των 27. </w:t>
      </w:r>
    </w:p>
    <w:p w14:paraId="21A6BE6A" w14:textId="0785276D" w:rsidR="009815A2" w:rsidRPr="00514CDF" w:rsidRDefault="009815A2" w:rsidP="00514CDF">
      <w:pPr>
        <w:spacing w:before="120" w:after="120" w:line="360" w:lineRule="auto"/>
        <w:jc w:val="both"/>
        <w:rPr>
          <w:rFonts w:ascii="Calibri" w:eastAsia="Calibri" w:hAnsi="Calibri" w:cs="Times New Roman"/>
          <w:sz w:val="24"/>
          <w:szCs w:val="24"/>
        </w:rPr>
      </w:pPr>
      <w:r w:rsidRPr="00514CDF">
        <w:rPr>
          <w:rFonts w:ascii="Calibri" w:eastAsia="Calibri" w:hAnsi="Calibri" w:cs="Times New Roman"/>
          <w:sz w:val="24"/>
          <w:szCs w:val="24"/>
        </w:rPr>
        <w:t xml:space="preserve">Τέλος, σε γενικό επίπεδο, αν και το ισοζύγιο για το 2024 είναι θετικό ως προς την απασχόληση, συγκρίνοντας τα στοιχεία των αντίστοιχων εξαμήνων του 2023 και 2024, παρατηρείται μια επιβράδυνση του ρυθμού αύξησης της απασχόλησης. Έτσι, εκκινώντας από την ίδια ποσοστιαία βάση, αφού τόσο τον Φεβρουάριο του 2023 όσο και τον Φεβρουάριο του 2024 έχουμε πανομοιότυπα ποσοστά επιχειρήσεων που δήλωσαν αύξηση και μείωση απασχόλησης (τον Φεβρουάριο του 2023 το ποσοστό των επιχειρήσεων που είχε δηλώσει αύξηση της απασχόλησης ήταν 9,3% και μείωση 7,6% και τον Φεβρουάριο του 2024 τα αντίστοιχα ποσοστά κυμαίνονταν παρομοίως στο 9,2% και 7,6%), τον Ιούλιο του 2023 το ποσοστό των επιχειρήσεων που δήλωσε αύξηση της απασχόλησης κυμάνθηκε στο 11,2%, έναντι ενός 4,5% που δήλωσε μείωση, ενώ τον Ιούλιο του 2024 το ποσοστό των επιχειρήσεων που δήλωσε αύξηση της απασχόλησης κυμάνθηκε χαμηλότερα, στο 10,3%, με το ποσοστό αυτών που δήλωσαν μείωση να βρίσκεται στο 6,6 </w:t>
      </w:r>
      <w:r w:rsidRPr="00CE2F6C">
        <w:rPr>
          <w:rFonts w:ascii="Calibri" w:eastAsia="Calibri" w:hAnsi="Calibri" w:cs="Times New Roman"/>
          <w:sz w:val="24"/>
          <w:szCs w:val="24"/>
        </w:rPr>
        <w:t>(Γράφημα</w:t>
      </w:r>
      <w:r w:rsidR="00561E56" w:rsidRPr="00CE2F6C">
        <w:rPr>
          <w:rFonts w:ascii="Calibri" w:eastAsia="Calibri" w:hAnsi="Calibri" w:cs="Times New Roman"/>
          <w:sz w:val="24"/>
          <w:szCs w:val="24"/>
        </w:rPr>
        <w:t xml:space="preserve"> </w:t>
      </w:r>
      <w:r w:rsidR="00CE2F6C" w:rsidRPr="00E90916">
        <w:rPr>
          <w:rFonts w:ascii="Calibri" w:eastAsia="Calibri" w:hAnsi="Calibri" w:cs="Times New Roman"/>
          <w:sz w:val="24"/>
          <w:szCs w:val="24"/>
        </w:rPr>
        <w:t>1</w:t>
      </w:r>
      <w:r w:rsidR="00CE2F6C">
        <w:rPr>
          <w:rFonts w:ascii="Calibri" w:eastAsia="Calibri" w:hAnsi="Calibri" w:cs="Times New Roman"/>
          <w:sz w:val="24"/>
          <w:szCs w:val="24"/>
        </w:rPr>
        <w:t>2</w:t>
      </w:r>
      <w:r w:rsidRPr="00CE2F6C">
        <w:rPr>
          <w:rFonts w:ascii="Calibri" w:eastAsia="Calibri" w:hAnsi="Calibri" w:cs="Times New Roman"/>
          <w:sz w:val="24"/>
          <w:szCs w:val="24"/>
        </w:rPr>
        <w:t>).</w:t>
      </w:r>
      <w:r w:rsidRPr="00514CDF">
        <w:rPr>
          <w:rFonts w:ascii="Calibri" w:eastAsia="Calibri" w:hAnsi="Calibri" w:cs="Times New Roman"/>
          <w:sz w:val="24"/>
          <w:szCs w:val="24"/>
        </w:rPr>
        <w:t xml:space="preserve"> Η εικόνα αυτή συνάδει με τα τελευταία δεδομένα της ΕΛΣΤΑΤ, σύμφωνα με τα οποία η ετήσια μείωση του μέσου ποσοστού ανεργίας επιβραδύνθηκε στο 0,2% τους πρώτους πέντε μήνες του 2024, ενώ την αντίστοιχη περίοδο του 2023 η μείωση της ανεργίας ανερχόταν στο 1,7%. Μάλιστα, ο ετήσιος ρυθμός πτώσης του μέσου ποσοστού ανεργίας στο πρώτο πεντάμηνο του 2024 ήταν ο μικρότερος από όλα τα αντίστοιχα 5μηνα των τελευταίων 10 ετών, αναδεικνύοντας την ύπαρξη </w:t>
      </w:r>
      <w:bookmarkStart w:id="1" w:name="_Hlk174455793"/>
      <w:r w:rsidRPr="00514CDF">
        <w:rPr>
          <w:rFonts w:ascii="Calibri" w:eastAsia="Calibri" w:hAnsi="Calibri" w:cs="Times New Roman"/>
          <w:sz w:val="24"/>
          <w:szCs w:val="24"/>
        </w:rPr>
        <w:t xml:space="preserve">δομικών προβλημάτων στην ελληνική αγορά εργασίας, όπως οι αναντιστοιχίες </w:t>
      </w:r>
      <w:bookmarkEnd w:id="1"/>
      <w:r w:rsidRPr="00514CDF">
        <w:rPr>
          <w:rFonts w:ascii="Calibri" w:eastAsia="Calibri" w:hAnsi="Calibri" w:cs="Times New Roman"/>
          <w:sz w:val="24"/>
          <w:szCs w:val="24"/>
        </w:rPr>
        <w:t>μεταξύ ζήτησης εργασίας εκ μέρους των επιχειρήσεων και προσφοράς εργασίας, ζήτημα που αναδεικνύεται στη συνέχεια και από ευρήματα της παρούσας έρευνας.</w:t>
      </w:r>
    </w:p>
    <w:p w14:paraId="14E3A221" w14:textId="1A265905" w:rsidR="009815A2" w:rsidRPr="00514CDF" w:rsidRDefault="009815A2" w:rsidP="00514CDF">
      <w:pPr>
        <w:spacing w:before="120" w:after="120" w:line="360" w:lineRule="auto"/>
        <w:jc w:val="both"/>
        <w:rPr>
          <w:rFonts w:ascii="Calibri" w:eastAsia="Calibri" w:hAnsi="Calibri" w:cs="Times New Roman"/>
          <w:sz w:val="24"/>
          <w:szCs w:val="24"/>
        </w:rPr>
      </w:pPr>
      <w:r w:rsidRPr="00514CDF">
        <w:rPr>
          <w:rFonts w:ascii="Calibri" w:eastAsia="Calibri" w:hAnsi="Calibri" w:cs="Times New Roman"/>
          <w:sz w:val="24"/>
          <w:szCs w:val="24"/>
        </w:rPr>
        <w:t xml:space="preserve">Ενθαρρυντικό στοιχείο, που θα πρέπει να ληφθεί </w:t>
      </w:r>
      <w:proofErr w:type="spellStart"/>
      <w:r w:rsidRPr="00514CDF">
        <w:rPr>
          <w:rFonts w:ascii="Calibri" w:eastAsia="Calibri" w:hAnsi="Calibri" w:cs="Times New Roman"/>
          <w:sz w:val="24"/>
          <w:szCs w:val="24"/>
        </w:rPr>
        <w:t>υπ’όψιν</w:t>
      </w:r>
      <w:proofErr w:type="spellEnd"/>
      <w:r w:rsidRPr="00514CDF">
        <w:rPr>
          <w:rFonts w:ascii="Calibri" w:eastAsia="Calibri" w:hAnsi="Calibri" w:cs="Times New Roman"/>
          <w:sz w:val="24"/>
          <w:szCs w:val="24"/>
        </w:rPr>
        <w:t xml:space="preserve"> στον σχεδιασμό κατάλληλων μέτρων, αποτελεί, ωστόσο, ότι – σύμφωνα με την έρευνα εργατικού δυναμικού της ΕΛΣΤΑΤ – η απασχόληση, αντλώντας πόρους από τη δεξαμενή του μη ενεργού πληθυσμού, συνέχισε να αναπτύσσεται (1,9% από 1,5% το αντίστοιχο διάστημα πέρυσι), με αποτέλεσμα την μείωση του μη ενεργού πληθυσμού (το μέσο ποσοστό συμμετοχής στην αγορά εργασίας ανήλθε στο 61,4%, από 60,3% ένα χρόνο πριν), συμβάλλοντας θετικά στην ενίσχυση της απασχόλησης και του παραγόμενου προϊόντος της οικονομίας.</w:t>
      </w:r>
    </w:p>
    <w:p w14:paraId="7BCF999C" w14:textId="598B6737" w:rsidR="009815A2" w:rsidRPr="00514CDF" w:rsidRDefault="009815A2" w:rsidP="00514CDF">
      <w:pPr>
        <w:spacing w:before="120" w:after="120" w:line="360" w:lineRule="auto"/>
        <w:jc w:val="both"/>
        <w:rPr>
          <w:rFonts w:ascii="Calibri" w:eastAsia="Calibri" w:hAnsi="Calibri" w:cs="Times New Roman"/>
          <w:sz w:val="24"/>
          <w:szCs w:val="24"/>
        </w:rPr>
      </w:pPr>
      <w:r w:rsidRPr="00514CDF">
        <w:rPr>
          <w:rFonts w:ascii="Calibri" w:eastAsia="Calibri" w:hAnsi="Calibri" w:cs="Times New Roman"/>
          <w:sz w:val="24"/>
          <w:szCs w:val="24"/>
        </w:rPr>
        <w:t xml:space="preserve">Συνεχίζοντας με τα ευρήματα της παρούσας έρευνας, ως προς την κλαδική διάσταση, είναι σημαντικό να αναφερθεί μια θετική ανατροπή σε σχέση με το δεύτερο εξάμηνο του 2023, που αφορά στον κλάδο της </w:t>
      </w:r>
      <w:r w:rsidRPr="00514CDF">
        <w:rPr>
          <w:rFonts w:ascii="Calibri" w:eastAsia="Calibri" w:hAnsi="Calibri" w:cs="Times New Roman"/>
          <w:sz w:val="24"/>
          <w:szCs w:val="24"/>
        </w:rPr>
        <w:lastRenderedPageBreak/>
        <w:t xml:space="preserve">μεταποίησης-βιοτεχνίας, όπου πλέον από αρνητικό το πρόσημο μετατρέπεται σε θετικό, αφού όχι μόνο το ισοζύγιο των επιχειρήσεων που αύξησαν την απασχόληση σε σχέση με όσες τη μείωσαν είναι θετικό, με το 15,1% των επιχειρήσεων του συγκεκριμένου κλάδου να αυξάνει την απασχόληση, έναντι 7,3% που μείωσε το προσωπικό, κάτι που δεν συνέβαινε στο προηγούμενο εξάμηνο (ο συγκεκριμένος κλάδος ήταν ο μόνος με αρνητικό πρόσημο, αφού </w:t>
      </w:r>
      <w:r w:rsidR="00561E56">
        <w:rPr>
          <w:rFonts w:ascii="Calibri" w:eastAsia="Calibri" w:hAnsi="Calibri" w:cs="Times New Roman"/>
          <w:sz w:val="24"/>
          <w:szCs w:val="24"/>
        </w:rPr>
        <w:t xml:space="preserve">το </w:t>
      </w:r>
      <w:r w:rsidRPr="00514CDF">
        <w:rPr>
          <w:rFonts w:ascii="Calibri" w:eastAsia="Calibri" w:hAnsi="Calibri" w:cs="Times New Roman"/>
          <w:sz w:val="24"/>
          <w:szCs w:val="24"/>
        </w:rPr>
        <w:t xml:space="preserve">7,6% των επιχειρήσεων αύξησε την απασχόληση, σε αντιδιαστολή με </w:t>
      </w:r>
      <w:r w:rsidR="00561E56">
        <w:rPr>
          <w:rFonts w:ascii="Calibri" w:eastAsia="Calibri" w:hAnsi="Calibri" w:cs="Times New Roman"/>
          <w:sz w:val="24"/>
          <w:szCs w:val="24"/>
        </w:rPr>
        <w:t xml:space="preserve">το </w:t>
      </w:r>
      <w:r w:rsidRPr="00514CDF">
        <w:rPr>
          <w:rFonts w:ascii="Calibri" w:eastAsia="Calibri" w:hAnsi="Calibri" w:cs="Times New Roman"/>
          <w:sz w:val="24"/>
          <w:szCs w:val="24"/>
        </w:rPr>
        <w:t xml:space="preserve">9,2% που μείωσε το προσωπικό τους), αλλά σημειώνει και τη μεγαλύτερη αύξηση σε σχέση με τους δύο άλλους κλάδους (εμπόριο και υπηρεσίες), οι οποίοι, ωστόσο, διατηρούν το θετικό ισοζύγιό τους (το εμπόριο παρουσίασε αύξηση 7%, έναντι μείωσης 4,7%, ενώ οι υπηρεσίες σημείωσαν αύξηση 10,6%, έναντι μείωσης 8%). Η εικόνα αυτή συνάδει και με </w:t>
      </w:r>
      <w:r w:rsidR="00561E56">
        <w:rPr>
          <w:rFonts w:ascii="Calibri" w:eastAsia="Calibri" w:hAnsi="Calibri" w:cs="Times New Roman"/>
          <w:sz w:val="24"/>
          <w:szCs w:val="24"/>
        </w:rPr>
        <w:t xml:space="preserve">τα </w:t>
      </w:r>
      <w:r w:rsidRPr="00514CDF">
        <w:rPr>
          <w:rFonts w:ascii="Calibri" w:eastAsia="Calibri" w:hAnsi="Calibri" w:cs="Times New Roman"/>
          <w:sz w:val="24"/>
          <w:szCs w:val="24"/>
        </w:rPr>
        <w:t>πλέον πρόσφατα στοιχεία σχετικών ερευνών, που αποτυπώνουν την ανάκαμψη του τομέα της μεταποίησης, με τη συνεχιζόμενη αύξηση των νέων παραγγελιών και των εξαγωγών να στηρίζουν τις προσλήψεις σε όλο το εύρος του τομέα, σημειώνοντας τη μεγαλύτερη  αύξηση της απασχόλησης που έχει καταγραφεί σε διάστημα μεγαλύτερο των δύο ετών.</w:t>
      </w:r>
      <w:r w:rsidRPr="00E90916">
        <w:rPr>
          <w:rFonts w:eastAsia="Calibri"/>
          <w:vertAlign w:val="superscript"/>
        </w:rPr>
        <w:footnoteReference w:id="5"/>
      </w:r>
    </w:p>
    <w:p w14:paraId="6644FCC4" w14:textId="731BE29E" w:rsidR="009815A2" w:rsidRPr="00B37C71" w:rsidRDefault="009815A2" w:rsidP="00514CDF">
      <w:pPr>
        <w:spacing w:before="120" w:after="120" w:line="360" w:lineRule="auto"/>
        <w:jc w:val="both"/>
        <w:rPr>
          <w:rFonts w:ascii="Calibri" w:eastAsia="Calibri" w:hAnsi="Calibri" w:cs="Times New Roman"/>
          <w:sz w:val="24"/>
          <w:szCs w:val="24"/>
        </w:rPr>
      </w:pPr>
      <w:bookmarkStart w:id="2" w:name="_Hlk174000916"/>
      <w:r w:rsidRPr="00514CDF">
        <w:rPr>
          <w:rFonts w:ascii="Calibri" w:eastAsia="Calibri" w:hAnsi="Calibri" w:cs="Times New Roman"/>
          <w:sz w:val="24"/>
          <w:szCs w:val="24"/>
        </w:rPr>
        <w:t>Σε γεωγραφικό επίπεδο, η συνολική εικόνα αποτυπώνει ένα θετικό ισοζύγιο, αφού σε όλες τις περιοχές η αύξηση της απασχόλησης υπερτερεί της μείωσης</w:t>
      </w:r>
      <w:bookmarkEnd w:id="2"/>
      <w:r w:rsidRPr="00514CDF">
        <w:rPr>
          <w:rFonts w:ascii="Calibri" w:eastAsia="Calibri" w:hAnsi="Calibri" w:cs="Times New Roman"/>
          <w:sz w:val="24"/>
          <w:szCs w:val="24"/>
        </w:rPr>
        <w:t xml:space="preserve">. Επιμέρους, παρατηρείται μία αντιστροφή σε σχέση με το προηγούμενο εξάμηνο, δεδομένου ότι αφορά διάστημα προετοιμασίας για την τουριστική περίοδο. Έτσι, ενώ στο δεύτερο εξάμηνο του 2023 το μεγαλύτερο αρνητικό ισοζύγιο καταγραφόταν στα Νησιά Αιγαίου/Κρήτη και στη Βόρεια Ελλάδα (7,7% και 7,8% αύξηση, αντίστοιχα, έναντι 9,6% και 9,7% μείωσης, αντίστοιχα), στο πρώτο εξάμηνο του 2024, το υψηλότερο θετικό ισοζύγιο παρατηρείται στα νησιά του Αιγαίου και την Κρήτη (17% αύξηση, έναντι 4,7% μείωση), ενώ η εικόνα αντιστρέφεται και στη Βόρεια Ελλάδα, η οποία εμφανίζει πλέον θετικό ισοζύγιο (12,5% αύξηση έναντι 7,4% μείωση), με τις υπόλοιπες περιοχές να εμφανίζουν μια σταθερότητα θετικού ισοζυγίου </w:t>
      </w:r>
      <w:r w:rsidRPr="00B37C71">
        <w:rPr>
          <w:rFonts w:ascii="Calibri" w:eastAsia="Calibri" w:hAnsi="Calibri" w:cs="Times New Roman"/>
          <w:sz w:val="24"/>
          <w:szCs w:val="24"/>
        </w:rPr>
        <w:t>.</w:t>
      </w:r>
    </w:p>
    <w:p w14:paraId="7FA1D838" w14:textId="374AC629"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Οι επιχειρήσεις με κύκλο εργασιών άνω των 300.000 € και άνω των πέντε ατόμων προσωπικό συνεχίζουν να παρουσιάζουν τη θετικότερη σχέση αύξησης/μείωσης εργαζομένων. Συγκεκριμένα, το 35,4% των επιχειρήσεων με κύκλο εργασιών μεγαλύτερο των 300.000 € αύξησαν το προσωπικό τους, έναντι 7,9 % που μείωσε τις θέσεις εργασίας στην επιχείρηση. Αντίστοιχα, το 37,1% με περισσότερους από 5 εργαζομένους/ες αύξησε τις προσφερόμενες θέσεις εργασίας, έναντι </w:t>
      </w:r>
      <w:r w:rsidR="00561E56">
        <w:rPr>
          <w:rFonts w:ascii="Calibri" w:eastAsia="Calibri" w:hAnsi="Calibri" w:cs="Times New Roman"/>
          <w:sz w:val="24"/>
          <w:szCs w:val="24"/>
        </w:rPr>
        <w:t xml:space="preserve">του </w:t>
      </w:r>
      <w:r w:rsidRPr="00B37C71">
        <w:rPr>
          <w:rFonts w:ascii="Calibri" w:eastAsia="Calibri" w:hAnsi="Calibri" w:cs="Times New Roman"/>
          <w:sz w:val="24"/>
          <w:szCs w:val="24"/>
        </w:rPr>
        <w:t>10,3% που τις μείωσε .</w:t>
      </w:r>
    </w:p>
    <w:p w14:paraId="7EF0E78F" w14:textId="77777777"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lastRenderedPageBreak/>
        <w:t xml:space="preserve">Η εικόνα της απασχόλησης αντιστρέφεται προς το θετικό σε σχέση με το προηγούμενο εξάμηνο και για τις επιχειρήσεις με κύκλο εργασιών από 100.000 – 300.000 €, αφού το 8,5% των επιχειρήσεων αυτών παρουσίασε αύξηση, έναντι 7,7% που παρουσίασε μείωση (στο προηγούμενο εξάμηνο, οι επιχειρήσεις της ίδιας κατηγορίας παρουσίαζαν αρνητικό ισοζύγιο, με το 14,1% αυτών να καταγράφει μείωση προσωπικού, έναντι του 10% εκείνων που το αύξησε). </w:t>
      </w:r>
    </w:p>
    <w:p w14:paraId="7AF045AB" w14:textId="5A78FF6E"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Η εικόνα παραμένει ίδια, σε σχέση με το προηγούμενο εξάμηνο, αναφορικά με τις υπόλοιπες κατηγορίες επιχειρήσεων ως προς τον κύκλο εργασιών. Έτσι, αρνητικό, αν και με βελτιωτικές τάσεις, παραμένει το πρόσημο για τις επιχειρήσεις με κύκλο εργασιών έως 50.000 €, με το 2,7% αυτών να δηλώνει αύξηση της απασχόλησης, έναντι </w:t>
      </w:r>
      <w:r w:rsidR="00462AD5">
        <w:rPr>
          <w:rFonts w:ascii="Calibri" w:eastAsia="Calibri" w:hAnsi="Calibri" w:cs="Times New Roman"/>
          <w:sz w:val="24"/>
          <w:szCs w:val="24"/>
        </w:rPr>
        <w:t xml:space="preserve">του </w:t>
      </w:r>
      <w:r w:rsidRPr="00B37C71">
        <w:rPr>
          <w:rFonts w:ascii="Calibri" w:eastAsia="Calibri" w:hAnsi="Calibri" w:cs="Times New Roman"/>
          <w:sz w:val="24"/>
          <w:szCs w:val="24"/>
        </w:rPr>
        <w:t xml:space="preserve">5,8%, που δηλώνει μείωση (στο προηγούμενο εξάμηνο, μόλις το 0,9% των επιχειρήσεων της κατηγορίας αυτής είχε δηλώσει αύξηση, ενώ το 5% είχε μειώσει τον αριθμό εργαζομένων), ενώ σταθερά αρνητικό παραμένει το αποτέλεσμα και για τις επιχειρήσεις με κύκλο εργασιών από 50.000-100.000 </w:t>
      </w:r>
      <w:bookmarkStart w:id="3" w:name="_Hlk174001275"/>
      <w:r w:rsidRPr="00B37C71">
        <w:rPr>
          <w:rFonts w:ascii="Calibri" w:eastAsia="Calibri" w:hAnsi="Calibri" w:cs="Times New Roman"/>
          <w:sz w:val="24"/>
          <w:szCs w:val="24"/>
        </w:rPr>
        <w:t xml:space="preserve">€ </w:t>
      </w:r>
      <w:bookmarkEnd w:id="3"/>
      <w:r w:rsidRPr="00B37C71">
        <w:rPr>
          <w:rFonts w:ascii="Calibri" w:eastAsia="Calibri" w:hAnsi="Calibri" w:cs="Times New Roman"/>
          <w:sz w:val="24"/>
          <w:szCs w:val="24"/>
        </w:rPr>
        <w:t>(6,3% των επιχειρήσεων παρουσίασε αύξηση της απασχόλησης, έναντι 6,9% που τη μείωσε).</w:t>
      </w:r>
    </w:p>
    <w:p w14:paraId="6EADA089" w14:textId="3628D35D"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Θετική αντιστροφή, σε σχέση με το προηγούμενο εξάμηνο, παρατηρείται στις επιχειρήσεις που απασχολούν 2 έως 3 άτομα, με το ποσοστό αυτών που δήλωσαν αύξηση της απασχόλησης να είναι 11,7%, έναντι 7,8% που δήλωσε μείωση (αντίθετα, στο προηγούμενο εξάμηνο το ποσοστό αυτών που μείωσαν το προσωπικό ανήλθε στο 9,3%, έναντι </w:t>
      </w:r>
      <w:r w:rsidR="00462AD5">
        <w:rPr>
          <w:rFonts w:ascii="Calibri" w:eastAsia="Calibri" w:hAnsi="Calibri" w:cs="Times New Roman"/>
          <w:sz w:val="24"/>
          <w:szCs w:val="24"/>
        </w:rPr>
        <w:t xml:space="preserve">του </w:t>
      </w:r>
      <w:r w:rsidRPr="00B37C71">
        <w:rPr>
          <w:rFonts w:ascii="Calibri" w:eastAsia="Calibri" w:hAnsi="Calibri" w:cs="Times New Roman"/>
          <w:sz w:val="24"/>
          <w:szCs w:val="24"/>
        </w:rPr>
        <w:t xml:space="preserve">8,7% των επιχειρήσεων αυτού του μεγέθους που δήλωσε αύξηση προσωπικού). </w:t>
      </w:r>
    </w:p>
    <w:p w14:paraId="15F4ABDF" w14:textId="37D5D4A3"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Η κατάσταση της απασχόλησης διατηρείται ίδια, σε σχέση με το προηγούμενο εξάμηνο, αναφορικά με τις υπόλοιπες κατηγορίες επιχειρήσεων,  ως προς των αριθμό των εργαζομένων. Έτσι, θετικό διατηρείται το ισοζύγιο των επιχειρήσεων που απασχολούν 4 έως 5 άτομα, με τάσεις, μάλιστα, περαιτέρω βελτίωσης, καθώς το 19,7% αυτών αύξησε το προσωπικό του, έναντι </w:t>
      </w:r>
      <w:r w:rsidR="00462AD5">
        <w:rPr>
          <w:rFonts w:ascii="Calibri" w:eastAsia="Calibri" w:hAnsi="Calibri" w:cs="Times New Roman"/>
          <w:sz w:val="24"/>
          <w:szCs w:val="24"/>
        </w:rPr>
        <w:t xml:space="preserve">του </w:t>
      </w:r>
      <w:r w:rsidRPr="00B37C71">
        <w:rPr>
          <w:rFonts w:ascii="Calibri" w:eastAsia="Calibri" w:hAnsi="Calibri" w:cs="Times New Roman"/>
          <w:sz w:val="24"/>
          <w:szCs w:val="24"/>
        </w:rPr>
        <w:t>6,6% που το μείωσε, ενώ αρνητικό παραμένει το ισοζύγιο για τις επιχειρήσεις με έναν/μία τουλάχιστον εργαζόμενο/η, που δηλώνουν μείωση προσωπικού τους τελευταίους έξι μήνες σε ποσοστό 6,3%, έναντι 3,8% που δηλώνει αύξηση.</w:t>
      </w:r>
    </w:p>
    <w:p w14:paraId="6672467A" w14:textId="43F45E1E"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Τέλος, στα ίδια επίπεδα παραμένει και το ποσοστό των επιχειρήσεων που εντοπίστηκε να έχει μείνει χωρίς προσωπικό, ενώ προηγουμένως είχε τουλάχιστον έναν/μία εργαζόμενο/η (4,6% το </w:t>
      </w:r>
      <w:proofErr w:type="spellStart"/>
      <w:r w:rsidRPr="00B37C71">
        <w:rPr>
          <w:rFonts w:ascii="Calibri" w:eastAsia="Calibri" w:hAnsi="Calibri" w:cs="Times New Roman"/>
          <w:sz w:val="24"/>
          <w:szCs w:val="24"/>
        </w:rPr>
        <w:t>α΄εξάμηνο</w:t>
      </w:r>
      <w:proofErr w:type="spellEnd"/>
      <w:r w:rsidRPr="00B37C71">
        <w:rPr>
          <w:rFonts w:ascii="Calibri" w:eastAsia="Calibri" w:hAnsi="Calibri" w:cs="Times New Roman"/>
          <w:sz w:val="24"/>
          <w:szCs w:val="24"/>
        </w:rPr>
        <w:t xml:space="preserve"> του 2024, 4,7% των επιχειρήσεων στο προηγούμενο εξάμηνο) .</w:t>
      </w:r>
    </w:p>
    <w:p w14:paraId="46F2CFB3" w14:textId="78A20827" w:rsidR="002F28ED" w:rsidRDefault="002F28ED" w:rsidP="00514CDF">
      <w:pPr>
        <w:spacing w:before="120" w:after="120" w:line="360" w:lineRule="auto"/>
        <w:jc w:val="both"/>
        <w:rPr>
          <w:rFonts w:ascii="Calibri" w:eastAsia="Calibri" w:hAnsi="Calibri" w:cs="Times New Roman"/>
          <w:sz w:val="24"/>
          <w:szCs w:val="24"/>
          <w:lang w:val="en-US"/>
        </w:rPr>
      </w:pPr>
      <w:r>
        <w:rPr>
          <w:noProof/>
        </w:rPr>
        <w:lastRenderedPageBreak/>
        <w:drawing>
          <wp:inline distT="0" distB="0" distL="0" distR="0" wp14:anchorId="7B1FC89C" wp14:editId="1C0C6886">
            <wp:extent cx="6324600" cy="5158740"/>
            <wp:effectExtent l="0" t="0" r="0" b="3810"/>
            <wp:docPr id="1668485235" name="Γράφημα 1">
              <a:extLst xmlns:a="http://schemas.openxmlformats.org/drawingml/2006/main">
                <a:ext uri="{FF2B5EF4-FFF2-40B4-BE49-F238E27FC236}">
                  <a16:creationId xmlns:a16="http://schemas.microsoft.com/office/drawing/2014/main" id="{1D59DFE1-5143-AEA2-337B-F804DFB5B6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4108B6" w14:textId="77777777" w:rsidR="002F28ED" w:rsidRDefault="002F28ED" w:rsidP="00514CDF">
      <w:pPr>
        <w:spacing w:before="120" w:after="120" w:line="360" w:lineRule="auto"/>
        <w:jc w:val="both"/>
        <w:rPr>
          <w:rFonts w:ascii="Calibri" w:eastAsia="Calibri" w:hAnsi="Calibri" w:cs="Times New Roman"/>
          <w:sz w:val="24"/>
          <w:szCs w:val="24"/>
          <w:lang w:val="en-US"/>
        </w:rPr>
      </w:pPr>
    </w:p>
    <w:p w14:paraId="4906A690" w14:textId="6C16D6F3"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Όσον αφορά το ποσοστό των επιχειρήσεων που θεωρεί πιθανό να αυξήσει το προσωπικό του στο επόμενο εξάμηνο, αυτό παρουσιάζει θετικό ισοζύγιο (με μια  ελαφριά βελτιωτική – αισιόδοξη τάση σε σχέση με το ίδιο χρονικό διάστημα της προηγούμενης χρονιάς, αφού το αντίστοιχο ποσοστό τον Ιούλιο του 2023 κυμαινόταν στο 7,4%) και κυμαίνεται στο 9,2%, έναντι 6,0% που δήλωσε το αντίθετο. Ωστόσο, εξετάζοντας τα στοιχεία σε διαχρονική βάση, παρατηρείται και μια αύξηση του ποσοστού των επιχειρήσεων που εκτιμούν ότι θα μειώσουν το προσωπικό τους το επόμενο εξάμηνο (6,0% τον Ιούλιο του 2024, έναντι 4,7% τον Ιούλιο του 2023) .</w:t>
      </w:r>
    </w:p>
    <w:p w14:paraId="1F30BFE6" w14:textId="77777777"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Ο κλάδος των υπηρεσιών, οι επιχειρήσεις με κύκλο εργασιών πάνω από 300.000 € και αυτές με προσωπικό πάνω από 5 άτομα διατηρούν τα σκήπτρα στο θετικό ισοζύγιο όσον αφορά την εκτίμηση αύξησης του προσωπικού τους το επόμενο εξάμηνο. </w:t>
      </w:r>
    </w:p>
    <w:p w14:paraId="2C3EAF60" w14:textId="77777777"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lastRenderedPageBreak/>
        <w:t xml:space="preserve">Ο κλάδος της μεταποίησης, αν και διατηρεί το θετικό ισοζύγιό του, έρχεται στη δεύτερη θέση, με τους παραγωγούς αγαθών, σύμφωνα με στοιχεία, να εξακολουθούν να προσλαμβάνουν πρόσθετο προσωπικό με σταθερό ρυθμό, παρότι ο ρυθμός δημιουργίας θέσεων εργασίας εξασθένησε. Η επιβράδυνση του ρυθμού αύξησης της παραγωγής, των νέων πωλήσεων και των αγορών εισροών, η υποχώρηση της επιχειρηματικής εμπιστοσύνης αλλά και ο αντίκτυπος των διαταραχών στα ναυτιλιακά δρομολόγια παγκοσμίως, που είχε ως συνέπειες την επιμήκυνση του χρόνου παράδοσης προμηθειών, την αύξηση του κόστους μεταφορών και τη συνακόλουθη αύξηση των λειτουργικών εξόδων, διατηρώντας σε ιστορικά υψηλά τους ρυθμούς αύξησης των τιμών εισροών και των χρεώσεων εκροών, αποτελούν στοιχεία που θα πρέπει να ληφθούν </w:t>
      </w:r>
      <w:proofErr w:type="spellStart"/>
      <w:r w:rsidRPr="00B37C71">
        <w:rPr>
          <w:rFonts w:ascii="Calibri" w:eastAsia="Calibri" w:hAnsi="Calibri" w:cs="Times New Roman"/>
          <w:sz w:val="24"/>
          <w:szCs w:val="24"/>
        </w:rPr>
        <w:t>υπ’όψιν</w:t>
      </w:r>
      <w:proofErr w:type="spellEnd"/>
      <w:r w:rsidRPr="00B37C71">
        <w:rPr>
          <w:rFonts w:ascii="Calibri" w:eastAsia="Calibri" w:hAnsi="Calibri" w:cs="Times New Roman"/>
          <w:sz w:val="24"/>
          <w:szCs w:val="24"/>
        </w:rPr>
        <w:t xml:space="preserve"> στο πλαίσιο του σχεδιασμού και εφαρμογής ανάλογων μέτρων και πολιτικών, προκειμένου για τη στήριξη, ώστε να συνεχίσει η διαφαινόμενη σταθερή ανάκαμψη της υγείας του ελληνικού μεταποιητικού τομέα</w:t>
      </w:r>
      <w:r w:rsidRPr="00E90916">
        <w:rPr>
          <w:rFonts w:eastAsia="Calibri"/>
          <w:vertAlign w:val="superscript"/>
        </w:rPr>
        <w:footnoteReference w:id="6"/>
      </w:r>
      <w:r w:rsidRPr="00B37C71">
        <w:rPr>
          <w:rFonts w:ascii="Calibri" w:eastAsia="Calibri" w:hAnsi="Calibri" w:cs="Times New Roman"/>
          <w:sz w:val="24"/>
          <w:szCs w:val="24"/>
        </w:rPr>
        <w:t xml:space="preserve">. </w:t>
      </w:r>
    </w:p>
    <w:p w14:paraId="7BDAC106" w14:textId="0E16445B"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Ο μόνος κλάδος που παρουσιάζει οριακά αρνητικό ισοζύγιο στην εκτίμηση αύξησης του προσωπικού είναι το εμπόριο, με το 6,4% των επιχειρήσεων να θεωρούν ότι θα μειώσουν το προσωπικό τους, έναντι </w:t>
      </w:r>
      <w:r w:rsidR="00EB31DC">
        <w:rPr>
          <w:rFonts w:ascii="Calibri" w:eastAsia="Calibri" w:hAnsi="Calibri" w:cs="Times New Roman"/>
          <w:sz w:val="24"/>
          <w:szCs w:val="24"/>
        </w:rPr>
        <w:t xml:space="preserve">του </w:t>
      </w:r>
      <w:r w:rsidRPr="00B37C71">
        <w:rPr>
          <w:rFonts w:ascii="Calibri" w:eastAsia="Calibri" w:hAnsi="Calibri" w:cs="Times New Roman"/>
          <w:sz w:val="24"/>
          <w:szCs w:val="24"/>
        </w:rPr>
        <w:t>6,0% που θεωρούν ότι θα αυξηθεί .</w:t>
      </w:r>
    </w:p>
    <w:p w14:paraId="122C0A81" w14:textId="07491E78"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Να σημειωθεί ότι σε επίπεδο κύκλου εργασιών, η μόνη κατηγορία επιχειρήσεων που παρουσιάζει αρνητικό αποτέλεσμα στη</w:t>
      </w:r>
      <w:r w:rsidR="00EB31DC">
        <w:rPr>
          <w:rFonts w:ascii="Calibri" w:eastAsia="Calibri" w:hAnsi="Calibri" w:cs="Times New Roman"/>
          <w:sz w:val="24"/>
          <w:szCs w:val="24"/>
        </w:rPr>
        <w:t>ν</w:t>
      </w:r>
      <w:r w:rsidRPr="00B37C71">
        <w:rPr>
          <w:rFonts w:ascii="Calibri" w:eastAsia="Calibri" w:hAnsi="Calibri" w:cs="Times New Roman"/>
          <w:sz w:val="24"/>
          <w:szCs w:val="24"/>
        </w:rPr>
        <w:t xml:space="preserve"> εκτίμηση αύξησης του προσωπικού κατά το επόμενο εξάμηνο είναι οι επιχειρήσεις με τζίρο από 50.000-100.000 ευρώ, αφού το 9,5% αυτών δήλωσε πως θεωρεί πιθανή τη μείωση του προσωπικού τους κατά το επόμενο εξάμηνο, έναντι </w:t>
      </w:r>
      <w:r w:rsidR="00EB31DC">
        <w:rPr>
          <w:rFonts w:ascii="Calibri" w:eastAsia="Calibri" w:hAnsi="Calibri" w:cs="Times New Roman"/>
          <w:sz w:val="24"/>
          <w:szCs w:val="24"/>
        </w:rPr>
        <w:t xml:space="preserve">του </w:t>
      </w:r>
      <w:r w:rsidRPr="00B37C71">
        <w:rPr>
          <w:rFonts w:ascii="Calibri" w:eastAsia="Calibri" w:hAnsi="Calibri" w:cs="Times New Roman"/>
          <w:sz w:val="24"/>
          <w:szCs w:val="24"/>
        </w:rPr>
        <w:t>7,5% που εκτιμά ότι ενδέχεται να την αυξήσει.</w:t>
      </w:r>
    </w:p>
    <w:p w14:paraId="3E9BAC23" w14:textId="1B22990B"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Ενδιαφέρον παρουσιάζει το εύρημα ότι οι επιχειρήσεις χωρίς προσωπικό δηλώνουν κατά 3,9% ότι θεωρούν πιθανό να αποκτήσουν προσωπικό, ποσοστό, ωστόσο, που δεν ξεπερνάει αυτό του 4,6% των αντίστοιχων επιχειρήσεων που εντοπίστηκε κατά το </w:t>
      </w:r>
      <w:proofErr w:type="spellStart"/>
      <w:r w:rsidRPr="00B37C71">
        <w:rPr>
          <w:rFonts w:ascii="Calibri" w:eastAsia="Calibri" w:hAnsi="Calibri" w:cs="Times New Roman"/>
          <w:sz w:val="24"/>
          <w:szCs w:val="24"/>
        </w:rPr>
        <w:t>α΄εξάμηνο</w:t>
      </w:r>
      <w:proofErr w:type="spellEnd"/>
      <w:r w:rsidRPr="00B37C71">
        <w:rPr>
          <w:rFonts w:ascii="Calibri" w:eastAsia="Calibri" w:hAnsi="Calibri" w:cs="Times New Roman"/>
          <w:sz w:val="24"/>
          <w:szCs w:val="24"/>
        </w:rPr>
        <w:t xml:space="preserve"> του 2024 να έχει μείνει χωρίς προσωπικό, ενώ προηγουμένως είχε τουλάχιστον έναν/μία εργαζόμενο/η,  δημιουργώντας ένα αρνητικό αποτέλεσμα.</w:t>
      </w:r>
    </w:p>
    <w:p w14:paraId="75279A2C" w14:textId="77777777"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Στο σημείο αυτό, επισημαίνεται η αναγκαιότητα να εξεταστεί η παροχή περαιτέρω κινήτρων και στήριξης της μικρής επιχειρηματικότητας για τη δημιουργία θέσεων εργασίας (λ.χ. άμεσες επιδοτήσεις, φορολογικά κίνητρα κ.ά.).</w:t>
      </w:r>
    </w:p>
    <w:p w14:paraId="0B527390" w14:textId="1955FE5C"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lastRenderedPageBreak/>
        <w:t>Σε γεωγραφικό επίπεδο, τα Νησιά του Αιγαίου και η Κρήτη είναι η μόνη περιοχή όπου παρουσιάζεται αρνητικό ισοζύγιο ως προς την εκτίμηση των επιχειρήσεων σχετικά με την αύξηση του προσωπικού τους εντός του επόμενου εξαμήνου, αφού το 8,5% των επιχειρήσεων θεωρεί ότι θα προβεί σε μείωση του προσωπικού, έναντι 4,7% που εκτιμά ότι θα προχωρήσει σε αύξηση προσωπικού. Το εν λόγω εύρημα ερμηνεύεται, προφανώς, αν το συνδέσουμε  με τη λήξη της τουριστικής περιόδου.</w:t>
      </w:r>
    </w:p>
    <w:p w14:paraId="39626E6F" w14:textId="772B935A" w:rsidR="00C91C58" w:rsidRPr="00C91C58" w:rsidRDefault="00384243" w:rsidP="00C91C58">
      <w:pPr>
        <w:numPr>
          <w:ilvl w:val="0"/>
          <w:numId w:val="4"/>
        </w:numPr>
        <w:spacing w:after="0" w:line="360" w:lineRule="auto"/>
        <w:contextualSpacing/>
        <w:rPr>
          <w:rFonts w:ascii="Calibri" w:hAnsi="Calibri" w:cs="Calibri"/>
          <w:b/>
          <w:sz w:val="24"/>
          <w:szCs w:val="24"/>
          <w:u w:val="single"/>
        </w:rPr>
      </w:pPr>
      <w:r>
        <w:rPr>
          <w:rFonts w:ascii="Calibri" w:hAnsi="Calibri" w:cs="Calibri"/>
          <w:b/>
          <w:sz w:val="24"/>
          <w:szCs w:val="24"/>
          <w:u w:val="single"/>
        </w:rPr>
        <w:t>Κενές θέσεις εργασίας</w:t>
      </w:r>
    </w:p>
    <w:p w14:paraId="75280C3D" w14:textId="122F0CED" w:rsidR="009815A2"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Σημαντικό εύρημα της έρευνας αποτελεί το αρνητικό ισοζύγιο που αποτυπώνεται όσον αφορά το ερώτημα κατά πόσον οι επιχειρήσεις αντιμετωπίζουν πρόβλημα στην εξεύρεση εργαζομένων. Πιο συγκεκριμένα, στο ερώτημα αυτό το 35,2% των επιχειρήσεων απάντησε ότι αντιμετωπίζει πρόβλημα, έναντι </w:t>
      </w:r>
      <w:r w:rsidR="00EB31DC">
        <w:rPr>
          <w:rFonts w:ascii="Calibri" w:eastAsia="Calibri" w:hAnsi="Calibri" w:cs="Times New Roman"/>
          <w:sz w:val="24"/>
          <w:szCs w:val="24"/>
        </w:rPr>
        <w:t xml:space="preserve">του </w:t>
      </w:r>
      <w:r w:rsidRPr="00B37C71">
        <w:rPr>
          <w:rFonts w:ascii="Calibri" w:eastAsia="Calibri" w:hAnsi="Calibri" w:cs="Times New Roman"/>
          <w:sz w:val="24"/>
          <w:szCs w:val="24"/>
        </w:rPr>
        <w:t>34,6% που απάντησε ότι δεν αντιμετωπίζει πρόβλημα (</w:t>
      </w:r>
      <w:r w:rsidRPr="00AD6A1E">
        <w:rPr>
          <w:rFonts w:ascii="Calibri" w:eastAsia="Calibri" w:hAnsi="Calibri" w:cs="Times New Roman"/>
          <w:sz w:val="24"/>
          <w:szCs w:val="24"/>
        </w:rPr>
        <w:t>Γράφημα</w:t>
      </w:r>
      <w:r w:rsidR="00AD6A1E" w:rsidRPr="00AD6A1E">
        <w:rPr>
          <w:rFonts w:ascii="Calibri" w:eastAsia="Calibri" w:hAnsi="Calibri" w:cs="Times New Roman"/>
          <w:sz w:val="24"/>
          <w:szCs w:val="24"/>
        </w:rPr>
        <w:t xml:space="preserve"> </w:t>
      </w:r>
      <w:r w:rsidR="00A3345E">
        <w:rPr>
          <w:rFonts w:ascii="Calibri" w:eastAsia="Calibri" w:hAnsi="Calibri" w:cs="Times New Roman"/>
          <w:sz w:val="24"/>
          <w:szCs w:val="24"/>
        </w:rPr>
        <w:t>12</w:t>
      </w:r>
      <w:r w:rsidRPr="00B37C71">
        <w:rPr>
          <w:rFonts w:ascii="Calibri" w:eastAsia="Calibri" w:hAnsi="Calibri" w:cs="Times New Roman"/>
          <w:sz w:val="24"/>
          <w:szCs w:val="24"/>
        </w:rPr>
        <w:t xml:space="preserve">), με τον μέσο όρο ατόμων που λείπουν από τις επιχειρήσεις να κυμαίνεται </w:t>
      </w:r>
      <w:r w:rsidR="00384243">
        <w:rPr>
          <w:rFonts w:ascii="Calibri" w:eastAsia="Calibri" w:hAnsi="Calibri" w:cs="Times New Roman"/>
          <w:sz w:val="24"/>
          <w:szCs w:val="24"/>
        </w:rPr>
        <w:t>σε περισσότερους από 2</w:t>
      </w:r>
      <w:r w:rsidRPr="00B37C71">
        <w:rPr>
          <w:rFonts w:ascii="Calibri" w:eastAsia="Calibri" w:hAnsi="Calibri" w:cs="Times New Roman"/>
          <w:sz w:val="24"/>
          <w:szCs w:val="24"/>
        </w:rPr>
        <w:t xml:space="preserve"> εργαζομένους/ες (</w:t>
      </w:r>
      <w:r w:rsidRPr="002F78CE">
        <w:rPr>
          <w:rFonts w:ascii="Calibri" w:eastAsia="Calibri" w:hAnsi="Calibri" w:cs="Times New Roman"/>
          <w:sz w:val="24"/>
          <w:szCs w:val="24"/>
        </w:rPr>
        <w:t>Γράφημα</w:t>
      </w:r>
      <w:r w:rsidR="002F78CE">
        <w:rPr>
          <w:rFonts w:ascii="Calibri" w:eastAsia="Calibri" w:hAnsi="Calibri" w:cs="Times New Roman"/>
          <w:sz w:val="24"/>
          <w:szCs w:val="24"/>
        </w:rPr>
        <w:t xml:space="preserve"> 1</w:t>
      </w:r>
      <w:r w:rsidR="00C516DD">
        <w:rPr>
          <w:rFonts w:ascii="Calibri" w:eastAsia="Calibri" w:hAnsi="Calibri" w:cs="Times New Roman"/>
          <w:sz w:val="24"/>
          <w:szCs w:val="24"/>
        </w:rPr>
        <w:t>3</w:t>
      </w:r>
      <w:r w:rsidRPr="00B37C71">
        <w:rPr>
          <w:rFonts w:ascii="Calibri" w:eastAsia="Calibri" w:hAnsi="Calibri" w:cs="Times New Roman"/>
          <w:sz w:val="24"/>
          <w:szCs w:val="24"/>
        </w:rPr>
        <w:t>).</w:t>
      </w:r>
    </w:p>
    <w:p w14:paraId="1E1857FC" w14:textId="5A371551" w:rsidR="00C516DD" w:rsidRPr="00B37C71" w:rsidRDefault="00C516DD" w:rsidP="00514CDF">
      <w:pPr>
        <w:spacing w:before="120" w:after="120" w:line="360" w:lineRule="auto"/>
        <w:jc w:val="both"/>
        <w:rPr>
          <w:rFonts w:ascii="Calibri" w:eastAsia="Calibri" w:hAnsi="Calibri" w:cs="Times New Roman"/>
          <w:sz w:val="24"/>
          <w:szCs w:val="24"/>
        </w:rPr>
      </w:pPr>
      <w:r>
        <w:rPr>
          <w:noProof/>
        </w:rPr>
        <w:drawing>
          <wp:inline distT="0" distB="0" distL="0" distR="0" wp14:anchorId="0E399CFF" wp14:editId="69C0B007">
            <wp:extent cx="6461760" cy="2255520"/>
            <wp:effectExtent l="0" t="0" r="15240" b="11430"/>
            <wp:docPr id="1958589591" name="Γράφημα 1">
              <a:extLst xmlns:a="http://schemas.openxmlformats.org/drawingml/2006/main">
                <a:ext uri="{FF2B5EF4-FFF2-40B4-BE49-F238E27FC236}">
                  <a16:creationId xmlns:a16="http://schemas.microsoft.com/office/drawing/2014/main" id="{ABC81EFD-D657-4624-A3B1-AD2F9554D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E38A49" w14:textId="78ECF10F" w:rsidR="00C516DD" w:rsidRDefault="00C516DD" w:rsidP="00514CDF">
      <w:pPr>
        <w:spacing w:before="120" w:after="120" w:line="360" w:lineRule="auto"/>
        <w:jc w:val="both"/>
        <w:rPr>
          <w:rFonts w:ascii="Calibri" w:eastAsia="Calibri" w:hAnsi="Calibri" w:cs="Times New Roman"/>
          <w:sz w:val="24"/>
          <w:szCs w:val="24"/>
        </w:rPr>
      </w:pPr>
      <w:r>
        <w:rPr>
          <w:noProof/>
        </w:rPr>
        <w:drawing>
          <wp:inline distT="0" distB="0" distL="0" distR="0" wp14:anchorId="34E8CCE1" wp14:editId="7F13AB9F">
            <wp:extent cx="6461760" cy="2842260"/>
            <wp:effectExtent l="0" t="0" r="15240" b="15240"/>
            <wp:docPr id="690969991" name="Γράφημα 1">
              <a:extLst xmlns:a="http://schemas.openxmlformats.org/drawingml/2006/main">
                <a:ext uri="{FF2B5EF4-FFF2-40B4-BE49-F238E27FC236}">
                  <a16:creationId xmlns:a16="http://schemas.microsoft.com/office/drawing/2014/main" id="{85EF4503-0B96-4D6E-ABCC-5D38763649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6A7174" w14:textId="202DF781"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lastRenderedPageBreak/>
        <w:t xml:space="preserve">Σε κλαδικό επίπεδο, η πλειονότητα των επιχειρήσεων που αντιμετωπίζουν πρόβλημα στην εξεύρεση εργαζομένων ανήκουν στη μεταποίηση (44,8% των επιχειρήσεων απάντησαν ότι αντιμετωπίζουν πρόβλημα στην εξεύρεση εργαζομένων, έναντι </w:t>
      </w:r>
      <w:r w:rsidR="00EB31DC">
        <w:rPr>
          <w:rFonts w:ascii="Calibri" w:eastAsia="Calibri" w:hAnsi="Calibri" w:cs="Times New Roman"/>
          <w:sz w:val="24"/>
          <w:szCs w:val="24"/>
        </w:rPr>
        <w:t xml:space="preserve">του </w:t>
      </w:r>
      <w:r w:rsidRPr="00B37C71">
        <w:rPr>
          <w:rFonts w:ascii="Calibri" w:eastAsia="Calibri" w:hAnsi="Calibri" w:cs="Times New Roman"/>
          <w:sz w:val="24"/>
          <w:szCs w:val="24"/>
        </w:rPr>
        <w:t>27,6% που απάντησαν ότι δεν αντιμετωπίζουν πρόβλημα), ακολουθούμενες από αυτές που ανήκουν στον κλάδο της παροχής υπηρεσιών (38,5% των επιχειρήσεων απάντησαν ότι αντιμετωπίζουν πρόβλημα στην εξεύρεσης εργαζομένων, έναντι 36,5% που απάντησαν ότι δεν αντιμετωπίζουν πρόβλημα) και με τους δύο αυτούς κλάδους να παρουσιάζουν αρνητικό ισοζύγιο, ενώ μόνο οι επιχειρήσεις που ανήκουν στον κλάδο του εμπορίου παρουσιάζουν θετικό ισοζύγιο, με το 25,8% να αντιμετωπίζει ζήτημα εξεύρεσης εργαζομένων, έναντι ενός 37,1% που δεν αντιμετωπίζει. Ωστόσο, εδώ θα πρέπει να σημειωθεί ότι στον κλάδο του εμπορίου ανήκουν και οι περισσότερες επιχειρήσεις που δήλωσαν ότι δεν απασχολούν προσωπικό (37,1%)</w:t>
      </w:r>
      <w:bookmarkStart w:id="4" w:name="_Hlk173999770"/>
      <w:r w:rsidRPr="00B37C71">
        <w:rPr>
          <w:rFonts w:ascii="Calibri" w:eastAsia="Calibri" w:hAnsi="Calibri" w:cs="Times New Roman"/>
          <w:sz w:val="24"/>
          <w:szCs w:val="24"/>
        </w:rPr>
        <w:t>.</w:t>
      </w:r>
    </w:p>
    <w:bookmarkEnd w:id="4"/>
    <w:p w14:paraId="3A8F3B32" w14:textId="33C90D7E"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Σε επίπεδο μεγέθους και κύκλου εργασιών, οι επιχειρήσεις με 4-5 άτομα και άνω των 5 ατόμων, όπως και αυτές με τζίρο από 100.000-300.000 € και από 300.000 € και άνω είναι αυτές που δηλώνουν ότι αντιμετωπίζουν σε μεγαλύτερο βαθμό πρόβλημα ως προς την εξεύρεση εργαζομένων, παρουσιάζοντας αρνητικό αποτέλεσμα .</w:t>
      </w:r>
    </w:p>
    <w:p w14:paraId="23DEAEA7" w14:textId="43177523"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Σε γεωγραφικό επίπεδο, το μεγαλύτερο ποσοστό επιχειρήσεων που αντιμετωπίζει πρόβλημα στην εξεύρεση εργαζομένων εντοπίζεται στη Βόρεια Ελλάδα (40,7% των επιχειρήσεων αντιμετωπίζει πρόβλημα, έναντι 32,4% που δεν αντιμετωπίζει) και στα νησιά του Αιγαίου και την Κρήτη (36,8% των επιχειρήσεων αντιμετωπίζει πρόβλημα, έναντι 28,3% που δεν αντιμετωπίζει), παρουσιάζοντας αμφότερες ως περιοχές αρνητικά ισοζύγια. Εξ αφορμής του εν λόγω ευρήματος, στο πλαίσιο του σχεδιασμού μέτρων και πολιτικών στήριξης, θα πρέπει να ληφθεί </w:t>
      </w:r>
      <w:proofErr w:type="spellStart"/>
      <w:r w:rsidRPr="00B37C71">
        <w:rPr>
          <w:rFonts w:ascii="Calibri" w:eastAsia="Calibri" w:hAnsi="Calibri" w:cs="Times New Roman"/>
          <w:sz w:val="24"/>
          <w:szCs w:val="24"/>
        </w:rPr>
        <w:t>υπ’όψιν</w:t>
      </w:r>
      <w:proofErr w:type="spellEnd"/>
      <w:r w:rsidRPr="00B37C71">
        <w:rPr>
          <w:rFonts w:ascii="Calibri" w:eastAsia="Calibri" w:hAnsi="Calibri" w:cs="Times New Roman"/>
          <w:sz w:val="24"/>
          <w:szCs w:val="24"/>
        </w:rPr>
        <w:t xml:space="preserve"> μια από τις σοβαρές αλλά και ιδιαίτερες σε σχέση με την υπόλοιπη Ευρώπη  διαστάσεις του δημογραφικού ζητήματος στην Ελλάδα</w:t>
      </w:r>
      <w:r w:rsidR="00EF5F97">
        <w:rPr>
          <w:rStyle w:val="a9"/>
          <w:rFonts w:ascii="Calibri" w:eastAsia="Calibri" w:hAnsi="Calibri" w:cs="Times New Roman"/>
          <w:sz w:val="24"/>
          <w:szCs w:val="24"/>
        </w:rPr>
        <w:footnoteReference w:id="7"/>
      </w:r>
      <w:r w:rsidRPr="00B37C71">
        <w:rPr>
          <w:rFonts w:ascii="Calibri" w:eastAsia="Calibri" w:hAnsi="Calibri" w:cs="Times New Roman"/>
          <w:sz w:val="24"/>
          <w:szCs w:val="24"/>
        </w:rPr>
        <w:t xml:space="preserve"> που αφορά στην εξαιρετικά άνιση κατανομή του πληθυσμού στην ελληνική επικράτεια, με κίνητρα για ανάπτυξη οικονομικής δραστηριότητας σε μονιμότερη βάση, εξασφαλίζοντας έτσι την παραμονή αλλά και προσέλκυση πληθυσμού σε συγκεκριμένες περιοχές. </w:t>
      </w:r>
    </w:p>
    <w:p w14:paraId="30DF0D11" w14:textId="6A66EA60"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Τα δε στοιχεία που προκύπτουν από το ερώτημα σχετικά με τις ειδικότητες που παρουσιάζουν τη μεγαλύτερη έλλειψη, αποτελούν σημαντικό εύρημα που δύναται να αξιοποιηθεί στο πλαίσιο του σχεδιασμού και υλοποίησης προγραμμάτων κατάρτισης. Έτσι, τις τρεις πρώτες θέσεις καταλαμβάνουν οι ειδικευμένοι τεχνίτες και χειριστές μηχανημάτων (37,1%), οι εργάτες/βοηθοί μαστόρων/καθαριστές-</w:t>
      </w:r>
      <w:proofErr w:type="spellStart"/>
      <w:r w:rsidRPr="00B37C71">
        <w:rPr>
          <w:rFonts w:ascii="Calibri" w:eastAsia="Calibri" w:hAnsi="Calibri" w:cs="Times New Roman"/>
          <w:sz w:val="24"/>
          <w:szCs w:val="24"/>
        </w:rPr>
        <w:t>τριες</w:t>
      </w:r>
      <w:proofErr w:type="spellEnd"/>
      <w:r w:rsidRPr="00B37C71">
        <w:rPr>
          <w:rFonts w:ascii="Calibri" w:eastAsia="Calibri" w:hAnsi="Calibri" w:cs="Times New Roman"/>
          <w:sz w:val="24"/>
          <w:szCs w:val="24"/>
        </w:rPr>
        <w:t xml:space="preserve"> </w:t>
      </w:r>
      <w:r w:rsidRPr="00B37C71">
        <w:rPr>
          <w:rFonts w:ascii="Calibri" w:eastAsia="Calibri" w:hAnsi="Calibri" w:cs="Times New Roman"/>
          <w:sz w:val="24"/>
          <w:szCs w:val="24"/>
        </w:rPr>
        <w:lastRenderedPageBreak/>
        <w:t>(17,9%), καθώς και ειδικότητες που σχετίζονται με τον τουρισμό και την εστίαση (τουρισμός/σέρβις/μάγειρες και ζαχαροπλάστες 13,2%) (</w:t>
      </w:r>
      <w:r w:rsidRPr="002F78CE">
        <w:rPr>
          <w:rFonts w:ascii="Calibri" w:eastAsia="Calibri" w:hAnsi="Calibri" w:cs="Times New Roman"/>
          <w:sz w:val="24"/>
          <w:szCs w:val="24"/>
        </w:rPr>
        <w:t>Γράφημα</w:t>
      </w:r>
      <w:r w:rsidR="002F78CE">
        <w:rPr>
          <w:rFonts w:ascii="Calibri" w:eastAsia="Calibri" w:hAnsi="Calibri" w:cs="Times New Roman"/>
          <w:sz w:val="24"/>
          <w:szCs w:val="24"/>
        </w:rPr>
        <w:t xml:space="preserve"> 1</w:t>
      </w:r>
      <w:r w:rsidR="00A4761C">
        <w:rPr>
          <w:rFonts w:ascii="Calibri" w:eastAsia="Calibri" w:hAnsi="Calibri" w:cs="Times New Roman"/>
          <w:sz w:val="24"/>
          <w:szCs w:val="24"/>
        </w:rPr>
        <w:t>4</w:t>
      </w:r>
      <w:r w:rsidRPr="00B37C71">
        <w:rPr>
          <w:rFonts w:ascii="Calibri" w:eastAsia="Calibri" w:hAnsi="Calibri" w:cs="Times New Roman"/>
          <w:sz w:val="24"/>
          <w:szCs w:val="24"/>
        </w:rPr>
        <w:t xml:space="preserve">). </w:t>
      </w:r>
    </w:p>
    <w:p w14:paraId="1EEB9175" w14:textId="3458E357" w:rsidR="00A4761C" w:rsidRDefault="00A4761C" w:rsidP="00514CDF">
      <w:pPr>
        <w:spacing w:before="120" w:after="120" w:line="360" w:lineRule="auto"/>
        <w:jc w:val="both"/>
        <w:rPr>
          <w:rFonts w:ascii="Calibri" w:eastAsia="Calibri" w:hAnsi="Calibri" w:cs="Times New Roman"/>
          <w:sz w:val="24"/>
          <w:szCs w:val="24"/>
        </w:rPr>
      </w:pPr>
      <w:r>
        <w:rPr>
          <w:noProof/>
        </w:rPr>
        <w:drawing>
          <wp:inline distT="0" distB="0" distL="0" distR="0" wp14:anchorId="51165FEA" wp14:editId="78B9D43F">
            <wp:extent cx="6446520" cy="2628900"/>
            <wp:effectExtent l="0" t="0" r="11430" b="0"/>
            <wp:docPr id="954706218" name="Γράφημα 1">
              <a:extLst xmlns:a="http://schemas.openxmlformats.org/drawingml/2006/main">
                <a:ext uri="{FF2B5EF4-FFF2-40B4-BE49-F238E27FC236}">
                  <a16:creationId xmlns:a16="http://schemas.microsoft.com/office/drawing/2014/main" id="{5BAFF7E8-2B5A-4D93-A91A-0651A4C266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FF3CA8" w14:textId="77777777" w:rsidR="00A4761C" w:rsidRDefault="00A4761C" w:rsidP="00514CDF">
      <w:pPr>
        <w:spacing w:before="120" w:after="120" w:line="360" w:lineRule="auto"/>
        <w:jc w:val="both"/>
        <w:rPr>
          <w:rFonts w:ascii="Calibri" w:eastAsia="Calibri" w:hAnsi="Calibri" w:cs="Times New Roman"/>
          <w:sz w:val="24"/>
          <w:szCs w:val="24"/>
        </w:rPr>
      </w:pPr>
    </w:p>
    <w:p w14:paraId="78051B31" w14:textId="761D047A" w:rsidR="009815A2"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Αναφορικά με τους κυριότερους παράγοντες για την έλλειψη προσωπικού στην αγορά εργασίας, οι επικρατέστερες απαντήσεις, σύμφωνα με τις επιχειρήσεις, αφορούν με σειρά προτεραιότητας τις μη ανταγωνιστικές αμοιβές (41,3%), την επιδοματική πολιτική της κυβέρνησης (36,9%), καθώς και την έλλειψη εξειδικευμένου προσωπικού (35,4%), ενώ σημαντικό ήταν και το ποσοστό των επιχειρήσεων που έδωσε ως απάντηση τη μετανάστευση εργαζομένων σε άλλες χώρες (18,8%) (</w:t>
      </w:r>
      <w:r w:rsidRPr="002F78CE">
        <w:rPr>
          <w:rFonts w:ascii="Calibri" w:eastAsia="Calibri" w:hAnsi="Calibri" w:cs="Times New Roman"/>
          <w:sz w:val="24"/>
          <w:szCs w:val="24"/>
        </w:rPr>
        <w:t>Γράφημα</w:t>
      </w:r>
      <w:r w:rsidR="002F78CE">
        <w:rPr>
          <w:rFonts w:ascii="Calibri" w:eastAsia="Calibri" w:hAnsi="Calibri" w:cs="Times New Roman"/>
          <w:sz w:val="24"/>
          <w:szCs w:val="24"/>
        </w:rPr>
        <w:t xml:space="preserve"> 1</w:t>
      </w:r>
      <w:r w:rsidR="00A4761C">
        <w:rPr>
          <w:rFonts w:ascii="Calibri" w:eastAsia="Calibri" w:hAnsi="Calibri" w:cs="Times New Roman"/>
          <w:sz w:val="24"/>
          <w:szCs w:val="24"/>
        </w:rPr>
        <w:t>5</w:t>
      </w:r>
      <w:r w:rsidRPr="00B37C71">
        <w:rPr>
          <w:rFonts w:ascii="Calibri" w:eastAsia="Calibri" w:hAnsi="Calibri" w:cs="Times New Roman"/>
          <w:sz w:val="24"/>
          <w:szCs w:val="24"/>
        </w:rPr>
        <w:t xml:space="preserve">). </w:t>
      </w:r>
    </w:p>
    <w:p w14:paraId="3E96D641" w14:textId="6DF630BB" w:rsidR="00A4761C" w:rsidRPr="00B37C71" w:rsidRDefault="00A4761C" w:rsidP="00514CDF">
      <w:pPr>
        <w:spacing w:before="120" w:after="120" w:line="360" w:lineRule="auto"/>
        <w:jc w:val="both"/>
        <w:rPr>
          <w:rFonts w:ascii="Calibri" w:eastAsia="Calibri" w:hAnsi="Calibri" w:cs="Times New Roman"/>
          <w:sz w:val="24"/>
          <w:szCs w:val="24"/>
        </w:rPr>
      </w:pPr>
      <w:r>
        <w:rPr>
          <w:noProof/>
        </w:rPr>
        <w:drawing>
          <wp:inline distT="0" distB="0" distL="0" distR="0" wp14:anchorId="18B86042" wp14:editId="682AA346">
            <wp:extent cx="6499860" cy="2628900"/>
            <wp:effectExtent l="0" t="0" r="15240" b="0"/>
            <wp:docPr id="1897035744" name="Γράφημα 1">
              <a:extLst xmlns:a="http://schemas.openxmlformats.org/drawingml/2006/main">
                <a:ext uri="{FF2B5EF4-FFF2-40B4-BE49-F238E27FC236}">
                  <a16:creationId xmlns:a16="http://schemas.microsoft.com/office/drawing/2014/main" id="{FD555BC0-1833-41A4-819C-7281318200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F114B8" w14:textId="77777777"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Αναλύοντας σε επίπεδο κλάδου τα παραπάνω ευρήματα, παρατηρείται ότι στον τομέα της μεταποίησης που, όπως αναδείχθηκε από στοιχεία της παρούσας έρευνας, αποτελεί τον κλάδο με το υψηλότερο </w:t>
      </w:r>
      <w:r w:rsidRPr="00B37C71">
        <w:rPr>
          <w:rFonts w:ascii="Calibri" w:eastAsia="Calibri" w:hAnsi="Calibri" w:cs="Times New Roman"/>
          <w:sz w:val="24"/>
          <w:szCs w:val="24"/>
        </w:rPr>
        <w:lastRenderedPageBreak/>
        <w:t xml:space="preserve">ποσοστό δυσκολίας ανεύρεσης εργαζομένων, η έλλειψη ειδικευμένου προσωπικού θεωρείται από τις επιχειρήσεις του συγκεκριμένου κλάδου ως η κυριότερη αιτία δυσκολίας εύρεσης εργαζομένων (42,2%). Το συγκεκριμένο εύρημα συνάδει με τα υψηλά ποσοστά που σημείωσαν οι ειδικότητες των ειδικευμένων τεχνιτών/χειριστών μηχανημάτων, καθώς και των εργατών και βοηθών μαστόρων, που καταλαμβάνουν τις δύο πρώτες θέσεις στο ερώτημα σχετικά με τις ειδικότητες που παρουσιάζουν έλλειψη στην αγορά εργασίας. </w:t>
      </w:r>
    </w:p>
    <w:p w14:paraId="19B4C2AB" w14:textId="77777777"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Όσον αφορά τους δύο άλλους κλάδους, στο εμπόριο παρουσιάζεται το υψηλότερο ποσοστό επιχειρήσεων που θεωρούν ως κυριότερο παράγοντα για την έλλειψη προσωπικού τις μη ανταγωνιστικές αμοιβές (49,2%), ενώ στον κλάδο των υπηρεσιών παρουσιάζεται το υψηλότερο ποσοστό επιχειρήσεων που θεωρεί τη μετανάστευση εργαζομένων σε άλλες χώρες (20,2%) ως την κυριότερη αιτία έλλειψης εργαζομένων.</w:t>
      </w:r>
    </w:p>
    <w:p w14:paraId="469CDC48" w14:textId="46C6A233"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Σε επίπεδο μεγέθους, οι επιχειρήσεις χωρίς προσωπικό θεωρούν ότι ο κυριότερος λόγος δυσκολίας εύρεσης εργαζομένων είναι οι μη ανταγωνιστικές αμοιβές (50,0%), ενώ στις μεγαλύτερες επιχειρήσεις (4-5 άτομα και άνω των 5 ατόμων) η δημοφιλέστερη απάντηση είναι η έλλειψη εξειδίκευσης (47,5% και 44,8% αντίστοιχα).</w:t>
      </w:r>
    </w:p>
    <w:p w14:paraId="0ABB9EE9" w14:textId="4D495C56"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Παρόμοια είναι η εικόνα που σκιαγραφείται και σε επίπεδο κύκλου εργασιών, αφού σύμφωνα με τα ευρήματα της έρευνας στις επιχειρήσεις με ετήσιο τζίρο έως 50.000 το υψηλότερο ποσοστό ως προς την αιτία έλλειψης εργαζομένων συγκεντρώνουν οι μη ανταγωνιστικές αμοιβές (46,3%), ενώ όσο ο τζίρος των επιχειρήσεων αυξάνεται, παρόλο που ο παράγων των χαμηλών αμοιβών παραμένει ψηλά, αυξάνεται σημαντικά το ποσοστό των επιχειρήσεων που θεωρεί την έλλειψη εξειδίκευσης ως κύρια αιτία δυσκολίας για την εύρεση εργαζομένων.</w:t>
      </w:r>
    </w:p>
    <w:p w14:paraId="5ACC0192" w14:textId="435E40E2"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Τέλος, σε γεωγραφικό επίπεδο, η έλλειψη εξειδικευμένου προσωπικού θεωρείται ως ο κυριότερος λόγος δυσκολίας εύρεσης προσωπικού στη Βόρεια Ελλάδα, καθώς και στα Νησιά Αιγαίου και την Κρήτη, συνάδοντας, εμφανώς, τόσο με τη φύση της κυριότερης οικονομικής δραστηριότητας των συγκεκριμένων περιοχών (τουρισμός) και συνακόλουθα την εποχικότητα της πλειονότητας των προσφερόμενων θέσεων εργασίας, όσο και  με τη δημογραφική διάσταση της έντονης αστικοποίησης και μιας εξαιρετικά άνισης γεωγραφικής – περιφερειακής κατανομής της παραγωγικής και </w:t>
      </w:r>
      <w:proofErr w:type="spellStart"/>
      <w:r w:rsidRPr="00B37C71">
        <w:rPr>
          <w:rFonts w:ascii="Calibri" w:eastAsia="Calibri" w:hAnsi="Calibri" w:cs="Times New Roman"/>
          <w:sz w:val="24"/>
          <w:szCs w:val="24"/>
        </w:rPr>
        <w:t>κοινωνικο</w:t>
      </w:r>
      <w:proofErr w:type="spellEnd"/>
      <w:r w:rsidRPr="00B37C71">
        <w:rPr>
          <w:rFonts w:ascii="Calibri" w:eastAsia="Calibri" w:hAnsi="Calibri" w:cs="Times New Roman"/>
          <w:sz w:val="24"/>
          <w:szCs w:val="24"/>
        </w:rPr>
        <w:t>-οικονομικής δραστηριότητας. Να σημειωθεί, επίσης, ότι το υψηλότερο ποσοστό επιχειρήσεων που θεωρεί ως βασικό λόγο δυσκολίας εύρεσης προσωπικού τις μη ανταγωνιστικές αμοιβές σημειώνεται στην περιοχή της Αττικής (48,5%) .</w:t>
      </w:r>
    </w:p>
    <w:p w14:paraId="5F652F54" w14:textId="5DE201AD"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lastRenderedPageBreak/>
        <w:t xml:space="preserve">Τα ευρήματα της παρούσας έρευνας συνάδουν με αποτελέσματα πρόσφατων ερευνών, όπως του </w:t>
      </w:r>
      <w:proofErr w:type="spellStart"/>
      <w:r w:rsidRPr="00B37C71">
        <w:rPr>
          <w:rFonts w:ascii="Calibri" w:eastAsia="Calibri" w:hAnsi="Calibri" w:cs="Times New Roman"/>
          <w:sz w:val="24"/>
          <w:szCs w:val="24"/>
        </w:rPr>
        <w:t>Ευρωβαρόμετρου</w:t>
      </w:r>
      <w:proofErr w:type="spellEnd"/>
      <w:r w:rsidRPr="00E90916">
        <w:rPr>
          <w:rFonts w:eastAsia="Calibri"/>
          <w:vertAlign w:val="superscript"/>
        </w:rPr>
        <w:footnoteReference w:id="8"/>
      </w:r>
      <w:r w:rsidRPr="00E90916">
        <w:rPr>
          <w:rFonts w:ascii="Calibri" w:eastAsia="Calibri" w:hAnsi="Calibri" w:cs="Times New Roman"/>
          <w:sz w:val="24"/>
          <w:szCs w:val="24"/>
          <w:vertAlign w:val="superscript"/>
        </w:rPr>
        <w:t xml:space="preserve"> </w:t>
      </w:r>
      <w:r w:rsidRPr="00B37C71">
        <w:rPr>
          <w:rFonts w:ascii="Calibri" w:eastAsia="Calibri" w:hAnsi="Calibri" w:cs="Times New Roman"/>
          <w:sz w:val="24"/>
          <w:szCs w:val="24"/>
        </w:rPr>
        <w:t xml:space="preserve">που διεξήχθη τον Μάιο του 2023 και σκιαγραφούν το φαινόμενο της «αναντιστοιχίας δεξιοτήτων», με αποτέλεσμα πολλές θέσεις εργασίας να παραμένουν ακάλυπτες, ακόμα και εν μέσω υψηλής ή αυξανόμενης ανεργίας και </w:t>
      </w:r>
      <w:r w:rsidR="00EB31DC">
        <w:rPr>
          <w:rFonts w:ascii="Calibri" w:eastAsia="Calibri" w:hAnsi="Calibri" w:cs="Times New Roman"/>
          <w:sz w:val="24"/>
          <w:szCs w:val="24"/>
        </w:rPr>
        <w:t xml:space="preserve">με </w:t>
      </w:r>
      <w:r w:rsidRPr="00B37C71">
        <w:rPr>
          <w:rFonts w:ascii="Calibri" w:eastAsia="Calibri" w:hAnsi="Calibri" w:cs="Times New Roman"/>
          <w:sz w:val="24"/>
          <w:szCs w:val="24"/>
        </w:rPr>
        <w:t xml:space="preserve">τις </w:t>
      </w:r>
      <w:proofErr w:type="spellStart"/>
      <w:r w:rsidRPr="00B37C71">
        <w:rPr>
          <w:rFonts w:ascii="Calibri" w:eastAsia="Calibri" w:hAnsi="Calibri" w:cs="Times New Roman"/>
          <w:sz w:val="24"/>
          <w:szCs w:val="24"/>
        </w:rPr>
        <w:t>ΜμΕ</w:t>
      </w:r>
      <w:proofErr w:type="spellEnd"/>
      <w:r w:rsidRPr="00B37C71">
        <w:rPr>
          <w:rFonts w:ascii="Calibri" w:eastAsia="Calibri" w:hAnsi="Calibri" w:cs="Times New Roman"/>
          <w:sz w:val="24"/>
          <w:szCs w:val="24"/>
        </w:rPr>
        <w:t xml:space="preserve"> του βιομηχανικού και μεταποιητικού τομέα να αντιμετωπίζουν το μεγαλύτερο πρόβλημα, τόσο στην Ελλάδα όσο και πανευρωπαϊκά, αφού το λεγόμενο “</w:t>
      </w:r>
      <w:proofErr w:type="spellStart"/>
      <w:r w:rsidRPr="00B37C71">
        <w:rPr>
          <w:rFonts w:ascii="Calibri" w:eastAsia="Calibri" w:hAnsi="Calibri" w:cs="Times New Roman"/>
          <w:sz w:val="24"/>
          <w:szCs w:val="24"/>
        </w:rPr>
        <w:t>skill</w:t>
      </w:r>
      <w:proofErr w:type="spellEnd"/>
      <w:r w:rsidRPr="00B37C71">
        <w:rPr>
          <w:rFonts w:ascii="Calibri" w:eastAsia="Calibri" w:hAnsi="Calibri" w:cs="Times New Roman"/>
          <w:sz w:val="24"/>
          <w:szCs w:val="24"/>
        </w:rPr>
        <w:t xml:space="preserve"> </w:t>
      </w:r>
      <w:proofErr w:type="spellStart"/>
      <w:r w:rsidRPr="00B37C71">
        <w:rPr>
          <w:rFonts w:ascii="Calibri" w:eastAsia="Calibri" w:hAnsi="Calibri" w:cs="Times New Roman"/>
          <w:sz w:val="24"/>
          <w:szCs w:val="24"/>
        </w:rPr>
        <w:t>shortage</w:t>
      </w:r>
      <w:proofErr w:type="spellEnd"/>
      <w:r w:rsidRPr="00B37C71">
        <w:rPr>
          <w:rFonts w:ascii="Calibri" w:eastAsia="Calibri" w:hAnsi="Calibri" w:cs="Times New Roman"/>
          <w:sz w:val="24"/>
          <w:szCs w:val="24"/>
        </w:rPr>
        <w:t>” σχετίζεται κυρίως με την έλλειψη δεξιοτήτων για τεχνικά καταρτισμένο προσωπικό.</w:t>
      </w:r>
    </w:p>
    <w:p w14:paraId="47D59BEE" w14:textId="77777777"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Στην Ελλάδα, το συγκεκριμένο ζήτημα παρουσιάζεται ιδιαίτερα οξυμένο, με τις </w:t>
      </w:r>
      <w:proofErr w:type="spellStart"/>
      <w:r w:rsidRPr="00B37C71">
        <w:rPr>
          <w:rFonts w:ascii="Calibri" w:eastAsia="Calibri" w:hAnsi="Calibri" w:cs="Times New Roman"/>
          <w:sz w:val="24"/>
          <w:szCs w:val="24"/>
        </w:rPr>
        <w:t>ΜμΕ</w:t>
      </w:r>
      <w:proofErr w:type="spellEnd"/>
      <w:r w:rsidRPr="00B37C71">
        <w:rPr>
          <w:rFonts w:ascii="Calibri" w:eastAsia="Calibri" w:hAnsi="Calibri" w:cs="Times New Roman"/>
          <w:sz w:val="24"/>
          <w:szCs w:val="24"/>
        </w:rPr>
        <w:t xml:space="preserve"> να θεωρούν, μάλιστα, σε πολλές περιπτώσεις την έλλειψη εργαζομένων με τις κατάλληλες δεξιότητες πρόβλημα μεγαλύτερο ακόμα και από την περιορισμένη πρόσβαση στη χρηματοδότηση</w:t>
      </w:r>
      <w:r w:rsidRPr="00E90916">
        <w:rPr>
          <w:rFonts w:eastAsia="Calibri"/>
          <w:vertAlign w:val="superscript"/>
        </w:rPr>
        <w:footnoteReference w:id="9"/>
      </w:r>
      <w:r w:rsidRPr="00B37C71">
        <w:rPr>
          <w:rFonts w:ascii="Calibri" w:eastAsia="Calibri" w:hAnsi="Calibri" w:cs="Times New Roman"/>
          <w:sz w:val="24"/>
          <w:szCs w:val="24"/>
        </w:rPr>
        <w:t>.</w:t>
      </w:r>
    </w:p>
    <w:p w14:paraId="68CBE14F" w14:textId="77777777"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 xml:space="preserve">Έτσι, αν και τα τελευταία χρόνια υπάρχει μεγάλη επέκταση της τριτοβάθμιας εκπαίδευσης, οι δεξιότητες των πτυχιούχων δεν έχουν βελτιωθεί αναλόγως, με την ποιότητα της επαγγελματικής εκπαίδευσης και κατάρτισης, τόσο της αρχικής όσο και της συνεχιζόμενης, να παραμένει χαμηλή. </w:t>
      </w:r>
    </w:p>
    <w:p w14:paraId="708F8A75" w14:textId="0CD5045B" w:rsidR="009815A2" w:rsidRPr="00B37C71" w:rsidRDefault="009815A2" w:rsidP="00514CDF">
      <w:pPr>
        <w:spacing w:before="120" w:after="120" w:line="360" w:lineRule="auto"/>
        <w:jc w:val="both"/>
        <w:rPr>
          <w:rFonts w:ascii="Calibri" w:eastAsia="Calibri" w:hAnsi="Calibri" w:cs="Times New Roman"/>
          <w:sz w:val="24"/>
          <w:szCs w:val="24"/>
        </w:rPr>
      </w:pPr>
      <w:r w:rsidRPr="00B37C71">
        <w:rPr>
          <w:rFonts w:ascii="Calibri" w:eastAsia="Calibri" w:hAnsi="Calibri" w:cs="Times New Roman"/>
          <w:sz w:val="24"/>
          <w:szCs w:val="24"/>
        </w:rPr>
        <w:t>Είναι σημαντικό, ωστόσο, να σημειωθεί ότι το ζήτημα των χαμηλών δεξιοτήτων στην Ελλάδα δεν εντοπίζεται μόνο στην πλευρά της προσφοράς, δηλαδή στις αποτυχίες του συστήματος παραγωγής δεξιοτήτων και στην αλληλεπίδρασή του με την αγορά εργασίας</w:t>
      </w:r>
      <w:r w:rsidRPr="00E90916">
        <w:rPr>
          <w:rFonts w:eastAsia="Calibri"/>
          <w:vertAlign w:val="superscript"/>
        </w:rPr>
        <w:footnoteReference w:id="10"/>
      </w:r>
      <w:r w:rsidR="00EB31DC">
        <w:rPr>
          <w:rFonts w:ascii="Calibri" w:eastAsia="Calibri" w:hAnsi="Calibri" w:cs="Times New Roman"/>
          <w:sz w:val="24"/>
          <w:szCs w:val="24"/>
        </w:rPr>
        <w:t>,</w:t>
      </w:r>
      <w:r w:rsidRPr="00B37C71">
        <w:rPr>
          <w:rFonts w:ascii="Calibri" w:eastAsia="Calibri" w:hAnsi="Calibri" w:cs="Times New Roman"/>
          <w:sz w:val="24"/>
          <w:szCs w:val="24"/>
        </w:rPr>
        <w:t xml:space="preserve"> αλλά και στην πλευρά της ζήτησης, δηλαδή στο γεγονός ότι μεγάλο ποσοστό ελληνικών επιχειρήσεων δεν επενδύει στην κατάρτιση των εργαζομένων. Κι αυτό δεν αφορά μόνο τις μικρές επιχειρήσεις, αλλά είναι διαδεδομένο και μεταξύ επιχειρήσεων που απασχολούν πάνω από 250 άτομα προσωπικό, καθιστώντας την κατάσταση αυτήν εμπόδιο για την αναβάθμιση εν γένει του παραγωγικού μοντέλου στη χώρα</w:t>
      </w:r>
      <w:r w:rsidRPr="00E90916">
        <w:rPr>
          <w:rFonts w:eastAsia="Calibri"/>
          <w:vertAlign w:val="superscript"/>
        </w:rPr>
        <w:footnoteReference w:id="11"/>
      </w:r>
      <w:r w:rsidRPr="00B37C71">
        <w:rPr>
          <w:rFonts w:ascii="Calibri" w:eastAsia="Calibri" w:hAnsi="Calibri" w:cs="Times New Roman"/>
          <w:sz w:val="24"/>
          <w:szCs w:val="24"/>
        </w:rPr>
        <w:t>.</w:t>
      </w:r>
    </w:p>
    <w:p w14:paraId="3BEA8C18" w14:textId="00FEF50F" w:rsidR="00A7536F" w:rsidRPr="00DE77D0" w:rsidRDefault="00817AE2" w:rsidP="00DE77D0">
      <w:pPr>
        <w:numPr>
          <w:ilvl w:val="0"/>
          <w:numId w:val="4"/>
        </w:numPr>
        <w:spacing w:after="0" w:line="360" w:lineRule="auto"/>
        <w:contextualSpacing/>
        <w:rPr>
          <w:rFonts w:ascii="Calibri" w:hAnsi="Calibri" w:cs="Calibri"/>
          <w:b/>
          <w:sz w:val="24"/>
          <w:szCs w:val="24"/>
          <w:u w:val="single"/>
        </w:rPr>
      </w:pPr>
      <w:r w:rsidRPr="00817AE2">
        <w:rPr>
          <w:rFonts w:ascii="Calibri" w:hAnsi="Calibri" w:cs="Calibri"/>
          <w:b/>
          <w:sz w:val="24"/>
          <w:szCs w:val="24"/>
          <w:u w:val="single"/>
        </w:rPr>
        <w:lastRenderedPageBreak/>
        <w:t>Επενδύσεις</w:t>
      </w:r>
    </w:p>
    <w:p w14:paraId="42B9051B" w14:textId="77777777" w:rsidR="007975B8" w:rsidRDefault="00EB5BB3" w:rsidP="00A7536F">
      <w:pPr>
        <w:spacing w:line="360" w:lineRule="auto"/>
        <w:jc w:val="both"/>
        <w:rPr>
          <w:rFonts w:ascii="Calibri" w:eastAsia="Times New Roman" w:hAnsi="Calibri" w:cs="Calibri"/>
          <w:sz w:val="24"/>
          <w:szCs w:val="24"/>
        </w:rPr>
      </w:pPr>
      <w:r>
        <w:rPr>
          <w:rFonts w:ascii="Calibri" w:eastAsia="Times New Roman" w:hAnsi="Calibri" w:cs="Calibri"/>
          <w:sz w:val="24"/>
          <w:szCs w:val="24"/>
        </w:rPr>
        <w:t>Όσον αφορά</w:t>
      </w:r>
      <w:r w:rsidR="00B715BE">
        <w:rPr>
          <w:rFonts w:ascii="Calibri" w:eastAsia="Times New Roman" w:hAnsi="Calibri" w:cs="Calibri"/>
          <w:sz w:val="24"/>
          <w:szCs w:val="24"/>
        </w:rPr>
        <w:t xml:space="preserve"> τις επενδύσεις</w:t>
      </w:r>
      <w:r w:rsidR="007A57CE">
        <w:rPr>
          <w:rFonts w:ascii="Calibri" w:eastAsia="Times New Roman" w:hAnsi="Calibri" w:cs="Calibri"/>
          <w:sz w:val="24"/>
          <w:szCs w:val="24"/>
        </w:rPr>
        <w:t>,</w:t>
      </w:r>
      <w:r w:rsidR="00B715BE">
        <w:rPr>
          <w:rFonts w:ascii="Calibri" w:eastAsia="Times New Roman" w:hAnsi="Calibri" w:cs="Calibri"/>
          <w:sz w:val="24"/>
          <w:szCs w:val="24"/>
        </w:rPr>
        <w:t xml:space="preserve"> τ</w:t>
      </w:r>
      <w:r w:rsidR="00A7536F" w:rsidRPr="00A7536F">
        <w:rPr>
          <w:rFonts w:ascii="Calibri" w:eastAsia="Times New Roman" w:hAnsi="Calibri" w:cs="Calibri"/>
          <w:sz w:val="24"/>
          <w:szCs w:val="24"/>
        </w:rPr>
        <w:t xml:space="preserve">ο </w:t>
      </w:r>
      <w:r w:rsidR="00CD40BC">
        <w:rPr>
          <w:rFonts w:ascii="Calibri" w:eastAsia="Times New Roman" w:hAnsi="Calibri" w:cs="Calibri"/>
          <w:sz w:val="24"/>
          <w:szCs w:val="24"/>
        </w:rPr>
        <w:t>πρώτο</w:t>
      </w:r>
      <w:r w:rsidR="00A7536F" w:rsidRPr="00A7536F">
        <w:rPr>
          <w:rFonts w:ascii="Calibri" w:eastAsia="Times New Roman" w:hAnsi="Calibri" w:cs="Calibri"/>
          <w:sz w:val="24"/>
          <w:szCs w:val="24"/>
        </w:rPr>
        <w:t xml:space="preserve"> εξάμηνο του 202</w:t>
      </w:r>
      <w:r w:rsidR="00CD40BC">
        <w:rPr>
          <w:rFonts w:ascii="Calibri" w:eastAsia="Times New Roman" w:hAnsi="Calibri" w:cs="Calibri"/>
          <w:sz w:val="24"/>
          <w:szCs w:val="24"/>
        </w:rPr>
        <w:t>4</w:t>
      </w:r>
      <w:r w:rsidR="00A7536F" w:rsidRPr="00A7536F">
        <w:rPr>
          <w:rFonts w:ascii="Calibri" w:eastAsia="Times New Roman" w:hAnsi="Calibri" w:cs="Calibri"/>
          <w:sz w:val="24"/>
          <w:szCs w:val="24"/>
        </w:rPr>
        <w:t xml:space="preserve"> </w:t>
      </w:r>
      <w:r w:rsidR="00B715BE">
        <w:rPr>
          <w:rFonts w:ascii="Calibri" w:eastAsia="Times New Roman" w:hAnsi="Calibri" w:cs="Calibri"/>
          <w:sz w:val="24"/>
          <w:szCs w:val="24"/>
        </w:rPr>
        <w:t>το 3</w:t>
      </w:r>
      <w:r w:rsidR="00CD40BC">
        <w:rPr>
          <w:rFonts w:ascii="Calibri" w:eastAsia="Times New Roman" w:hAnsi="Calibri" w:cs="Calibri"/>
          <w:sz w:val="24"/>
          <w:szCs w:val="24"/>
        </w:rPr>
        <w:t>4</w:t>
      </w:r>
      <w:r w:rsidR="00B715BE">
        <w:rPr>
          <w:rFonts w:ascii="Calibri" w:eastAsia="Times New Roman" w:hAnsi="Calibri" w:cs="Calibri"/>
          <w:sz w:val="24"/>
          <w:szCs w:val="24"/>
        </w:rPr>
        <w:t>,</w:t>
      </w:r>
      <w:r w:rsidR="00CD40BC">
        <w:rPr>
          <w:rFonts w:ascii="Calibri" w:eastAsia="Times New Roman" w:hAnsi="Calibri" w:cs="Calibri"/>
          <w:sz w:val="24"/>
          <w:szCs w:val="24"/>
        </w:rPr>
        <w:t>1</w:t>
      </w:r>
      <w:r w:rsidR="00B715BE">
        <w:rPr>
          <w:rFonts w:ascii="Calibri" w:eastAsia="Times New Roman" w:hAnsi="Calibri" w:cs="Calibri"/>
          <w:sz w:val="24"/>
          <w:szCs w:val="24"/>
        </w:rPr>
        <w:t>% των μικρών και πολύ μικρών επιχειρήσεων δήλωσε πως πραγματοποίησε κάποιας μορφής επένδυση. Ειδικότερα, α</w:t>
      </w:r>
      <w:r w:rsidR="00A7536F" w:rsidRPr="00A7536F">
        <w:rPr>
          <w:rFonts w:ascii="Calibri" w:eastAsia="Times New Roman" w:hAnsi="Calibri" w:cs="Calibri"/>
          <w:sz w:val="24"/>
          <w:szCs w:val="24"/>
        </w:rPr>
        <w:t>πό τα ευρήματα της παρούσας έρευνας προέκυψε ότι το 2</w:t>
      </w:r>
      <w:r w:rsidR="00CD40BC">
        <w:rPr>
          <w:rFonts w:ascii="Calibri" w:eastAsia="Times New Roman" w:hAnsi="Calibri" w:cs="Calibri"/>
          <w:sz w:val="24"/>
          <w:szCs w:val="24"/>
        </w:rPr>
        <w:t>2</w:t>
      </w:r>
      <w:r w:rsidR="00A7536F" w:rsidRPr="00A7536F">
        <w:rPr>
          <w:rFonts w:ascii="Calibri" w:eastAsia="Times New Roman" w:hAnsi="Calibri" w:cs="Calibri"/>
          <w:sz w:val="24"/>
          <w:szCs w:val="24"/>
        </w:rPr>
        <w:t>,</w:t>
      </w:r>
      <w:r w:rsidR="00CD40BC">
        <w:rPr>
          <w:rFonts w:ascii="Calibri" w:eastAsia="Times New Roman" w:hAnsi="Calibri" w:cs="Calibri"/>
          <w:sz w:val="24"/>
          <w:szCs w:val="24"/>
        </w:rPr>
        <w:t>8</w:t>
      </w:r>
      <w:r w:rsidR="00A7536F" w:rsidRPr="00A7536F">
        <w:rPr>
          <w:rFonts w:ascii="Calibri" w:eastAsia="Times New Roman" w:hAnsi="Calibri" w:cs="Calibri"/>
          <w:sz w:val="24"/>
          <w:szCs w:val="24"/>
        </w:rPr>
        <w:t xml:space="preserve">% των μικρών και πολύ μικρών επιχειρήσεων πραγματοποίησε </w:t>
      </w:r>
      <w:r w:rsidR="00B715BE">
        <w:rPr>
          <w:rFonts w:ascii="Calibri" w:eastAsia="Times New Roman" w:hAnsi="Calibri" w:cs="Calibri"/>
          <w:sz w:val="24"/>
          <w:szCs w:val="24"/>
        </w:rPr>
        <w:t xml:space="preserve">επενδύσεις σε </w:t>
      </w:r>
      <w:r w:rsidR="00352BE5">
        <w:rPr>
          <w:rFonts w:ascii="Calibri" w:eastAsia="Times New Roman" w:hAnsi="Calibri" w:cs="Calibri"/>
          <w:sz w:val="24"/>
          <w:szCs w:val="24"/>
        </w:rPr>
        <w:t>τ</w:t>
      </w:r>
      <w:r w:rsidR="00A7536F" w:rsidRPr="00A7536F">
        <w:rPr>
          <w:rFonts w:ascii="Calibri" w:eastAsia="Times New Roman" w:hAnsi="Calibri" w:cs="Calibri"/>
          <w:sz w:val="24"/>
          <w:szCs w:val="24"/>
        </w:rPr>
        <w:t>εχνολογικό εξοπλισμό και ψηφιακές τεχνολογίες</w:t>
      </w:r>
      <w:r w:rsidR="00EE3DCA">
        <w:rPr>
          <w:rFonts w:ascii="Calibri" w:eastAsia="Times New Roman" w:hAnsi="Calibri" w:cs="Calibri"/>
          <w:sz w:val="24"/>
          <w:szCs w:val="24"/>
        </w:rPr>
        <w:t xml:space="preserve"> </w:t>
      </w:r>
      <w:r w:rsidR="00A7536F" w:rsidRPr="00A7536F">
        <w:rPr>
          <w:rFonts w:ascii="Calibri" w:eastAsia="Times New Roman" w:hAnsi="Calibri" w:cs="Calibri"/>
          <w:sz w:val="24"/>
          <w:szCs w:val="24"/>
        </w:rPr>
        <w:t>(π.χ. λογισμικό, ψηφιακέ</w:t>
      </w:r>
      <w:r w:rsidR="00B715BE">
        <w:rPr>
          <w:rFonts w:ascii="Calibri" w:eastAsia="Times New Roman" w:hAnsi="Calibri" w:cs="Calibri"/>
          <w:sz w:val="24"/>
          <w:szCs w:val="24"/>
        </w:rPr>
        <w:t xml:space="preserve">ς συσκευές και εφαρμογές κ.λπ.), το </w:t>
      </w:r>
      <w:r w:rsidR="00CD40BC">
        <w:rPr>
          <w:rFonts w:ascii="Calibri" w:eastAsia="Times New Roman" w:hAnsi="Calibri" w:cs="Calibri"/>
          <w:sz w:val="24"/>
          <w:szCs w:val="24"/>
        </w:rPr>
        <w:t>12</w:t>
      </w:r>
      <w:r w:rsidR="00B715BE">
        <w:rPr>
          <w:rFonts w:ascii="Calibri" w:eastAsia="Times New Roman" w:hAnsi="Calibri" w:cs="Calibri"/>
          <w:sz w:val="24"/>
          <w:szCs w:val="24"/>
        </w:rPr>
        <w:t>,</w:t>
      </w:r>
      <w:r w:rsidR="00CD40BC">
        <w:rPr>
          <w:rFonts w:ascii="Calibri" w:eastAsia="Times New Roman" w:hAnsi="Calibri" w:cs="Calibri"/>
          <w:sz w:val="24"/>
          <w:szCs w:val="24"/>
        </w:rPr>
        <w:t>8</w:t>
      </w:r>
      <w:r w:rsidR="00B715BE">
        <w:rPr>
          <w:rFonts w:ascii="Calibri" w:eastAsia="Times New Roman" w:hAnsi="Calibri" w:cs="Calibri"/>
          <w:sz w:val="24"/>
          <w:szCs w:val="24"/>
        </w:rPr>
        <w:t xml:space="preserve">% επενδύσεις σε μηχανολογικό εξοπλισμό και λοιπά μηχανήματα, το </w:t>
      </w:r>
      <w:r w:rsidR="00CD40BC">
        <w:rPr>
          <w:rFonts w:ascii="Calibri" w:eastAsia="Times New Roman" w:hAnsi="Calibri" w:cs="Calibri"/>
          <w:sz w:val="24"/>
          <w:szCs w:val="24"/>
        </w:rPr>
        <w:t>8</w:t>
      </w:r>
      <w:r w:rsidR="00B715BE">
        <w:rPr>
          <w:rFonts w:ascii="Calibri" w:eastAsia="Times New Roman" w:hAnsi="Calibri" w:cs="Calibri"/>
          <w:sz w:val="24"/>
          <w:szCs w:val="24"/>
        </w:rPr>
        <w:t>,</w:t>
      </w:r>
      <w:r w:rsidR="00CD40BC">
        <w:rPr>
          <w:rFonts w:ascii="Calibri" w:eastAsia="Times New Roman" w:hAnsi="Calibri" w:cs="Calibri"/>
          <w:sz w:val="24"/>
          <w:szCs w:val="24"/>
        </w:rPr>
        <w:t>6</w:t>
      </w:r>
      <w:r w:rsidR="00B715BE">
        <w:rPr>
          <w:rFonts w:ascii="Calibri" w:eastAsia="Times New Roman" w:hAnsi="Calibri" w:cs="Calibri"/>
          <w:sz w:val="24"/>
          <w:szCs w:val="24"/>
        </w:rPr>
        <w:t xml:space="preserve">% σε κτιριακές εγκαταστάσεις και λοιπό εξοπλισμό και το </w:t>
      </w:r>
      <w:r w:rsidR="00CD40BC">
        <w:rPr>
          <w:rFonts w:ascii="Calibri" w:eastAsia="Times New Roman" w:hAnsi="Calibri" w:cs="Calibri"/>
          <w:sz w:val="24"/>
          <w:szCs w:val="24"/>
        </w:rPr>
        <w:t>6</w:t>
      </w:r>
      <w:r w:rsidR="00B715BE">
        <w:rPr>
          <w:rFonts w:ascii="Calibri" w:eastAsia="Times New Roman" w:hAnsi="Calibri" w:cs="Calibri"/>
          <w:sz w:val="24"/>
          <w:szCs w:val="24"/>
        </w:rPr>
        <w:t>,</w:t>
      </w:r>
      <w:r w:rsidR="00CD40BC">
        <w:rPr>
          <w:rFonts w:ascii="Calibri" w:eastAsia="Times New Roman" w:hAnsi="Calibri" w:cs="Calibri"/>
          <w:sz w:val="24"/>
          <w:szCs w:val="24"/>
        </w:rPr>
        <w:t>7</w:t>
      </w:r>
      <w:r w:rsidR="00B715BE">
        <w:rPr>
          <w:rFonts w:ascii="Calibri" w:eastAsia="Times New Roman" w:hAnsi="Calibri" w:cs="Calibri"/>
          <w:sz w:val="24"/>
          <w:szCs w:val="24"/>
        </w:rPr>
        <w:t>% σε κατάρτιση και εκπαίδευση προσωπικού</w:t>
      </w:r>
      <w:r w:rsidR="00A7536F" w:rsidRPr="00A7536F">
        <w:rPr>
          <w:rFonts w:ascii="Calibri" w:eastAsia="Times New Roman" w:hAnsi="Calibri" w:cs="Calibri"/>
          <w:sz w:val="24"/>
          <w:szCs w:val="24"/>
        </w:rPr>
        <w:t xml:space="preserve">. </w:t>
      </w:r>
    </w:p>
    <w:p w14:paraId="21162036" w14:textId="404CE8E8" w:rsidR="00CD40BC" w:rsidRPr="00CD40BC" w:rsidRDefault="00CD40BC" w:rsidP="00A7536F">
      <w:pPr>
        <w:spacing w:line="360" w:lineRule="auto"/>
        <w:jc w:val="both"/>
        <w:rPr>
          <w:rFonts w:ascii="Calibri" w:eastAsia="Times New Roman" w:hAnsi="Calibri" w:cs="Calibri"/>
          <w:sz w:val="24"/>
          <w:szCs w:val="24"/>
        </w:rPr>
      </w:pPr>
      <w:r>
        <w:rPr>
          <w:rFonts w:ascii="Calibri" w:eastAsia="Times New Roman" w:hAnsi="Calibri" w:cs="Calibri"/>
          <w:sz w:val="24"/>
          <w:szCs w:val="24"/>
        </w:rPr>
        <w:t>Επισημαίνεται, ότι μέρος των επενδύσεων που πραγματοποιήθηκαν κατά το πρώτο εξάμηνο του έτους οφείλονται σε μεγάλο βαθμό σε αλλαγές νομοθετικού πλαισίου (π</w:t>
      </w:r>
      <w:r w:rsidR="004E7019">
        <w:rPr>
          <w:rFonts w:ascii="Calibri" w:eastAsia="Times New Roman" w:hAnsi="Calibri" w:cs="Calibri"/>
          <w:sz w:val="24"/>
          <w:szCs w:val="24"/>
        </w:rPr>
        <w:t>.</w:t>
      </w:r>
      <w:r>
        <w:rPr>
          <w:rFonts w:ascii="Calibri" w:eastAsia="Times New Roman" w:hAnsi="Calibri" w:cs="Calibri"/>
          <w:sz w:val="24"/>
          <w:szCs w:val="24"/>
        </w:rPr>
        <w:t>χ</w:t>
      </w:r>
      <w:r w:rsidR="004E7019">
        <w:rPr>
          <w:rFonts w:ascii="Calibri" w:eastAsia="Times New Roman" w:hAnsi="Calibri" w:cs="Calibri"/>
          <w:sz w:val="24"/>
          <w:szCs w:val="24"/>
        </w:rPr>
        <w:t>.</w:t>
      </w:r>
      <w:r>
        <w:rPr>
          <w:rFonts w:ascii="Calibri" w:eastAsia="Times New Roman" w:hAnsi="Calibri" w:cs="Calibri"/>
          <w:sz w:val="24"/>
          <w:szCs w:val="24"/>
        </w:rPr>
        <w:t xml:space="preserve"> ψηφιακή κάρτα εργασίας, νέες ταμειακές μηχανές – </w:t>
      </w:r>
      <w:r>
        <w:rPr>
          <w:rFonts w:ascii="Calibri" w:eastAsia="Times New Roman" w:hAnsi="Calibri" w:cs="Calibri"/>
          <w:sz w:val="24"/>
          <w:szCs w:val="24"/>
          <w:lang w:val="en-US"/>
        </w:rPr>
        <w:t>pos</w:t>
      </w:r>
      <w:r w:rsidRPr="00CD40BC">
        <w:rPr>
          <w:rFonts w:ascii="Calibri" w:eastAsia="Times New Roman" w:hAnsi="Calibri" w:cs="Calibri"/>
          <w:sz w:val="24"/>
          <w:szCs w:val="24"/>
        </w:rPr>
        <w:t xml:space="preserve">, </w:t>
      </w:r>
      <w:proofErr w:type="spellStart"/>
      <w:r>
        <w:rPr>
          <w:rFonts w:ascii="Calibri" w:eastAsia="Times New Roman" w:hAnsi="Calibri" w:cs="Calibri"/>
          <w:sz w:val="24"/>
          <w:szCs w:val="24"/>
          <w:lang w:val="en-US"/>
        </w:rPr>
        <w:t>mydata</w:t>
      </w:r>
      <w:proofErr w:type="spellEnd"/>
      <w:r w:rsidRPr="00CD40BC">
        <w:rPr>
          <w:rFonts w:ascii="Calibri" w:eastAsia="Times New Roman" w:hAnsi="Calibri" w:cs="Calibri"/>
          <w:sz w:val="24"/>
          <w:szCs w:val="24"/>
        </w:rPr>
        <w:t xml:space="preserve"> </w:t>
      </w:r>
      <w:r>
        <w:rPr>
          <w:rFonts w:ascii="Calibri" w:eastAsia="Times New Roman" w:hAnsi="Calibri" w:cs="Calibri"/>
          <w:sz w:val="24"/>
          <w:szCs w:val="24"/>
        </w:rPr>
        <w:t>κ</w:t>
      </w:r>
      <w:r w:rsidR="004E7019">
        <w:rPr>
          <w:rFonts w:ascii="Calibri" w:eastAsia="Times New Roman" w:hAnsi="Calibri" w:cs="Calibri"/>
          <w:sz w:val="24"/>
          <w:szCs w:val="24"/>
        </w:rPr>
        <w:t>.</w:t>
      </w:r>
      <w:r>
        <w:rPr>
          <w:rFonts w:ascii="Calibri" w:eastAsia="Times New Roman" w:hAnsi="Calibri" w:cs="Calibri"/>
          <w:sz w:val="24"/>
          <w:szCs w:val="24"/>
        </w:rPr>
        <w:t>τ</w:t>
      </w:r>
      <w:r w:rsidR="004E7019">
        <w:rPr>
          <w:rFonts w:ascii="Calibri" w:eastAsia="Times New Roman" w:hAnsi="Calibri" w:cs="Calibri"/>
          <w:sz w:val="24"/>
          <w:szCs w:val="24"/>
        </w:rPr>
        <w:t>.</w:t>
      </w:r>
      <w:r>
        <w:rPr>
          <w:rFonts w:ascii="Calibri" w:eastAsia="Times New Roman" w:hAnsi="Calibri" w:cs="Calibri"/>
          <w:sz w:val="24"/>
          <w:szCs w:val="24"/>
        </w:rPr>
        <w:t>λ</w:t>
      </w:r>
      <w:r w:rsidR="004E7019">
        <w:rPr>
          <w:rFonts w:ascii="Calibri" w:eastAsia="Times New Roman" w:hAnsi="Calibri" w:cs="Calibri"/>
          <w:sz w:val="24"/>
          <w:szCs w:val="24"/>
        </w:rPr>
        <w:t>.</w:t>
      </w:r>
      <w:r w:rsidRPr="00CD40BC">
        <w:rPr>
          <w:rFonts w:ascii="Calibri" w:eastAsia="Times New Roman" w:hAnsi="Calibri" w:cs="Calibri"/>
          <w:sz w:val="24"/>
          <w:szCs w:val="24"/>
        </w:rPr>
        <w:t>)</w:t>
      </w:r>
      <w:r w:rsidR="007A57CE">
        <w:rPr>
          <w:rFonts w:ascii="Calibri" w:eastAsia="Times New Roman" w:hAnsi="Calibri" w:cs="Calibri"/>
          <w:sz w:val="24"/>
          <w:szCs w:val="24"/>
        </w:rPr>
        <w:t xml:space="preserve"> και </w:t>
      </w:r>
      <w:r>
        <w:rPr>
          <w:rFonts w:ascii="Calibri" w:eastAsia="Times New Roman" w:hAnsi="Calibri" w:cs="Calibri"/>
          <w:sz w:val="24"/>
          <w:szCs w:val="24"/>
        </w:rPr>
        <w:t xml:space="preserve">θα μπορούσαν επομένως να χαρακτηριστούν </w:t>
      </w:r>
      <w:r w:rsidR="008E0232">
        <w:rPr>
          <w:rFonts w:ascii="Calibri" w:eastAsia="Times New Roman" w:hAnsi="Calibri" w:cs="Calibri"/>
          <w:sz w:val="24"/>
          <w:szCs w:val="24"/>
        </w:rPr>
        <w:t xml:space="preserve">έξωθεν επιβεβλημένες </w:t>
      </w:r>
      <w:r w:rsidR="008E0232" w:rsidRPr="00683AE3">
        <w:rPr>
          <w:rFonts w:ascii="Calibri" w:eastAsia="Times New Roman" w:hAnsi="Calibri" w:cs="Calibri"/>
          <w:sz w:val="24"/>
          <w:szCs w:val="24"/>
        </w:rPr>
        <w:t xml:space="preserve">και όχι </w:t>
      </w:r>
      <w:r w:rsidR="00494B07" w:rsidRPr="00683AE3">
        <w:rPr>
          <w:rFonts w:ascii="Calibri" w:eastAsia="Times New Roman" w:hAnsi="Calibri" w:cs="Calibri"/>
          <w:sz w:val="24"/>
          <w:szCs w:val="24"/>
        </w:rPr>
        <w:t>προωθητικές</w:t>
      </w:r>
      <w:r w:rsidR="008E0232">
        <w:rPr>
          <w:rFonts w:ascii="Calibri" w:eastAsia="Times New Roman" w:hAnsi="Calibri" w:cs="Calibri"/>
          <w:sz w:val="24"/>
          <w:szCs w:val="24"/>
        </w:rPr>
        <w:t xml:space="preserve"> για τη λειτουργία της επιχείρησης. Υπό αυτό το πρίσμα, η διατήρηση υψηλού ποσοστού επιχειρήσεων που πραγματοποίησαν επενδύσεις το τελευταίο εξάμηνο</w:t>
      </w:r>
      <w:r w:rsidR="007A57CE">
        <w:rPr>
          <w:rFonts w:ascii="Calibri" w:eastAsia="Times New Roman" w:hAnsi="Calibri" w:cs="Calibri"/>
          <w:sz w:val="24"/>
          <w:szCs w:val="24"/>
        </w:rPr>
        <w:t>,</w:t>
      </w:r>
      <w:r w:rsidR="008E0232">
        <w:rPr>
          <w:rFonts w:ascii="Calibri" w:eastAsia="Times New Roman" w:hAnsi="Calibri" w:cs="Calibri"/>
          <w:sz w:val="24"/>
          <w:szCs w:val="24"/>
        </w:rPr>
        <w:t xml:space="preserve"> συνεπάγεται ότι μέρος αυτών των επενδύσεων στην πραγματικότητα δεν έγινε για να βελτιωθεί η θέση της επιχείρησης ή η παραγωγικότητά της, αλλά για λόγους συμμόρφωσης με τη νομοθεσία. Η επιδείνωση μάλιστα του κύκλου εργασιών, της ρευστότητας αλλά και των ταμειακών διαθ</w:t>
      </w:r>
      <w:r w:rsidR="00367B10">
        <w:rPr>
          <w:rFonts w:ascii="Calibri" w:eastAsia="Times New Roman" w:hAnsi="Calibri" w:cs="Calibri"/>
          <w:sz w:val="24"/>
          <w:szCs w:val="24"/>
        </w:rPr>
        <w:t>ε</w:t>
      </w:r>
      <w:r w:rsidR="008E0232">
        <w:rPr>
          <w:rFonts w:ascii="Calibri" w:eastAsia="Times New Roman" w:hAnsi="Calibri" w:cs="Calibri"/>
          <w:sz w:val="24"/>
          <w:szCs w:val="24"/>
        </w:rPr>
        <w:t>σ</w:t>
      </w:r>
      <w:r w:rsidR="00367B10">
        <w:rPr>
          <w:rFonts w:ascii="Calibri" w:eastAsia="Times New Roman" w:hAnsi="Calibri" w:cs="Calibri"/>
          <w:sz w:val="24"/>
          <w:szCs w:val="24"/>
        </w:rPr>
        <w:t>ί</w:t>
      </w:r>
      <w:r w:rsidR="008E0232">
        <w:rPr>
          <w:rFonts w:ascii="Calibri" w:eastAsia="Times New Roman" w:hAnsi="Calibri" w:cs="Calibri"/>
          <w:sz w:val="24"/>
          <w:szCs w:val="24"/>
        </w:rPr>
        <w:t xml:space="preserve">μων σχετίζεται πιθανώς με την αύξηση του λειτουργικού (ανελαστικού) κόστους και τη διάθεση κεφαλαίων σε μη ανταποδοτικά για την επιχείρηση έξοδα.  </w:t>
      </w:r>
      <w:r w:rsidRPr="00CD40BC">
        <w:rPr>
          <w:rFonts w:ascii="Calibri" w:eastAsia="Times New Roman" w:hAnsi="Calibri" w:cs="Calibri"/>
          <w:sz w:val="24"/>
          <w:szCs w:val="24"/>
        </w:rPr>
        <w:t xml:space="preserve"> </w:t>
      </w:r>
    </w:p>
    <w:p w14:paraId="4ADE85A7" w14:textId="13B03549" w:rsidR="00447DE6" w:rsidRDefault="007A57CE" w:rsidP="009F1277">
      <w:pPr>
        <w:spacing w:line="360" w:lineRule="auto"/>
        <w:jc w:val="both"/>
        <w:rPr>
          <w:rFonts w:ascii="Calibri" w:eastAsia="Times New Roman" w:hAnsi="Calibri" w:cs="Calibri"/>
          <w:sz w:val="24"/>
          <w:szCs w:val="24"/>
        </w:rPr>
      </w:pPr>
      <w:r>
        <w:rPr>
          <w:rFonts w:ascii="Calibri" w:eastAsia="Times New Roman" w:hAnsi="Calibri" w:cs="Calibri"/>
          <w:sz w:val="24"/>
          <w:szCs w:val="24"/>
        </w:rPr>
        <w:t>Σε αυτό το πλαίσιο,</w:t>
      </w:r>
      <w:r w:rsidR="008E0232">
        <w:rPr>
          <w:rFonts w:ascii="Calibri" w:eastAsia="Times New Roman" w:hAnsi="Calibri" w:cs="Calibri"/>
          <w:sz w:val="24"/>
          <w:szCs w:val="24"/>
        </w:rPr>
        <w:t xml:space="preserve"> είναι μάλλον κατανοητό το γεγονός ότι </w:t>
      </w:r>
      <w:r>
        <w:rPr>
          <w:rFonts w:ascii="Calibri" w:eastAsia="Times New Roman" w:hAnsi="Calibri" w:cs="Calibri"/>
          <w:sz w:val="24"/>
          <w:szCs w:val="24"/>
        </w:rPr>
        <w:t>το 25,4% των</w:t>
      </w:r>
      <w:r w:rsidR="008E0232">
        <w:rPr>
          <w:rFonts w:ascii="Calibri" w:eastAsia="Times New Roman" w:hAnsi="Calibri" w:cs="Calibri"/>
          <w:sz w:val="24"/>
          <w:szCs w:val="24"/>
        </w:rPr>
        <w:t xml:space="preserve"> επιχειρήσε</w:t>
      </w:r>
      <w:r>
        <w:rPr>
          <w:rFonts w:ascii="Calibri" w:eastAsia="Times New Roman" w:hAnsi="Calibri" w:cs="Calibri"/>
          <w:sz w:val="24"/>
          <w:szCs w:val="24"/>
        </w:rPr>
        <w:t>ων</w:t>
      </w:r>
      <w:r w:rsidR="008E0232">
        <w:rPr>
          <w:rFonts w:ascii="Calibri" w:eastAsia="Times New Roman" w:hAnsi="Calibri" w:cs="Calibri"/>
          <w:sz w:val="24"/>
          <w:szCs w:val="24"/>
        </w:rPr>
        <w:t xml:space="preserve"> που δραστηριοποιούνται στο εμπόριο επένδυσαν σε κάποιου είδους τεχνολογικό εξοπλισμό, ξεπερνώντας σε ποσοστά τόσο τον τομέα των υπηρεσιών </w:t>
      </w:r>
      <w:r w:rsidR="00447DE6">
        <w:rPr>
          <w:rFonts w:ascii="Calibri" w:eastAsia="Times New Roman" w:hAnsi="Calibri" w:cs="Calibri"/>
          <w:sz w:val="24"/>
          <w:szCs w:val="24"/>
        </w:rPr>
        <w:t>όσο και τον τομέα της μεταποίησης</w:t>
      </w:r>
      <w:r w:rsidR="00D73B0F">
        <w:rPr>
          <w:rFonts w:ascii="Calibri" w:eastAsia="Times New Roman" w:hAnsi="Calibri" w:cs="Calibri"/>
          <w:sz w:val="24"/>
          <w:szCs w:val="24"/>
        </w:rPr>
        <w:t>,</w:t>
      </w:r>
      <w:r w:rsidR="00447DE6">
        <w:rPr>
          <w:rFonts w:ascii="Calibri" w:eastAsia="Times New Roman" w:hAnsi="Calibri" w:cs="Calibri"/>
          <w:sz w:val="24"/>
          <w:szCs w:val="24"/>
        </w:rPr>
        <w:t xml:space="preserve"> </w:t>
      </w:r>
      <w:r w:rsidR="008E0232">
        <w:rPr>
          <w:rFonts w:ascii="Calibri" w:eastAsia="Times New Roman" w:hAnsi="Calibri" w:cs="Calibri"/>
          <w:sz w:val="24"/>
          <w:szCs w:val="24"/>
        </w:rPr>
        <w:t>όπου το 24%</w:t>
      </w:r>
      <w:r w:rsidR="00447DE6">
        <w:rPr>
          <w:rFonts w:ascii="Calibri" w:eastAsia="Times New Roman" w:hAnsi="Calibri" w:cs="Calibri"/>
          <w:sz w:val="24"/>
          <w:szCs w:val="24"/>
        </w:rPr>
        <w:t xml:space="preserve"> και το 16,7% των επιχειρήσεων πραγματοποίησε αντίστοιχα τέτοιου τύπου επενδύσεις</w:t>
      </w:r>
      <w:r w:rsidR="00A7536F" w:rsidRPr="00A7536F">
        <w:rPr>
          <w:rFonts w:ascii="Calibri" w:eastAsia="Times New Roman" w:hAnsi="Calibri" w:cs="Calibri"/>
          <w:sz w:val="24"/>
          <w:szCs w:val="24"/>
        </w:rPr>
        <w:t xml:space="preserve">. </w:t>
      </w:r>
      <w:r w:rsidR="009F1277">
        <w:rPr>
          <w:rFonts w:ascii="Calibri" w:eastAsia="Times New Roman" w:hAnsi="Calibri" w:cs="Calibri"/>
          <w:sz w:val="24"/>
          <w:szCs w:val="24"/>
        </w:rPr>
        <w:t xml:space="preserve">Επιπλέον, </w:t>
      </w:r>
      <w:r w:rsidR="00D73B0F">
        <w:rPr>
          <w:rFonts w:ascii="Calibri" w:eastAsia="Times New Roman" w:hAnsi="Calibri" w:cs="Calibri"/>
          <w:sz w:val="24"/>
          <w:szCs w:val="24"/>
        </w:rPr>
        <w:t>διαφαίνεται μια</w:t>
      </w:r>
      <w:r w:rsidR="00A7536F" w:rsidRPr="00A7536F">
        <w:rPr>
          <w:rFonts w:ascii="Calibri" w:eastAsia="Times New Roman" w:hAnsi="Calibri" w:cs="Calibri"/>
          <w:sz w:val="24"/>
          <w:szCs w:val="24"/>
        </w:rPr>
        <w:t xml:space="preserve"> θετική συσχέτιση με το μέγεθος των επιχειρήσεων</w:t>
      </w:r>
      <w:r w:rsidR="00352BE5">
        <w:rPr>
          <w:rFonts w:ascii="Calibri" w:eastAsia="Times New Roman" w:hAnsi="Calibri" w:cs="Calibri"/>
          <w:sz w:val="24"/>
          <w:szCs w:val="24"/>
        </w:rPr>
        <w:t>,</w:t>
      </w:r>
      <w:r w:rsidR="00A7536F" w:rsidRPr="00A7536F">
        <w:rPr>
          <w:rFonts w:ascii="Calibri" w:eastAsia="Times New Roman" w:hAnsi="Calibri" w:cs="Calibri"/>
          <w:sz w:val="24"/>
          <w:szCs w:val="24"/>
        </w:rPr>
        <w:t xml:space="preserve"> καθώς το 3</w:t>
      </w:r>
      <w:r w:rsidR="00447DE6">
        <w:rPr>
          <w:rFonts w:ascii="Calibri" w:eastAsia="Times New Roman" w:hAnsi="Calibri" w:cs="Calibri"/>
          <w:sz w:val="24"/>
          <w:szCs w:val="24"/>
        </w:rPr>
        <w:t>2</w:t>
      </w:r>
      <w:r w:rsidR="00A7536F" w:rsidRPr="00A7536F">
        <w:rPr>
          <w:rFonts w:ascii="Calibri" w:eastAsia="Times New Roman" w:hAnsi="Calibri" w:cs="Calibri"/>
          <w:sz w:val="24"/>
          <w:szCs w:val="24"/>
        </w:rPr>
        <w:t>,</w:t>
      </w:r>
      <w:r w:rsidR="00447DE6">
        <w:rPr>
          <w:rFonts w:ascii="Calibri" w:eastAsia="Times New Roman" w:hAnsi="Calibri" w:cs="Calibri"/>
          <w:sz w:val="24"/>
          <w:szCs w:val="24"/>
        </w:rPr>
        <w:t>3</w:t>
      </w:r>
      <w:r w:rsidR="00A7536F" w:rsidRPr="00A7536F">
        <w:rPr>
          <w:rFonts w:ascii="Calibri" w:eastAsia="Times New Roman" w:hAnsi="Calibri" w:cs="Calibri"/>
          <w:sz w:val="24"/>
          <w:szCs w:val="24"/>
        </w:rPr>
        <w:t xml:space="preserve">% με κύκλο εργασιών άνω των 300.000 </w:t>
      </w:r>
      <w:r w:rsidR="00352BE5">
        <w:rPr>
          <w:rFonts w:ascii="Calibri" w:eastAsia="Times New Roman" w:hAnsi="Calibri" w:cs="Calibri"/>
          <w:sz w:val="24"/>
          <w:szCs w:val="24"/>
        </w:rPr>
        <w:t>€</w:t>
      </w:r>
      <w:r w:rsidR="00352BE5" w:rsidRPr="00A7536F">
        <w:rPr>
          <w:rFonts w:ascii="Calibri" w:eastAsia="Times New Roman" w:hAnsi="Calibri" w:cs="Calibri"/>
          <w:sz w:val="24"/>
          <w:szCs w:val="24"/>
        </w:rPr>
        <w:t xml:space="preserve"> </w:t>
      </w:r>
      <w:r w:rsidR="00A7536F" w:rsidRPr="00A7536F">
        <w:rPr>
          <w:rFonts w:ascii="Calibri" w:eastAsia="Times New Roman" w:hAnsi="Calibri" w:cs="Calibri"/>
          <w:sz w:val="24"/>
          <w:szCs w:val="24"/>
        </w:rPr>
        <w:t>πραγματοποίησ</w:t>
      </w:r>
      <w:r w:rsidR="00352BE5">
        <w:rPr>
          <w:rFonts w:ascii="Calibri" w:eastAsia="Times New Roman" w:hAnsi="Calibri" w:cs="Calibri"/>
          <w:sz w:val="24"/>
          <w:szCs w:val="24"/>
        </w:rPr>
        <w:t>ε</w:t>
      </w:r>
      <w:r w:rsidR="00A7536F" w:rsidRPr="00A7536F">
        <w:rPr>
          <w:rFonts w:ascii="Calibri" w:eastAsia="Times New Roman" w:hAnsi="Calibri" w:cs="Calibri"/>
          <w:sz w:val="24"/>
          <w:szCs w:val="24"/>
        </w:rPr>
        <w:t xml:space="preserve"> </w:t>
      </w:r>
      <w:r w:rsidR="00B715BE">
        <w:rPr>
          <w:rFonts w:ascii="Calibri" w:eastAsia="Times New Roman" w:hAnsi="Calibri" w:cs="Calibri"/>
          <w:sz w:val="24"/>
          <w:szCs w:val="24"/>
        </w:rPr>
        <w:t>επενδύσεις</w:t>
      </w:r>
      <w:r w:rsidR="00A7536F" w:rsidRPr="00A7536F">
        <w:rPr>
          <w:rFonts w:ascii="Calibri" w:eastAsia="Times New Roman" w:hAnsi="Calibri" w:cs="Calibri"/>
          <w:sz w:val="24"/>
          <w:szCs w:val="24"/>
        </w:rPr>
        <w:t xml:space="preserve"> σε «Τεχνολογικό εξοπλισμό και ψηφιακές τεχνολογίες», έναντι </w:t>
      </w:r>
      <w:bookmarkStart w:id="5" w:name="_Hlk161135996"/>
      <w:r w:rsidR="00D73B0F">
        <w:rPr>
          <w:rFonts w:ascii="Calibri" w:eastAsia="Times New Roman" w:hAnsi="Calibri" w:cs="Calibri"/>
          <w:sz w:val="24"/>
          <w:szCs w:val="24"/>
        </w:rPr>
        <w:t xml:space="preserve">του </w:t>
      </w:r>
      <w:r w:rsidR="00A7536F" w:rsidRPr="00A7536F">
        <w:rPr>
          <w:rFonts w:ascii="Calibri" w:eastAsia="Times New Roman" w:hAnsi="Calibri" w:cs="Calibri"/>
          <w:sz w:val="24"/>
          <w:szCs w:val="24"/>
        </w:rPr>
        <w:t>1</w:t>
      </w:r>
      <w:r w:rsidR="00447DE6">
        <w:rPr>
          <w:rFonts w:ascii="Calibri" w:eastAsia="Times New Roman" w:hAnsi="Calibri" w:cs="Calibri"/>
          <w:sz w:val="24"/>
          <w:szCs w:val="24"/>
        </w:rPr>
        <w:t>5</w:t>
      </w:r>
      <w:r w:rsidR="00A7536F" w:rsidRPr="00A7536F">
        <w:rPr>
          <w:rFonts w:ascii="Calibri" w:eastAsia="Times New Roman" w:hAnsi="Calibri" w:cs="Calibri"/>
          <w:sz w:val="24"/>
          <w:szCs w:val="24"/>
        </w:rPr>
        <w:t>,</w:t>
      </w:r>
      <w:r w:rsidR="00447DE6">
        <w:rPr>
          <w:rFonts w:ascii="Calibri" w:eastAsia="Times New Roman" w:hAnsi="Calibri" w:cs="Calibri"/>
          <w:sz w:val="24"/>
          <w:szCs w:val="24"/>
        </w:rPr>
        <w:t>5</w:t>
      </w:r>
      <w:r w:rsidR="00A7536F" w:rsidRPr="00A7536F">
        <w:rPr>
          <w:rFonts w:ascii="Calibri" w:eastAsia="Times New Roman" w:hAnsi="Calibri" w:cs="Calibri"/>
          <w:sz w:val="24"/>
          <w:szCs w:val="24"/>
        </w:rPr>
        <w:t xml:space="preserve">% των επιχειρήσεων με κύκλο εργασιών έως 50.000 </w:t>
      </w:r>
      <w:r w:rsidR="00352BE5">
        <w:rPr>
          <w:rFonts w:ascii="Calibri" w:eastAsia="Times New Roman" w:hAnsi="Calibri" w:cs="Calibri"/>
          <w:sz w:val="24"/>
          <w:szCs w:val="24"/>
        </w:rPr>
        <w:t>€</w:t>
      </w:r>
      <w:r w:rsidR="00A7536F" w:rsidRPr="00A7536F">
        <w:rPr>
          <w:rFonts w:ascii="Calibri" w:eastAsia="Times New Roman" w:hAnsi="Calibri" w:cs="Calibri"/>
          <w:sz w:val="24"/>
          <w:szCs w:val="24"/>
        </w:rPr>
        <w:t xml:space="preserve">, </w:t>
      </w:r>
      <w:r w:rsidR="00447DE6">
        <w:rPr>
          <w:rFonts w:ascii="Calibri" w:eastAsia="Times New Roman" w:hAnsi="Calibri" w:cs="Calibri"/>
          <w:sz w:val="24"/>
          <w:szCs w:val="24"/>
        </w:rPr>
        <w:t>26</w:t>
      </w:r>
      <w:r w:rsidR="00A7536F" w:rsidRPr="00A7536F">
        <w:rPr>
          <w:rFonts w:ascii="Calibri" w:eastAsia="Times New Roman" w:hAnsi="Calibri" w:cs="Calibri"/>
          <w:sz w:val="24"/>
          <w:szCs w:val="24"/>
        </w:rPr>
        <w:t>,</w:t>
      </w:r>
      <w:r w:rsidR="00447DE6">
        <w:rPr>
          <w:rFonts w:ascii="Calibri" w:eastAsia="Times New Roman" w:hAnsi="Calibri" w:cs="Calibri"/>
          <w:sz w:val="24"/>
          <w:szCs w:val="24"/>
        </w:rPr>
        <w:t>4</w:t>
      </w:r>
      <w:r w:rsidR="00A7536F" w:rsidRPr="00A7536F">
        <w:rPr>
          <w:rFonts w:ascii="Calibri" w:eastAsia="Times New Roman" w:hAnsi="Calibri" w:cs="Calibri"/>
          <w:sz w:val="24"/>
          <w:szCs w:val="24"/>
        </w:rPr>
        <w:t xml:space="preserve">% των επιχειρήσεων με κύκλο εργασιών 50.000-100.000 </w:t>
      </w:r>
      <w:r w:rsidR="00352BE5">
        <w:rPr>
          <w:rFonts w:ascii="Calibri" w:eastAsia="Times New Roman" w:hAnsi="Calibri" w:cs="Calibri"/>
          <w:sz w:val="24"/>
          <w:szCs w:val="24"/>
        </w:rPr>
        <w:t>€</w:t>
      </w:r>
      <w:r w:rsidR="00A7536F" w:rsidRPr="00A7536F">
        <w:rPr>
          <w:rFonts w:ascii="Calibri" w:eastAsia="Times New Roman" w:hAnsi="Calibri" w:cs="Calibri"/>
          <w:sz w:val="24"/>
          <w:szCs w:val="24"/>
        </w:rPr>
        <w:t xml:space="preserve"> και 2</w:t>
      </w:r>
      <w:r w:rsidR="00447DE6">
        <w:rPr>
          <w:rFonts w:ascii="Calibri" w:eastAsia="Times New Roman" w:hAnsi="Calibri" w:cs="Calibri"/>
          <w:sz w:val="24"/>
          <w:szCs w:val="24"/>
        </w:rPr>
        <w:t>4</w:t>
      </w:r>
      <w:r w:rsidR="00A7536F" w:rsidRPr="00A7536F">
        <w:rPr>
          <w:rFonts w:ascii="Calibri" w:eastAsia="Times New Roman" w:hAnsi="Calibri" w:cs="Calibri"/>
          <w:sz w:val="24"/>
          <w:szCs w:val="24"/>
        </w:rPr>
        <w:t>,</w:t>
      </w:r>
      <w:r w:rsidR="00447DE6">
        <w:rPr>
          <w:rFonts w:ascii="Calibri" w:eastAsia="Times New Roman" w:hAnsi="Calibri" w:cs="Calibri"/>
          <w:sz w:val="24"/>
          <w:szCs w:val="24"/>
        </w:rPr>
        <w:t>6</w:t>
      </w:r>
      <w:r w:rsidR="00A7536F" w:rsidRPr="00A7536F">
        <w:rPr>
          <w:rFonts w:ascii="Calibri" w:eastAsia="Times New Roman" w:hAnsi="Calibri" w:cs="Calibri"/>
          <w:sz w:val="24"/>
          <w:szCs w:val="24"/>
        </w:rPr>
        <w:t xml:space="preserve">% των επιχειρήσεων με κύκλο εργασιών 100.000-300.000 </w:t>
      </w:r>
      <w:r w:rsidR="00352BE5">
        <w:rPr>
          <w:rFonts w:ascii="Calibri" w:eastAsia="Times New Roman" w:hAnsi="Calibri" w:cs="Calibri"/>
          <w:sz w:val="24"/>
          <w:szCs w:val="24"/>
        </w:rPr>
        <w:t>€</w:t>
      </w:r>
      <w:r w:rsidR="00A7536F" w:rsidRPr="00A7536F">
        <w:rPr>
          <w:rFonts w:ascii="Calibri" w:eastAsia="Times New Roman" w:hAnsi="Calibri" w:cs="Calibri"/>
          <w:sz w:val="24"/>
          <w:szCs w:val="24"/>
        </w:rPr>
        <w:t xml:space="preserve">. </w:t>
      </w:r>
      <w:bookmarkEnd w:id="5"/>
      <w:r w:rsidR="00447DE6">
        <w:rPr>
          <w:rFonts w:ascii="Calibri" w:eastAsia="Times New Roman" w:hAnsi="Calibri" w:cs="Calibri"/>
          <w:sz w:val="24"/>
          <w:szCs w:val="24"/>
        </w:rPr>
        <w:t xml:space="preserve">Η αύξηση συγκριτικά με προηγούμενες έρευνες του ποσοστού των επιχειρήσεων που πραγματοποίησαν τέτοιου τύπου επενδύσεις με ετήσιο κύκλο εργασιών κάτω των 300.000€ εξηγείται από αυτό που περιγράφεται ως «ανελαστική» επένδυση. </w:t>
      </w:r>
    </w:p>
    <w:p w14:paraId="0AAA4ED8" w14:textId="663FE692" w:rsidR="00F615F3" w:rsidRDefault="00F615F3" w:rsidP="00DE77D0">
      <w:pPr>
        <w:spacing w:line="360" w:lineRule="auto"/>
        <w:jc w:val="both"/>
        <w:rPr>
          <w:rFonts w:ascii="Calibri" w:eastAsia="Times New Roman" w:hAnsi="Calibri" w:cs="Calibri"/>
          <w:sz w:val="24"/>
          <w:szCs w:val="24"/>
        </w:rPr>
      </w:pPr>
      <w:r>
        <w:rPr>
          <w:rFonts w:ascii="Calibri" w:eastAsia="Times New Roman" w:hAnsi="Calibri" w:cs="Calibri"/>
          <w:sz w:val="24"/>
          <w:szCs w:val="24"/>
        </w:rPr>
        <w:t xml:space="preserve">Αξίζει να σημειωθεί ότι σε όλες τις κατηγορίες επενδύσεων πλην του τεχνολογικού εξοπλισμού – ψηφιακές τεχνολογίες, παρατηρείται σημαντική κάμψη του αριθμού των επιχειρήσεων που </w:t>
      </w:r>
      <w:r>
        <w:rPr>
          <w:rFonts w:ascii="Calibri" w:eastAsia="Times New Roman" w:hAnsi="Calibri" w:cs="Calibri"/>
          <w:sz w:val="24"/>
          <w:szCs w:val="24"/>
        </w:rPr>
        <w:lastRenderedPageBreak/>
        <w:t xml:space="preserve">πραγματοποίησαν κάποιου είδους επένδυση σε σχέση με την προηγούμενη έρευνα κλίματος του ΙΜΕ ΓΣΕΒΕΕ. </w:t>
      </w:r>
    </w:p>
    <w:p w14:paraId="52667719" w14:textId="651F5E0C" w:rsidR="00EA1A78" w:rsidRDefault="00EA1A78" w:rsidP="004B380B">
      <w:pPr>
        <w:spacing w:line="360" w:lineRule="auto"/>
        <w:jc w:val="both"/>
        <w:rPr>
          <w:rFonts w:ascii="Calibri" w:eastAsia="Times New Roman" w:hAnsi="Calibri" w:cs="Calibri"/>
          <w:b/>
          <w:bCs/>
          <w:sz w:val="24"/>
          <w:szCs w:val="24"/>
        </w:rPr>
      </w:pPr>
      <w:r>
        <w:rPr>
          <w:noProof/>
        </w:rPr>
        <w:drawing>
          <wp:inline distT="0" distB="0" distL="0" distR="0" wp14:anchorId="7F67EDEA" wp14:editId="3B50B059">
            <wp:extent cx="6660515" cy="2633980"/>
            <wp:effectExtent l="0" t="0" r="6985" b="13970"/>
            <wp:docPr id="129430493" name="Γράφημα 1">
              <a:extLst xmlns:a="http://schemas.openxmlformats.org/drawingml/2006/main">
                <a:ext uri="{FF2B5EF4-FFF2-40B4-BE49-F238E27FC236}">
                  <a16:creationId xmlns:a16="http://schemas.microsoft.com/office/drawing/2014/main"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714ADA" w14:textId="618FE60B" w:rsidR="004B380B" w:rsidRPr="0000408A" w:rsidRDefault="004B380B" w:rsidP="004B380B">
      <w:pPr>
        <w:spacing w:line="360" w:lineRule="auto"/>
        <w:jc w:val="both"/>
        <w:rPr>
          <w:rFonts w:ascii="Calibri" w:eastAsia="Times New Roman" w:hAnsi="Calibri" w:cs="Calibri"/>
          <w:sz w:val="24"/>
          <w:szCs w:val="24"/>
        </w:rPr>
      </w:pPr>
      <w:r w:rsidRPr="0000408A">
        <w:rPr>
          <w:rFonts w:ascii="Calibri" w:eastAsia="Times New Roman" w:hAnsi="Calibri" w:cs="Calibri"/>
          <w:sz w:val="24"/>
          <w:szCs w:val="24"/>
        </w:rPr>
        <w:t>Σύμφωνα με την κλαδική ανάλυση, μία στις τέσσερις επιχειρήσεις που δραστηριοποιούνται στο εμπόριο (25,4%) και τις υπηρεσίες (24%) επένδυσαν σε τεχνολογικό εξοπλισμό και ψηφιακές τεχνολογίες, με τις επιχειρήσεις στη μεταποίηση και τη βιοτεχνία να ακολουθούν με ποσοστό 16,7%. Όσον αφορά τον μηχανολογικό εξοπλισμό και τα λοιπά μηχανήματα, οι κλάδοι των υπηρεσιών και της μεταποίησης-βιοτεχνίας προέβησαν σε επενδύσεις σε ποσοστά 15,1% και 14,1% αντίστοιχα, ενώ ο κλάδος του εμπορίου κατέγραψε ποσοστό της τάξης του 9,7%. Σε κτιριακές εγκαταστάσεις επενδύουν κυρίως οι επιχειρήσεις που προσφέρουν υπηρεσίες, και συγκεκριμένα το 12,2% αυτών, και ακολουθεί το εμπόριο, με 8%, και η μεταποίηση-βιοτεχνία, με το σχετικά χαμηλό ποσοστό του 3,6%. Σχεδόν μία στις δέκα εμπορικές επιχειρήσεις  επενδύουν στην εκπαίδευση και κατάρτιση του προσωπικού τους (9,3%), ενώ στο εμπόριο και τη μεταποίηση</w:t>
      </w:r>
      <w:r w:rsidR="00067026">
        <w:rPr>
          <w:rFonts w:ascii="Calibri" w:eastAsia="Times New Roman" w:hAnsi="Calibri" w:cs="Calibri"/>
          <w:sz w:val="24"/>
          <w:szCs w:val="24"/>
        </w:rPr>
        <w:t xml:space="preserve"> </w:t>
      </w:r>
      <w:r w:rsidRPr="0000408A">
        <w:rPr>
          <w:rFonts w:ascii="Calibri" w:eastAsia="Times New Roman" w:hAnsi="Calibri" w:cs="Calibri"/>
          <w:sz w:val="24"/>
          <w:szCs w:val="24"/>
        </w:rPr>
        <w:t xml:space="preserve">- βιοτεχνία τα αντίστοιχα ποσοστά είναι 5,7% και 4,2%. Συγκεντρωτικά, ο κλάδος των υπηρεσιών φαίνεται να έχει τον πρωταγωνιστικό ρόλο στις επενδύσεις μεταξύ των μικρών και πολύ μικρών επιχειρήσεων, καθώς καταλαμβάνει την πρώτη ή τη δεύτερη θέση σε όλες τις κατηγορίες των επενδύσεων. Αξιοσημείωτη έλλειψη επενδύσεων παρατηρείται από τις επιχειρήσεις του κλάδου της μεταποίησης-βιοτεχνίας σε κτιριακό και λοιπό εξοπλισμό, ενώ οι τελευταίες από κοινού με τις εμπορικές επιχειρήσεις υπολείπονται όσον αφορά την επένδυση σε κατάρτιση και εκπαίδευση του προσωπικού τους. </w:t>
      </w:r>
    </w:p>
    <w:p w14:paraId="5B517ABD" w14:textId="77777777" w:rsidR="004B380B" w:rsidRPr="0000408A" w:rsidRDefault="004B380B" w:rsidP="004B380B">
      <w:pPr>
        <w:spacing w:line="360" w:lineRule="auto"/>
        <w:jc w:val="both"/>
        <w:rPr>
          <w:rFonts w:ascii="Calibri" w:eastAsia="Times New Roman" w:hAnsi="Calibri" w:cs="Calibri"/>
          <w:sz w:val="24"/>
          <w:szCs w:val="24"/>
        </w:rPr>
      </w:pPr>
      <w:r w:rsidRPr="0000408A">
        <w:rPr>
          <w:rFonts w:ascii="Calibri" w:eastAsia="Times New Roman" w:hAnsi="Calibri" w:cs="Calibri"/>
          <w:sz w:val="24"/>
          <w:szCs w:val="24"/>
        </w:rPr>
        <w:t xml:space="preserve">Εστιάζοντας στη νομική μορφή των επιχειρήσεων, οι ΑΕ κατέχουν την πρώτη θέση σε όλες τις κατηγορίες των επενδύσεων. Το ποσοστό των ΑΕ που επενδύουν έχει ως εξής: 36,4% σε τεχνολογικό εξοπλισμό και </w:t>
      </w:r>
      <w:r w:rsidRPr="0000408A">
        <w:rPr>
          <w:rFonts w:ascii="Calibri" w:eastAsia="Times New Roman" w:hAnsi="Calibri" w:cs="Calibri"/>
          <w:sz w:val="24"/>
          <w:szCs w:val="24"/>
        </w:rPr>
        <w:lastRenderedPageBreak/>
        <w:t>ψηφιακές τεχνολογίες, 31,8% σε μηχανολογικό εξοπλισμό και λοιπά μηχανήματα, 29,5% σε κτιριακές εγκαταστάσεις και λοιπό εξοπλισμό, 25% σε κατάρτιση και εκπαίδευση προσωπικού. Οι υπόλοιπες νομικές μορφές επιχειρήσεων απέχουν σημαντικά από τις Ανώνυμες Εταιρείες σε ό,τι αφορά το σύνολο του επενδυτικού φάσματος. Πιο αναλυτικά, το 22% των Ο.Ε.-Ε.Ε./Ε.Π.Ε. (22,1% για την ακρίβεια), των Ι.Κ.Ε. και των ατομικών επιχειρήσεων επένδυσαν σε τεχνολογικό εξοπλισμό και ψηφιακές τεχνολογίες το προηγούμενο εξάμηνο, ποσοστό μικρότερο πλέον των 14 μονάδων σε σχέση με τις Α.Ε. Οι τρεις προαναφερθείσες κατηγορίες πραγματοποίησαν επενδύσεις σε μηχανολογικό εξοπλισμό και λοιπά μηχανήματα σε ποσοστά 13,8% για τις Ο.Ε.-Ε.Ε./Ε.Π.Ε., 12,2% για τις Ι.Κ.Ε. και 11,1% για τις ατομικές επιχειρήσεις, με τις τελευταίες να επενδύουν σε ποσοστό λίγο περισσότερο από το ένα τρίτο των Α.Ε. Σημαντική είναι η διαφορά των επιχειρήσεων που πραγματοποιούν επενδύσεις σε κτιριακές εγκαταστάσεις και εξοπλισμό σε σχέση με τις ΑΕ (29,5%): το 9,9% των Ο.Ε.-Ε.Ε./Ε.Π.Ε., το 9,8% των Ι.Κ.Ε., και μόλις το 6.4% των ατομικών επιχειρήσεων. Τέλος, το ποσοστό των Ι.Κ.Ε. που επενδύουν σε εκπαίδευση και κατάρτιση του προσωπικού τους είναι σχεδόν το μισό σε σχέση με των Α.Ε., ήτοι 12,2% έναντι 25%. Ακολουθεί το 7,7% των Ο.Ε.-Ε.Ε./Ε.Π.Ε. και το 4,5% των ατομικών επιχειρήσεων.</w:t>
      </w:r>
    </w:p>
    <w:p w14:paraId="5FDE9414" w14:textId="68792510" w:rsidR="004B380B" w:rsidRPr="0000408A" w:rsidRDefault="004B380B" w:rsidP="004B380B">
      <w:pPr>
        <w:spacing w:line="360" w:lineRule="auto"/>
        <w:jc w:val="both"/>
        <w:rPr>
          <w:rFonts w:ascii="Calibri" w:eastAsia="Times New Roman" w:hAnsi="Calibri" w:cs="Calibri"/>
          <w:sz w:val="24"/>
          <w:szCs w:val="24"/>
        </w:rPr>
      </w:pPr>
      <w:r w:rsidRPr="0000408A">
        <w:rPr>
          <w:rFonts w:ascii="Calibri" w:eastAsia="Times New Roman" w:hAnsi="Calibri" w:cs="Calibri"/>
          <w:sz w:val="24"/>
          <w:szCs w:val="24"/>
        </w:rPr>
        <w:t>Σύμφωνα με τα στοιχεία της παρούσας έρευνας, η διάκριση των επιχειρήσεων με βάση τον ετήσιο τζίρο τους είναι κρίσιμης σημασίας για την πραγματοποίηση επενδύσεων. Ένα γενικό συμπέρασμα που μπορεί να εξαχθεί είναι ότι οι επιχειρήσεις με ετήσιο τζίρο μεγαλύτερο των 300.000 € κατέχουν τα πρωτεία σε όλες τις κατηγορίες επενδύσεων. Ωστόσο, για τις επιχειρήσεις με τζίρο μικρότερο του προαναφερθέντος, απαιτείται ανάλυση ξεχωριστά για την κάθε κατηγορία επενδύσεων, καθώς δε</w:t>
      </w:r>
      <w:r w:rsidR="00214E6E">
        <w:rPr>
          <w:rFonts w:ascii="Calibri" w:eastAsia="Times New Roman" w:hAnsi="Calibri" w:cs="Calibri"/>
          <w:sz w:val="24"/>
          <w:szCs w:val="24"/>
        </w:rPr>
        <w:t>ν</w:t>
      </w:r>
      <w:r w:rsidRPr="0000408A">
        <w:rPr>
          <w:rFonts w:ascii="Calibri" w:eastAsia="Times New Roman" w:hAnsi="Calibri" w:cs="Calibri"/>
          <w:sz w:val="24"/>
          <w:szCs w:val="24"/>
        </w:rPr>
        <w:t xml:space="preserve"> διαμορφώνεται ένα </w:t>
      </w:r>
      <w:r w:rsidR="00071BAC" w:rsidRPr="0000408A">
        <w:rPr>
          <w:rFonts w:ascii="Calibri" w:eastAsia="Times New Roman" w:hAnsi="Calibri" w:cs="Calibri"/>
          <w:sz w:val="24"/>
          <w:szCs w:val="24"/>
        </w:rPr>
        <w:t xml:space="preserve">ξεκάθαρο </w:t>
      </w:r>
      <w:r w:rsidRPr="0000408A">
        <w:rPr>
          <w:rFonts w:ascii="Calibri" w:eastAsia="Times New Roman" w:hAnsi="Calibri" w:cs="Calibri"/>
          <w:sz w:val="24"/>
          <w:szCs w:val="24"/>
        </w:rPr>
        <w:t xml:space="preserve">μοτίβο. Δηλαδή, στις κατηγορίες επενδύσεων «μηχανολογικός εξοπλισμός και λοιπά μηχανήματα» και «κατάρτιση-εκπαίδευση προσωπικού», τα ποσοστά των επιχειρήσεων με τζίρο ως 50.000€, από 50.000€ ως 100.000€, από 100.000€ ως 300.000€ και από 300.000€ και πάνω, διαμορφώνονται κλιμακωτά, σύμφωνα με το αναμενόμενο. Δηλαδή, σε μηχανολογικό εξοπλισμό και μηχανήματα επενδύουν το 7% των επιχειρήσεων με τζίρο ως 50.000€, το 13,2% των επιχειρήσεων με τζίρο από 50.000€ ως 100.000€, το 18,5% των επιχειρήσεων με τζίρο από 100.000€ ως 300.000€, και το 22,8% των επιχειρήσεων με τζίρο από 300.000€ και πάνω. Παρότι το ποσοστό των επιχειρήσεων που επενδύουν σε εκπαίδευση και κατάρτιση αυξάνεται επίσης κλιμακωτά, οι διαφορές στη συμμετοχή των επιχειρήσεων σε αυτό το είδος επένδυσης ανάλογα με το ύψος του τζίρου τους είναι μεγάλες. Εκκινώντας από τις επιχειρήσεις με τον μικρότερο συγκριτικά τζίρο (ως 50.000€), αποτυπώνεται ότι μόλις το 3% αυτών προέβησαν σε επένδυση εκπαίδευσης και κατάρτισης το προηγούμενο εξάμηνο. Οριακά υψηλότερο είναι το ποσοστό των επιχειρήσεων που έχουν ετήσιο τζίρο από 50.000€ ως 100.000€, δηλαδή 4%, και </w:t>
      </w:r>
      <w:r w:rsidRPr="0000408A">
        <w:rPr>
          <w:rFonts w:ascii="Calibri" w:eastAsia="Times New Roman" w:hAnsi="Calibri" w:cs="Calibri"/>
          <w:sz w:val="24"/>
          <w:szCs w:val="24"/>
        </w:rPr>
        <w:lastRenderedPageBreak/>
        <w:t>υπερδιπλάσιο το ποσοστό των επιχειρήσεων με τζίρο από 100.000€ ως 300.000€, στο 8,5%. Οι επιχειρήσεις με τζίρο μεγαλύτερο των 300.000€ καταγράφουν το  σχετικά υψηλό ποσοστό του 18,1%. Η εικόνα της επένδυσης σε τεχνολογικό εξοπλισμό και ψηφιακές τεχνολογίες είναι κατά τι διαφορετική.  Οι επιχειρήσεις με τζίρο από 300.000€ και πάνω επενδύουν σε ποσοστό 32,3%, ενώ το ποσοστό των επιχειρήσεων με τζίρο ως 50.000€ που επενδύουν στην τεχνολογία είναι μικρότερο από το μισό του προηγούμενου (15,5%). Στο ενδιάμεσο βρίσκονται οι επιχειρήσεις με τζίρο από 50.000€ ως 100.000€ και από 100.000€ ως 300.000€, με ποσοστά 26,4% και 24,6% αντίστοιχα. Αναφορικά με τις επενδύσεις σε κτιριακές εγκαταστάσεις και λοιπό εξοπλισμό, οι τρεις πρώτες κατηγορίες ετήσιου τζίρου βρίσκονται σχετικά κοντά, με τα ακόλουθα ποσοστά: 5,8%, 7,5%, και 6,9%. Τις χωρίζει μεγάλη απόσταση από την τέταρτη κατηγορία, τις επιχειρήσεις με τζίρο άνω των 300.000€, από τις οποίες το 18,1% επενδύει σε κτιριακές εγκαταστάσεις και λοιπό εξοπλισμό.</w:t>
      </w:r>
      <w:r w:rsidR="00572F37" w:rsidRPr="0000408A">
        <w:rPr>
          <w:rFonts w:ascii="Calibri" w:eastAsia="Times New Roman" w:hAnsi="Calibri" w:cs="Calibri"/>
          <w:sz w:val="24"/>
          <w:szCs w:val="24"/>
        </w:rPr>
        <w:t xml:space="preserve"> Σημαντικό στοιχείο που προκύπτει από την παραπάνω ανάλυση είναι το ότι διαφαίνεται ότι οι αποκλίσεις μεταξύ των επιχειρήσεων είναι πιο έντονες</w:t>
      </w:r>
      <w:r w:rsidR="002E39F2">
        <w:rPr>
          <w:rFonts w:ascii="Calibri" w:eastAsia="Times New Roman" w:hAnsi="Calibri" w:cs="Calibri"/>
          <w:sz w:val="24"/>
          <w:szCs w:val="24"/>
        </w:rPr>
        <w:t>,</w:t>
      </w:r>
      <w:r w:rsidR="00572F37" w:rsidRPr="0000408A">
        <w:rPr>
          <w:rFonts w:ascii="Calibri" w:eastAsia="Times New Roman" w:hAnsi="Calibri" w:cs="Calibri"/>
          <w:sz w:val="24"/>
          <w:szCs w:val="24"/>
        </w:rPr>
        <w:t xml:space="preserve"> όταν η επένδυση απαιτεί μεγαλύτερο κεφάλαιο, όπως για μηχανολογικό εξοπλισμό – οχήματα, ή κτιριακές εγκαταστάσεις και λοιπό εξοπλισμό. </w:t>
      </w:r>
    </w:p>
    <w:p w14:paraId="78E3A0EC" w14:textId="77777777" w:rsidR="004B380B" w:rsidRPr="0000408A" w:rsidRDefault="004B380B" w:rsidP="004B380B">
      <w:pPr>
        <w:spacing w:line="360" w:lineRule="auto"/>
        <w:jc w:val="both"/>
        <w:rPr>
          <w:rFonts w:ascii="Calibri" w:eastAsia="Times New Roman" w:hAnsi="Calibri" w:cs="Calibri"/>
          <w:sz w:val="24"/>
          <w:szCs w:val="24"/>
        </w:rPr>
      </w:pPr>
      <w:r w:rsidRPr="0000408A">
        <w:rPr>
          <w:rFonts w:ascii="Calibri" w:eastAsia="Times New Roman" w:hAnsi="Calibri" w:cs="Calibri"/>
          <w:sz w:val="24"/>
          <w:szCs w:val="24"/>
        </w:rPr>
        <w:t xml:space="preserve">Συνεχίζοντας την ανάλυση με τη γεωγραφική διάσταση των επενδύσεων, είναι αξιοσημείωτο ότι οι επιχειρήσεις στα νησιά του Αιγαίου και την Κρήτη επενδύουν σε μεγαλύτερο βαθμό από ότι οι επιχειρήσεις στην υπόλοιπη Ελλάδα. Το 31,1% των επιχειρήσεων στα νησιά του Αιγαίου και την Κρήτη επενδύουν σε τεχνολογικό εξοπλισμό και ψηφιακές τεχνολογίες, το 16% σε κτιριακές εγκαταστάσεις και λοιπό εξοπλισμό, το 15,1% σε μηχανολογικό εξοπλισμό και λοιπά μηχανήματα, και το 11,3% σε εκπαίδευση και κατάρτιση προσωπικού. Αντίστοιχα με τις επιχειρήσεις στα νησιά του Αιγαίου και την Κρήτη, όλες οι περιοχές δίνουν προτεραιότητα στις επενδύσεις στον τεχνολογικό εξοπλισμό και τις ψηφιακές τεχνολογίες. Ωστόσο, όλες οι υπόλοιπες περιοχές έχουν στη δεύτερη σειρά προτίμησης την επένδυση στον μηχανολογικό εξοπλισμό, στην τρίτη την επένδυση στις κτιριακές εγκαταστάσεις (ενώ στα νησιά του Αιγαίου και την Κρήτη αυτές οι δύο ήταν αντίστροφα), και στην τέταρτη την επένδυση σε εκπαίδευση και κατάρτιση προσωπικού.  Η σειρά κατάταξης για τις άλλες περιοχές μεταβάλλεται ανάλογα με το είδος των επενδύσεων. </w:t>
      </w:r>
    </w:p>
    <w:p w14:paraId="17D7CC56" w14:textId="13B583F4" w:rsidR="0000408A" w:rsidRDefault="004B380B" w:rsidP="0000408A">
      <w:pPr>
        <w:spacing w:line="360" w:lineRule="auto"/>
        <w:jc w:val="both"/>
        <w:rPr>
          <w:rFonts w:ascii="Calibri" w:eastAsia="Times New Roman" w:hAnsi="Calibri" w:cs="Calibri"/>
          <w:sz w:val="24"/>
          <w:szCs w:val="24"/>
        </w:rPr>
      </w:pPr>
      <w:r w:rsidRPr="0000408A">
        <w:rPr>
          <w:rFonts w:ascii="Calibri" w:eastAsia="Times New Roman" w:hAnsi="Calibri" w:cs="Calibri"/>
          <w:sz w:val="24"/>
          <w:szCs w:val="24"/>
        </w:rPr>
        <w:t xml:space="preserve">Μια τάση που καταγράφεται είναι ότι όσο αυξάνεται ο αριθμός των απασχολούμενων των επιχειρήσεων, αυξάνεται και το ποσοστό αυτών που πραγματοποιούν επενδύσεις. Εξαίρεση αποτελούν οι επιχειρήσεις με 2-3 άτομα προσωπικό, που σπάνε τον κανόνα σε δύο κατηγορίες επενδύσεων: επενδύουν σε μεγαλύτερο ποσοστό σε τεχνολογικό εξοπλισμό από ότι οι επιχειρήσεις με 4-5 άτομα προσωπικό, 27,2% </w:t>
      </w:r>
      <w:r w:rsidRPr="0000408A">
        <w:rPr>
          <w:rFonts w:ascii="Calibri" w:eastAsia="Times New Roman" w:hAnsi="Calibri" w:cs="Calibri"/>
          <w:sz w:val="24"/>
          <w:szCs w:val="24"/>
        </w:rPr>
        <w:lastRenderedPageBreak/>
        <w:t>έναντι 24,6%, και λιγότερο από ότι οι επιχειρήσεις με ένα άτομο προσωπικό σε εκπαίδευση και κατάρτιση, 2,8% έναντι 6,3%. Συνολικά, οι επιχειρήσεις που απασχολούν πάνω από 5 άτομα προσωπικό επενδύουν περισσότερο από αυτές που απασχολούν μικρότερο αριθμό εργαζομένων σε όλες τις κατηγορίες επενδύσεων. Τα ποσοστά συμμετοχής τους κυμαίνονται από 21,6% (σε κτιριακές εγκαταστάσεις και λοιπό εξοπλισμό) ως 32,8% (σε τεχνολογικό εξοπλισμό και ψηφιακές τεχνολογίες).</w:t>
      </w:r>
      <w:r>
        <w:rPr>
          <w:rFonts w:ascii="Calibri" w:eastAsia="Times New Roman" w:hAnsi="Calibri" w:cs="Calibri"/>
          <w:sz w:val="24"/>
          <w:szCs w:val="24"/>
        </w:rPr>
        <w:t xml:space="preserve"> </w:t>
      </w:r>
    </w:p>
    <w:p w14:paraId="430F09B8" w14:textId="196A2345" w:rsidR="00A7536F" w:rsidRPr="00A7536F" w:rsidRDefault="00A7536F" w:rsidP="0000408A">
      <w:pPr>
        <w:spacing w:line="360" w:lineRule="auto"/>
        <w:jc w:val="both"/>
        <w:rPr>
          <w:rFonts w:ascii="Calibri" w:eastAsia="Times New Roman" w:hAnsi="Calibri" w:cs="Calibri"/>
          <w:sz w:val="24"/>
          <w:szCs w:val="24"/>
        </w:rPr>
      </w:pPr>
      <w:r w:rsidRPr="00A7536F">
        <w:rPr>
          <w:rFonts w:ascii="Calibri" w:eastAsia="Times New Roman" w:hAnsi="Calibri" w:cs="Calibri"/>
          <w:sz w:val="24"/>
          <w:szCs w:val="24"/>
        </w:rPr>
        <w:t xml:space="preserve">Αναφορικά με το ύψος της επένδυσης, το </w:t>
      </w:r>
      <w:r w:rsidR="002257A7">
        <w:rPr>
          <w:rFonts w:ascii="Calibri" w:eastAsia="Times New Roman" w:hAnsi="Calibri" w:cs="Calibri"/>
          <w:sz w:val="24"/>
          <w:szCs w:val="24"/>
        </w:rPr>
        <w:t>39</w:t>
      </w:r>
      <w:r w:rsidRPr="00A7536F">
        <w:rPr>
          <w:rFonts w:ascii="Calibri" w:eastAsia="Times New Roman" w:hAnsi="Calibri" w:cs="Calibri"/>
          <w:sz w:val="24"/>
          <w:szCs w:val="24"/>
        </w:rPr>
        <w:t>,</w:t>
      </w:r>
      <w:r w:rsidR="002257A7">
        <w:rPr>
          <w:rFonts w:ascii="Calibri" w:eastAsia="Times New Roman" w:hAnsi="Calibri" w:cs="Calibri"/>
          <w:sz w:val="24"/>
          <w:szCs w:val="24"/>
        </w:rPr>
        <w:t>7</w:t>
      </w:r>
      <w:r w:rsidRPr="00A7536F">
        <w:rPr>
          <w:rFonts w:ascii="Calibri" w:eastAsia="Times New Roman" w:hAnsi="Calibri" w:cs="Calibri"/>
          <w:sz w:val="24"/>
          <w:szCs w:val="24"/>
        </w:rPr>
        <w:t>% των επιχειρήσεων πραγματοποίησε επενδύσεις έως 2.000</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το </w:t>
      </w:r>
      <w:r w:rsidR="002257A7">
        <w:rPr>
          <w:rFonts w:ascii="Calibri" w:eastAsia="Times New Roman" w:hAnsi="Calibri" w:cs="Calibri"/>
          <w:sz w:val="24"/>
          <w:szCs w:val="24"/>
        </w:rPr>
        <w:t>16,5</w:t>
      </w:r>
      <w:r w:rsidRPr="00A7536F">
        <w:rPr>
          <w:rFonts w:ascii="Calibri" w:eastAsia="Times New Roman" w:hAnsi="Calibri" w:cs="Calibri"/>
          <w:sz w:val="24"/>
          <w:szCs w:val="24"/>
        </w:rPr>
        <w:t xml:space="preserve">% από 2.001 έως 5.000 </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το </w:t>
      </w:r>
      <w:r w:rsidR="002257A7">
        <w:rPr>
          <w:rFonts w:ascii="Calibri" w:eastAsia="Times New Roman" w:hAnsi="Calibri" w:cs="Calibri"/>
          <w:sz w:val="24"/>
          <w:szCs w:val="24"/>
        </w:rPr>
        <w:t>9</w:t>
      </w:r>
      <w:r w:rsidRPr="00A7536F">
        <w:rPr>
          <w:rFonts w:ascii="Calibri" w:eastAsia="Times New Roman" w:hAnsi="Calibri" w:cs="Calibri"/>
          <w:sz w:val="24"/>
          <w:szCs w:val="24"/>
        </w:rPr>
        <w:t xml:space="preserve">,7% από 5.001 έως 10.000 </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το </w:t>
      </w:r>
      <w:r w:rsidR="002257A7">
        <w:rPr>
          <w:rFonts w:ascii="Calibri" w:eastAsia="Times New Roman" w:hAnsi="Calibri" w:cs="Calibri"/>
          <w:sz w:val="24"/>
          <w:szCs w:val="24"/>
        </w:rPr>
        <w:t>9,7</w:t>
      </w:r>
      <w:r w:rsidRPr="00A7536F">
        <w:rPr>
          <w:rFonts w:ascii="Calibri" w:eastAsia="Times New Roman" w:hAnsi="Calibri" w:cs="Calibri"/>
          <w:sz w:val="24"/>
          <w:szCs w:val="24"/>
        </w:rPr>
        <w:t xml:space="preserve">% από 10.001 έως 20.000 </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και το </w:t>
      </w:r>
      <w:r w:rsidR="002257A7">
        <w:rPr>
          <w:rFonts w:ascii="Calibri" w:eastAsia="Times New Roman" w:hAnsi="Calibri" w:cs="Calibri"/>
          <w:sz w:val="24"/>
          <w:szCs w:val="24"/>
        </w:rPr>
        <w:t>7,9</w:t>
      </w:r>
      <w:r w:rsidRPr="00A7536F">
        <w:rPr>
          <w:rFonts w:ascii="Calibri" w:eastAsia="Times New Roman" w:hAnsi="Calibri" w:cs="Calibri"/>
          <w:sz w:val="24"/>
          <w:szCs w:val="24"/>
        </w:rPr>
        <w:t xml:space="preserve">% από 20.001 έως 50.000 </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w:t>
      </w:r>
      <w:r w:rsidR="007A0614">
        <w:rPr>
          <w:rFonts w:ascii="Calibri" w:eastAsia="Times New Roman" w:hAnsi="Calibri" w:cs="Calibri"/>
          <w:sz w:val="24"/>
          <w:szCs w:val="24"/>
        </w:rPr>
        <w:t>Από τα ευρήματα αυτά φαίνεται ότι το ύψος της επένδυσης για σχεδόν 1 στις 2 επιχειρήσεις που πραγματοποίησ</w:t>
      </w:r>
      <w:r w:rsidR="00F468AA">
        <w:rPr>
          <w:rFonts w:ascii="Calibri" w:eastAsia="Times New Roman" w:hAnsi="Calibri" w:cs="Calibri"/>
          <w:sz w:val="24"/>
          <w:szCs w:val="24"/>
        </w:rPr>
        <w:t>ε</w:t>
      </w:r>
      <w:r w:rsidR="007A0614">
        <w:rPr>
          <w:rFonts w:ascii="Calibri" w:eastAsia="Times New Roman" w:hAnsi="Calibri" w:cs="Calibri"/>
          <w:sz w:val="24"/>
          <w:szCs w:val="24"/>
        </w:rPr>
        <w:t xml:space="preserve"> επενδύσεις το προηγούμενο εξάμηνο ήταν έως 5.000 €. </w:t>
      </w:r>
      <w:r w:rsidRPr="00A7536F">
        <w:rPr>
          <w:rFonts w:ascii="Calibri" w:eastAsia="Times New Roman" w:hAnsi="Calibri" w:cs="Calibri"/>
          <w:sz w:val="24"/>
          <w:szCs w:val="24"/>
        </w:rPr>
        <w:t xml:space="preserve">Τέλος, το </w:t>
      </w:r>
      <w:r w:rsidR="002257A7">
        <w:rPr>
          <w:rFonts w:ascii="Calibri" w:eastAsia="Times New Roman" w:hAnsi="Calibri" w:cs="Calibri"/>
          <w:sz w:val="24"/>
          <w:szCs w:val="24"/>
        </w:rPr>
        <w:t>9</w:t>
      </w:r>
      <w:r w:rsidRPr="00A7536F">
        <w:rPr>
          <w:rFonts w:ascii="Calibri" w:eastAsia="Times New Roman" w:hAnsi="Calibri" w:cs="Calibri"/>
          <w:sz w:val="24"/>
          <w:szCs w:val="24"/>
        </w:rPr>
        <w:t xml:space="preserve">% δήλωσε ότι η επένδυση που πραγματοποίησε το δεύτερο εξάμηνο του 2023 ήταν άνω των 50.000 </w:t>
      </w:r>
      <w:r w:rsidR="00F468AA">
        <w:rPr>
          <w:rFonts w:ascii="Calibri" w:eastAsia="Times New Roman" w:hAnsi="Calibri" w:cs="Calibri"/>
          <w:sz w:val="24"/>
          <w:szCs w:val="24"/>
        </w:rPr>
        <w:t>€</w:t>
      </w:r>
      <w:r w:rsidRPr="00A7536F">
        <w:rPr>
          <w:rFonts w:ascii="Calibri" w:eastAsia="Times New Roman" w:hAnsi="Calibri" w:cs="Calibri"/>
          <w:sz w:val="24"/>
          <w:szCs w:val="24"/>
        </w:rPr>
        <w:t xml:space="preserve">. </w:t>
      </w:r>
    </w:p>
    <w:p w14:paraId="0D2FBC24" w14:textId="04D6A4C2" w:rsidR="002257A7" w:rsidRPr="004E4B8D" w:rsidRDefault="00A7536F" w:rsidP="00A7536F">
      <w:pPr>
        <w:spacing w:after="0" w:line="360" w:lineRule="auto"/>
        <w:jc w:val="both"/>
        <w:rPr>
          <w:rFonts w:ascii="Calibri" w:eastAsia="Times New Roman" w:hAnsi="Calibri" w:cs="Calibri"/>
          <w:sz w:val="24"/>
          <w:szCs w:val="24"/>
        </w:rPr>
      </w:pPr>
      <w:r w:rsidRPr="00A7536F">
        <w:rPr>
          <w:rFonts w:ascii="Calibri" w:eastAsia="Times New Roman" w:hAnsi="Calibri" w:cs="Calibri"/>
          <w:sz w:val="24"/>
          <w:szCs w:val="24"/>
        </w:rPr>
        <w:t xml:space="preserve">Όσον αφορά την πηγή χρηματοδότησης των επενδύσεων, προκύπτει ότι τα ίδια κεφάλαια εξακολουθούν να αποτελούν τη βασική πηγή χρηματοδότησης για τις μικρές και πολύ μικρές επιχειρήσεις (Γράφημα </w:t>
      </w:r>
      <w:r w:rsidR="004E4B8D">
        <w:rPr>
          <w:rFonts w:ascii="Calibri" w:eastAsia="Times New Roman" w:hAnsi="Calibri" w:cs="Calibri"/>
          <w:sz w:val="24"/>
          <w:szCs w:val="24"/>
        </w:rPr>
        <w:t>20</w:t>
      </w:r>
      <w:r w:rsidRPr="00A7536F">
        <w:rPr>
          <w:rFonts w:ascii="Calibri" w:eastAsia="Times New Roman" w:hAnsi="Calibri" w:cs="Calibri"/>
          <w:sz w:val="24"/>
          <w:szCs w:val="24"/>
        </w:rPr>
        <w:t>).</w:t>
      </w:r>
      <w:r w:rsidR="00EE3DCA">
        <w:rPr>
          <w:rFonts w:ascii="Calibri" w:eastAsia="Times New Roman" w:hAnsi="Calibri" w:cs="Calibri"/>
          <w:sz w:val="24"/>
          <w:szCs w:val="24"/>
        </w:rPr>
        <w:t xml:space="preserve"> </w:t>
      </w:r>
      <w:r w:rsidRPr="00A7536F">
        <w:rPr>
          <w:rFonts w:ascii="Calibri" w:eastAsia="Times New Roman" w:hAnsi="Calibri" w:cs="Calibri"/>
          <w:sz w:val="24"/>
          <w:szCs w:val="24"/>
        </w:rPr>
        <w:t xml:space="preserve">Συγκριμένα, το </w:t>
      </w:r>
      <w:r w:rsidR="002257A7">
        <w:rPr>
          <w:rFonts w:ascii="Calibri" w:eastAsia="Times New Roman" w:hAnsi="Calibri" w:cs="Calibri"/>
          <w:sz w:val="24"/>
          <w:szCs w:val="24"/>
        </w:rPr>
        <w:t>87,4</w:t>
      </w:r>
      <w:r w:rsidRPr="00A7536F">
        <w:rPr>
          <w:rFonts w:ascii="Calibri" w:eastAsia="Times New Roman" w:hAnsi="Calibri" w:cs="Calibri"/>
          <w:sz w:val="24"/>
          <w:szCs w:val="24"/>
        </w:rPr>
        <w:t>% των επιχειρήσεων που πραγματοποίησε επενδύσεις τις χρηματοδότησε με ίδια κεφάλαια, το 5,</w:t>
      </w:r>
      <w:r w:rsidR="002257A7">
        <w:rPr>
          <w:rFonts w:ascii="Calibri" w:eastAsia="Times New Roman" w:hAnsi="Calibri" w:cs="Calibri"/>
          <w:sz w:val="24"/>
          <w:szCs w:val="24"/>
        </w:rPr>
        <w:t>8</w:t>
      </w:r>
      <w:r w:rsidRPr="00A7536F">
        <w:rPr>
          <w:rFonts w:ascii="Calibri" w:eastAsia="Times New Roman" w:hAnsi="Calibri" w:cs="Calibri"/>
          <w:sz w:val="24"/>
          <w:szCs w:val="24"/>
        </w:rPr>
        <w:t xml:space="preserve">% μέσω προγραμμάτων ΕΣΠΑ και μόλις το </w:t>
      </w:r>
      <w:r w:rsidR="002257A7">
        <w:rPr>
          <w:rFonts w:ascii="Calibri" w:eastAsia="Times New Roman" w:hAnsi="Calibri" w:cs="Calibri"/>
          <w:sz w:val="24"/>
          <w:szCs w:val="24"/>
        </w:rPr>
        <w:t>2,9</w:t>
      </w:r>
      <w:r w:rsidRPr="00A7536F">
        <w:rPr>
          <w:rFonts w:ascii="Calibri" w:eastAsia="Times New Roman" w:hAnsi="Calibri" w:cs="Calibri"/>
          <w:sz w:val="24"/>
          <w:szCs w:val="24"/>
        </w:rPr>
        <w:t xml:space="preserve">% μέσω τραπεζικού δανεισμού. </w:t>
      </w:r>
      <w:r w:rsidR="0066232B">
        <w:rPr>
          <w:rFonts w:ascii="Calibri" w:eastAsia="Times New Roman" w:hAnsi="Calibri" w:cs="Calibri"/>
          <w:sz w:val="24"/>
          <w:szCs w:val="24"/>
        </w:rPr>
        <w:t>Μόλις τ</w:t>
      </w:r>
      <w:r w:rsidR="002476E6" w:rsidRPr="004E4B8D">
        <w:rPr>
          <w:rFonts w:ascii="Calibri" w:eastAsia="Times New Roman" w:hAnsi="Calibri" w:cs="Calibri"/>
          <w:sz w:val="24"/>
          <w:szCs w:val="24"/>
        </w:rPr>
        <w:t xml:space="preserve">ο 13,2% των επιχειρήσεων εκτιμά ότι θα υλοποιήσει κάποιου είδους επένδυση το δεύτερο εξάμηνο του 2024, </w:t>
      </w:r>
      <w:r w:rsidR="0066232B">
        <w:rPr>
          <w:rFonts w:ascii="Calibri" w:eastAsia="Times New Roman" w:hAnsi="Calibri" w:cs="Calibri"/>
          <w:sz w:val="24"/>
          <w:szCs w:val="24"/>
        </w:rPr>
        <w:t xml:space="preserve">απάντηση που θα μπορούσε να συνδέεται με το υψηλό ποσοστό επιχειρήσεων που </w:t>
      </w:r>
      <w:proofErr w:type="spellStart"/>
      <w:r w:rsidR="0066232B">
        <w:rPr>
          <w:rFonts w:ascii="Calibri" w:eastAsia="Times New Roman" w:hAnsi="Calibri" w:cs="Calibri"/>
          <w:sz w:val="24"/>
          <w:szCs w:val="24"/>
        </w:rPr>
        <w:t>αυτοχρηματοδοτούν</w:t>
      </w:r>
      <w:proofErr w:type="spellEnd"/>
      <w:r w:rsidR="0066232B">
        <w:rPr>
          <w:rFonts w:ascii="Calibri" w:eastAsia="Times New Roman" w:hAnsi="Calibri" w:cs="Calibri"/>
          <w:sz w:val="24"/>
          <w:szCs w:val="24"/>
        </w:rPr>
        <w:t xml:space="preserve"> τις επενδύσεις τους</w:t>
      </w:r>
      <w:r w:rsidR="002476E6" w:rsidRPr="004E4B8D">
        <w:rPr>
          <w:rFonts w:ascii="Calibri" w:eastAsia="Times New Roman" w:hAnsi="Calibri" w:cs="Calibri"/>
          <w:sz w:val="24"/>
          <w:szCs w:val="24"/>
        </w:rPr>
        <w:t>.</w:t>
      </w:r>
    </w:p>
    <w:p w14:paraId="602D1C0A" w14:textId="05C28704" w:rsidR="004E4B8D" w:rsidRDefault="00FE7317" w:rsidP="00A7536F">
      <w:pPr>
        <w:spacing w:after="0" w:line="360" w:lineRule="auto"/>
        <w:jc w:val="both"/>
        <w:rPr>
          <w:rFonts w:ascii="Calibri" w:eastAsia="Times New Roman" w:hAnsi="Calibri" w:cs="Times New Roman"/>
          <w:b/>
          <w:bCs/>
          <w:noProof/>
        </w:rPr>
      </w:pPr>
      <w:r>
        <w:rPr>
          <w:noProof/>
        </w:rPr>
        <w:lastRenderedPageBreak/>
        <w:drawing>
          <wp:inline distT="0" distB="0" distL="0" distR="0" wp14:anchorId="12C2583B" wp14:editId="3700CB1D">
            <wp:extent cx="6660515" cy="5684520"/>
            <wp:effectExtent l="0" t="0" r="6985" b="11430"/>
            <wp:docPr id="818585404" name="Γράφημα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90934AD" w14:textId="77777777" w:rsidR="002476E6" w:rsidRPr="00DE77D0" w:rsidRDefault="002476E6" w:rsidP="00A7536F">
      <w:pPr>
        <w:spacing w:after="0" w:line="360" w:lineRule="auto"/>
        <w:jc w:val="both"/>
        <w:rPr>
          <w:rFonts w:ascii="Calibri" w:eastAsia="Times New Roman" w:hAnsi="Calibri" w:cs="Calibri"/>
          <w:bCs/>
          <w:sz w:val="24"/>
          <w:szCs w:val="24"/>
        </w:rPr>
      </w:pPr>
    </w:p>
    <w:p w14:paraId="326D94AA" w14:textId="77777777" w:rsidR="00D60539" w:rsidRPr="0029050F" w:rsidRDefault="0099643D" w:rsidP="00700BFC">
      <w:pPr>
        <w:pStyle w:val="a3"/>
        <w:numPr>
          <w:ilvl w:val="0"/>
          <w:numId w:val="4"/>
        </w:numPr>
        <w:spacing w:after="0" w:line="360" w:lineRule="auto"/>
        <w:jc w:val="both"/>
        <w:rPr>
          <w:b/>
          <w:sz w:val="24"/>
          <w:szCs w:val="24"/>
          <w:u w:val="single"/>
        </w:rPr>
      </w:pPr>
      <w:r w:rsidRPr="0029050F">
        <w:rPr>
          <w:b/>
          <w:sz w:val="24"/>
          <w:szCs w:val="24"/>
          <w:u w:val="single"/>
        </w:rPr>
        <w:t xml:space="preserve">Τιμές </w:t>
      </w:r>
    </w:p>
    <w:p w14:paraId="7268BCA6" w14:textId="04A3C676" w:rsidR="004605A4" w:rsidRDefault="00FC73AE" w:rsidP="00700BFC">
      <w:pPr>
        <w:spacing w:after="0" w:line="360" w:lineRule="auto"/>
        <w:jc w:val="both"/>
        <w:rPr>
          <w:sz w:val="24"/>
          <w:szCs w:val="24"/>
        </w:rPr>
      </w:pPr>
      <w:r>
        <w:rPr>
          <w:sz w:val="24"/>
          <w:szCs w:val="24"/>
        </w:rPr>
        <w:t>Η πορεία αύξησης των τιμών</w:t>
      </w:r>
      <w:r w:rsidR="00870ED3">
        <w:rPr>
          <w:sz w:val="24"/>
          <w:szCs w:val="24"/>
        </w:rPr>
        <w:t>,</w:t>
      </w:r>
      <w:r>
        <w:rPr>
          <w:sz w:val="24"/>
          <w:szCs w:val="24"/>
        </w:rPr>
        <w:t xml:space="preserve"> μ</w:t>
      </w:r>
      <w:r w:rsidR="004605A4" w:rsidRPr="0029050F">
        <w:rPr>
          <w:sz w:val="24"/>
          <w:szCs w:val="24"/>
        </w:rPr>
        <w:t xml:space="preserve">ετά το ιστορικό ρεκόρ του 59,2% </w:t>
      </w:r>
      <w:r>
        <w:rPr>
          <w:sz w:val="24"/>
          <w:szCs w:val="24"/>
        </w:rPr>
        <w:t xml:space="preserve">του </w:t>
      </w:r>
      <w:r w:rsidR="00FC276F" w:rsidRPr="0029050F">
        <w:rPr>
          <w:sz w:val="24"/>
          <w:szCs w:val="24"/>
        </w:rPr>
        <w:t>πρώτο</w:t>
      </w:r>
      <w:r>
        <w:rPr>
          <w:sz w:val="24"/>
          <w:szCs w:val="24"/>
        </w:rPr>
        <w:t>υ</w:t>
      </w:r>
      <w:r w:rsidR="004605A4" w:rsidRPr="0029050F">
        <w:rPr>
          <w:sz w:val="24"/>
          <w:szCs w:val="24"/>
        </w:rPr>
        <w:t xml:space="preserve"> </w:t>
      </w:r>
      <w:r>
        <w:rPr>
          <w:sz w:val="24"/>
          <w:szCs w:val="24"/>
        </w:rPr>
        <w:t>εξαμήνου</w:t>
      </w:r>
      <w:r w:rsidR="004605A4" w:rsidRPr="0029050F">
        <w:rPr>
          <w:sz w:val="24"/>
          <w:szCs w:val="24"/>
        </w:rPr>
        <w:t xml:space="preserve"> του 2022</w:t>
      </w:r>
      <w:r>
        <w:rPr>
          <w:sz w:val="24"/>
          <w:szCs w:val="24"/>
        </w:rPr>
        <w:t xml:space="preserve"> και τις ανατιμήσεις για το επόμενο έτος που εφάρμοσαν μία στις δύο επιχειρήσεις, </w:t>
      </w:r>
      <w:r w:rsidR="008010BC">
        <w:rPr>
          <w:sz w:val="24"/>
          <w:szCs w:val="24"/>
        </w:rPr>
        <w:t>παρουσιάζει ενδείξεις εξασθένισης</w:t>
      </w:r>
      <w:r w:rsidR="00FE6950">
        <w:rPr>
          <w:sz w:val="24"/>
          <w:szCs w:val="24"/>
        </w:rPr>
        <w:t>,</w:t>
      </w:r>
      <w:r w:rsidR="008010BC">
        <w:rPr>
          <w:sz w:val="24"/>
          <w:szCs w:val="24"/>
        </w:rPr>
        <w:t xml:space="preserve"> καθώς</w:t>
      </w:r>
      <w:r w:rsidR="00FE6950">
        <w:rPr>
          <w:sz w:val="24"/>
          <w:szCs w:val="24"/>
        </w:rPr>
        <w:t>,</w:t>
      </w:r>
      <w:r w:rsidR="008010BC">
        <w:rPr>
          <w:sz w:val="24"/>
          <w:szCs w:val="24"/>
        </w:rPr>
        <w:t xml:space="preserve"> τόσο στο δεύτερο εξάμηνο του 2023 όσο και στο πρώτο εξάμηνο του 2024</w:t>
      </w:r>
      <w:r w:rsidR="00FE6950">
        <w:rPr>
          <w:sz w:val="24"/>
          <w:szCs w:val="24"/>
        </w:rPr>
        <w:t>,</w:t>
      </w:r>
      <w:r w:rsidR="008010BC">
        <w:rPr>
          <w:sz w:val="24"/>
          <w:szCs w:val="24"/>
        </w:rPr>
        <w:t xml:space="preserve"> μία στις τρεις επιχειρήσεις αύξησαν τις τιμές τους</w:t>
      </w:r>
      <w:r w:rsidR="004605A4" w:rsidRPr="0029050F">
        <w:rPr>
          <w:sz w:val="24"/>
          <w:szCs w:val="24"/>
        </w:rPr>
        <w:t>.</w:t>
      </w:r>
      <w:r w:rsidR="008010BC">
        <w:rPr>
          <w:sz w:val="24"/>
          <w:szCs w:val="24"/>
        </w:rPr>
        <w:t xml:space="preserve"> Συγκεκριμένα</w:t>
      </w:r>
      <w:r w:rsidR="00870ED3">
        <w:rPr>
          <w:sz w:val="24"/>
          <w:szCs w:val="24"/>
        </w:rPr>
        <w:t>,</w:t>
      </w:r>
      <w:r w:rsidR="008010BC">
        <w:rPr>
          <w:sz w:val="24"/>
          <w:szCs w:val="24"/>
        </w:rPr>
        <w:t xml:space="preserve"> η πλειονότητα των επιχειρήσεων (56,5%) διατήρησε τις τιμές προϊόντων ή υπηρεσιών σταθερές, έναντι του 33% που επέβαλαν αυξήσεις και ενός όχι αμελητέου 10% που μείωσε τις τιμές των προϊόντων. Σε κάθε περίπτωση όμως, το επίμονα υψηλό ποσοστό των επιχειρήσεων που αυξάνει τιμές αποδεικνύει ότι αναζητείται ακόμα το επίπεδο ισορροπίας της οικονομίας και σταθεροποίησης του πληθωρισμού.</w:t>
      </w:r>
    </w:p>
    <w:p w14:paraId="65B9DCF6" w14:textId="77777777" w:rsidR="00FE6950" w:rsidRDefault="00FE6950" w:rsidP="00700BFC">
      <w:pPr>
        <w:spacing w:after="0" w:line="360" w:lineRule="auto"/>
        <w:jc w:val="both"/>
        <w:rPr>
          <w:b/>
          <w:bCs/>
          <w:sz w:val="24"/>
          <w:szCs w:val="24"/>
        </w:rPr>
      </w:pPr>
    </w:p>
    <w:p w14:paraId="46FE1B34" w14:textId="51D8E7CB" w:rsidR="004605A4" w:rsidRPr="006043B9" w:rsidRDefault="00E84E52" w:rsidP="00700BFC">
      <w:pPr>
        <w:spacing w:after="0" w:line="360" w:lineRule="auto"/>
        <w:jc w:val="both"/>
        <w:rPr>
          <w:sz w:val="24"/>
          <w:szCs w:val="24"/>
          <w:highlight w:val="yellow"/>
        </w:rPr>
      </w:pPr>
      <w:r>
        <w:rPr>
          <w:noProof/>
        </w:rPr>
        <w:lastRenderedPageBreak/>
        <w:drawing>
          <wp:inline distT="0" distB="0" distL="0" distR="0" wp14:anchorId="09412E0B" wp14:editId="074BA3DE">
            <wp:extent cx="6682740" cy="3225165"/>
            <wp:effectExtent l="0" t="0" r="3810" b="13335"/>
            <wp:docPr id="1871777238" name="Γράφημα 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217BB2" w14:textId="29FB4645" w:rsidR="004605A4" w:rsidRPr="00A01605" w:rsidRDefault="004605A4" w:rsidP="00A01605">
      <w:pPr>
        <w:spacing w:line="360" w:lineRule="auto"/>
        <w:jc w:val="both"/>
        <w:rPr>
          <w:sz w:val="24"/>
          <w:szCs w:val="24"/>
        </w:rPr>
      </w:pPr>
      <w:r w:rsidRPr="00A01605">
        <w:rPr>
          <w:sz w:val="24"/>
          <w:szCs w:val="24"/>
        </w:rPr>
        <w:t>Σε κλαδικό επίπεδο</w:t>
      </w:r>
      <w:r w:rsidR="00FE6950">
        <w:rPr>
          <w:sz w:val="24"/>
          <w:szCs w:val="24"/>
        </w:rPr>
        <w:t>,</w:t>
      </w:r>
      <w:r w:rsidRPr="00A01605">
        <w:rPr>
          <w:sz w:val="24"/>
          <w:szCs w:val="24"/>
        </w:rPr>
        <w:t xml:space="preserve"> </w:t>
      </w:r>
      <w:r w:rsidR="008010BC">
        <w:rPr>
          <w:sz w:val="24"/>
          <w:szCs w:val="24"/>
        </w:rPr>
        <w:t xml:space="preserve">οι επιχειρήσεις του κλάδου του εμπορίου </w:t>
      </w:r>
      <w:r w:rsidR="00F51D1B">
        <w:rPr>
          <w:sz w:val="24"/>
          <w:szCs w:val="24"/>
        </w:rPr>
        <w:t>εξακολουθούν να διατηρούν τα πρωτεία</w:t>
      </w:r>
      <w:r w:rsidR="00FE6950">
        <w:rPr>
          <w:sz w:val="24"/>
          <w:szCs w:val="24"/>
        </w:rPr>
        <w:t xml:space="preserve">, </w:t>
      </w:r>
      <w:r w:rsidR="00F51D1B">
        <w:rPr>
          <w:sz w:val="24"/>
          <w:szCs w:val="24"/>
        </w:rPr>
        <w:t xml:space="preserve">καθώς το 37,1% αυτών αύξησε τις τιμές, ενώ </w:t>
      </w:r>
      <w:r w:rsidR="00FE6950">
        <w:rPr>
          <w:sz w:val="24"/>
          <w:szCs w:val="24"/>
        </w:rPr>
        <w:t xml:space="preserve">προχώρησε σε αύξηση τιμών </w:t>
      </w:r>
      <w:r w:rsidR="00F51D1B">
        <w:rPr>
          <w:sz w:val="24"/>
          <w:szCs w:val="24"/>
        </w:rPr>
        <w:t>στους κλάδους της μεταποίησης – βιοτεχνίας το 31,3% και στον κλάδο των υπηρεσιών το 30,1% αντίστοιχα. Πάντως στον κλάδο του εμπορίου υπήρξε και ένα ποσοστό 14% που έκανε μειώσεις τιμών, ενώ στη μεταποίηση</w:t>
      </w:r>
      <w:r w:rsidR="00F379DF">
        <w:rPr>
          <w:sz w:val="24"/>
          <w:szCs w:val="24"/>
        </w:rPr>
        <w:t>-</w:t>
      </w:r>
      <w:r w:rsidR="00F51D1B">
        <w:rPr>
          <w:sz w:val="24"/>
          <w:szCs w:val="24"/>
        </w:rPr>
        <w:t>βιοτεχνία αντίστοιχη πρακτική υιοθέτησε το 8,9%</w:t>
      </w:r>
      <w:r w:rsidR="00F379DF">
        <w:rPr>
          <w:sz w:val="24"/>
          <w:szCs w:val="24"/>
        </w:rPr>
        <w:t xml:space="preserve">, και </w:t>
      </w:r>
      <w:r w:rsidR="00F51D1B">
        <w:rPr>
          <w:sz w:val="24"/>
          <w:szCs w:val="24"/>
        </w:rPr>
        <w:t xml:space="preserve">στις υπηρεσίες το 6,7%. Αξίζει πάντως να σημειωθεί ότι τόσο το ποσοστό των επιχειρήσεων που προχώρησε σε αυξήσεις όσο και αυτό που επέβαλε μειώσεις, απέχουν σημαντικά από τις προβλέψεις που καταγράφηκαν στην προηγούμενη έρευνα κλίματος του ΙΜΕ ΓΣΕΒΕΕ (24,7% προέβλεπαν αύξηση και 3% προέβλεπαν μείωση), γεγονός που πιστοποιεί συνθήκες αστάθειας, εξωγενείς παράγοντες επίδρασης στο κοστολόγιο αλλά και την αναζήτηση ισορροπίας από τους επαγγελματίες.  </w:t>
      </w:r>
    </w:p>
    <w:p w14:paraId="0C50FA76" w14:textId="20757CB7" w:rsidR="004605A4" w:rsidRPr="00DE77D0" w:rsidRDefault="00E2311E" w:rsidP="00700BFC">
      <w:pPr>
        <w:spacing w:after="0" w:line="360" w:lineRule="auto"/>
        <w:jc w:val="both"/>
        <w:rPr>
          <w:sz w:val="24"/>
          <w:szCs w:val="24"/>
        </w:rPr>
      </w:pPr>
      <w:r>
        <w:rPr>
          <w:sz w:val="24"/>
          <w:szCs w:val="24"/>
        </w:rPr>
        <w:t xml:space="preserve">Τέλος, </w:t>
      </w:r>
      <w:r w:rsidR="00F51D1B">
        <w:rPr>
          <w:sz w:val="24"/>
          <w:szCs w:val="24"/>
        </w:rPr>
        <w:t>εάν επαληθευτούν οι προβλέψεις των επαγγελματιών για το επόμενο εξάμηνο</w:t>
      </w:r>
      <w:r w:rsidR="00F379DF">
        <w:rPr>
          <w:sz w:val="24"/>
          <w:szCs w:val="24"/>
        </w:rPr>
        <w:t>,</w:t>
      </w:r>
      <w:r w:rsidR="00F51D1B">
        <w:rPr>
          <w:sz w:val="24"/>
          <w:szCs w:val="24"/>
        </w:rPr>
        <w:t xml:space="preserve"> οι πληθωριστικές πιέσεις θα συνεχιστούν</w:t>
      </w:r>
      <w:r w:rsidR="000B7724">
        <w:rPr>
          <w:sz w:val="24"/>
          <w:szCs w:val="24"/>
        </w:rPr>
        <w:t>,</w:t>
      </w:r>
      <w:r w:rsidR="00F51D1B">
        <w:rPr>
          <w:sz w:val="24"/>
          <w:szCs w:val="24"/>
        </w:rPr>
        <w:t xml:space="preserve"> αλλά σε ηπιότερο βαθμό</w:t>
      </w:r>
      <w:r w:rsidR="00DB7DC3">
        <w:rPr>
          <w:sz w:val="24"/>
          <w:szCs w:val="24"/>
        </w:rPr>
        <w:t>,</w:t>
      </w:r>
      <w:r w:rsidR="00F51D1B">
        <w:rPr>
          <w:sz w:val="24"/>
          <w:szCs w:val="24"/>
        </w:rPr>
        <w:t xml:space="preserve"> καθώς το 19,9% </w:t>
      </w:r>
      <w:r w:rsidR="008A1E5D">
        <w:rPr>
          <w:sz w:val="24"/>
          <w:szCs w:val="24"/>
        </w:rPr>
        <w:t>των επιχειρήσεων δηλώνουν ότι θα αυξήσουν τιμές έναντι του 5,6% που δηλώνουν πρόθεση μείωσης τιμών και 67,9% που δηλώνουν ότι θα παραμείνουν σταθερές</w:t>
      </w:r>
      <w:r w:rsidR="004605A4" w:rsidRPr="00A01605">
        <w:rPr>
          <w:sz w:val="24"/>
          <w:szCs w:val="24"/>
        </w:rPr>
        <w:t xml:space="preserve">. </w:t>
      </w:r>
      <w:r w:rsidR="008A1E5D">
        <w:rPr>
          <w:sz w:val="24"/>
          <w:szCs w:val="24"/>
        </w:rPr>
        <w:t>Σε κλαδικό επίπεδο</w:t>
      </w:r>
      <w:r w:rsidR="00902B23">
        <w:rPr>
          <w:sz w:val="24"/>
          <w:szCs w:val="24"/>
        </w:rPr>
        <w:t>,</w:t>
      </w:r>
      <w:r w:rsidR="002C362D">
        <w:rPr>
          <w:sz w:val="24"/>
          <w:szCs w:val="24"/>
        </w:rPr>
        <w:t xml:space="preserve"> σ</w:t>
      </w:r>
      <w:r w:rsidR="002C362D" w:rsidRPr="002C362D">
        <w:rPr>
          <w:sz w:val="24"/>
          <w:szCs w:val="24"/>
        </w:rPr>
        <w:t xml:space="preserve">χεδόν </w:t>
      </w:r>
      <w:r w:rsidR="002C362D">
        <w:rPr>
          <w:sz w:val="24"/>
          <w:szCs w:val="24"/>
        </w:rPr>
        <w:t>1</w:t>
      </w:r>
      <w:r w:rsidR="002C362D" w:rsidRPr="002C362D">
        <w:rPr>
          <w:sz w:val="24"/>
          <w:szCs w:val="24"/>
        </w:rPr>
        <w:t xml:space="preserve"> στις </w:t>
      </w:r>
      <w:r w:rsidR="008A1E5D">
        <w:rPr>
          <w:sz w:val="24"/>
          <w:szCs w:val="24"/>
        </w:rPr>
        <w:t>5</w:t>
      </w:r>
      <w:r w:rsidR="002C362D">
        <w:rPr>
          <w:sz w:val="24"/>
          <w:szCs w:val="24"/>
        </w:rPr>
        <w:t xml:space="preserve"> εμπορικές</w:t>
      </w:r>
      <w:r w:rsidR="002C362D" w:rsidRPr="002C362D">
        <w:rPr>
          <w:sz w:val="24"/>
          <w:szCs w:val="24"/>
        </w:rPr>
        <w:t xml:space="preserve"> επιχειρήσεις </w:t>
      </w:r>
      <w:r w:rsidR="008A1E5D" w:rsidRPr="008A1E5D">
        <w:rPr>
          <w:sz w:val="24"/>
          <w:szCs w:val="24"/>
        </w:rPr>
        <w:t xml:space="preserve">(21,7%) </w:t>
      </w:r>
      <w:r w:rsidR="008A1E5D">
        <w:rPr>
          <w:sz w:val="24"/>
          <w:szCs w:val="24"/>
        </w:rPr>
        <w:t xml:space="preserve">και του κλάδου των υπηρεσιών (20,2%) </w:t>
      </w:r>
      <w:r w:rsidR="002C362D">
        <w:rPr>
          <w:sz w:val="24"/>
          <w:szCs w:val="24"/>
        </w:rPr>
        <w:t>εκτιμ</w:t>
      </w:r>
      <w:r w:rsidR="00902B23">
        <w:rPr>
          <w:sz w:val="24"/>
          <w:szCs w:val="24"/>
        </w:rPr>
        <w:t>ά</w:t>
      </w:r>
      <w:r w:rsidR="002C362D">
        <w:rPr>
          <w:sz w:val="24"/>
          <w:szCs w:val="24"/>
        </w:rPr>
        <w:t xml:space="preserve"> ότι θα αυξήσ</w:t>
      </w:r>
      <w:r w:rsidR="00902B23">
        <w:rPr>
          <w:sz w:val="24"/>
          <w:szCs w:val="24"/>
        </w:rPr>
        <w:t>ει</w:t>
      </w:r>
      <w:r w:rsidR="002C362D" w:rsidRPr="002C362D">
        <w:rPr>
          <w:sz w:val="24"/>
          <w:szCs w:val="24"/>
        </w:rPr>
        <w:t xml:space="preserve"> </w:t>
      </w:r>
      <w:r w:rsidR="002C362D">
        <w:rPr>
          <w:sz w:val="24"/>
          <w:szCs w:val="24"/>
        </w:rPr>
        <w:t>τις τιμές τ</w:t>
      </w:r>
      <w:r w:rsidR="00902B23">
        <w:rPr>
          <w:sz w:val="24"/>
          <w:szCs w:val="24"/>
        </w:rPr>
        <w:t>η</w:t>
      </w:r>
      <w:r w:rsidR="002C362D">
        <w:rPr>
          <w:sz w:val="24"/>
          <w:szCs w:val="24"/>
        </w:rPr>
        <w:t>ς</w:t>
      </w:r>
      <w:r w:rsidR="002C362D" w:rsidRPr="002C362D">
        <w:rPr>
          <w:sz w:val="24"/>
          <w:szCs w:val="24"/>
        </w:rPr>
        <w:t xml:space="preserve">, </w:t>
      </w:r>
      <w:r w:rsidR="008A1E5D">
        <w:rPr>
          <w:sz w:val="24"/>
          <w:szCs w:val="24"/>
        </w:rPr>
        <w:t xml:space="preserve">ενώ ελαφρώς λιγότερες (16,7%) είναι οι επιχειρήσεις στον κλάδο της μεταποίησης </w:t>
      </w:r>
      <w:r w:rsidR="000B7724">
        <w:rPr>
          <w:sz w:val="24"/>
          <w:szCs w:val="24"/>
        </w:rPr>
        <w:t xml:space="preserve">- </w:t>
      </w:r>
      <w:r w:rsidR="008A1E5D">
        <w:rPr>
          <w:sz w:val="24"/>
          <w:szCs w:val="24"/>
        </w:rPr>
        <w:t>βιοτεχνίας που εκτιμούν ότι θα αυξήσουν</w:t>
      </w:r>
      <w:r w:rsidR="000B7724">
        <w:rPr>
          <w:sz w:val="24"/>
          <w:szCs w:val="24"/>
        </w:rPr>
        <w:t xml:space="preserve"> τις</w:t>
      </w:r>
      <w:r w:rsidR="008A1E5D">
        <w:rPr>
          <w:sz w:val="24"/>
          <w:szCs w:val="24"/>
        </w:rPr>
        <w:t xml:space="preserve"> τιμές το δεύτερο εξάμηνο του έτους. Σε πολιτική αύξησης τιμών προσανατολίζονται κυρίως οι μεγαλύτερου μεγέθους επιχειρήσεις (ετήσιος κύκλος εργασιών άνω των 100.000)</w:t>
      </w:r>
      <w:r w:rsidR="00DB7DC3">
        <w:rPr>
          <w:sz w:val="24"/>
          <w:szCs w:val="24"/>
        </w:rPr>
        <w:t xml:space="preserve">, από τις οποίες </w:t>
      </w:r>
      <w:r w:rsidR="008A1E5D">
        <w:rPr>
          <w:sz w:val="24"/>
          <w:szCs w:val="24"/>
        </w:rPr>
        <w:t xml:space="preserve">μία στις τέσσερις </w:t>
      </w:r>
      <w:r w:rsidR="008A1E5D">
        <w:rPr>
          <w:sz w:val="24"/>
          <w:szCs w:val="24"/>
        </w:rPr>
        <w:lastRenderedPageBreak/>
        <w:t xml:space="preserve">περίπου δηλώνει πρόθεση αύξησης, έναντι </w:t>
      </w:r>
      <w:r w:rsidR="00DB7DC3">
        <w:rPr>
          <w:sz w:val="24"/>
          <w:szCs w:val="24"/>
        </w:rPr>
        <w:t xml:space="preserve">της </w:t>
      </w:r>
      <w:r w:rsidR="008A1E5D">
        <w:rPr>
          <w:sz w:val="24"/>
          <w:szCs w:val="24"/>
        </w:rPr>
        <w:t xml:space="preserve">μίας </w:t>
      </w:r>
      <w:r w:rsidR="00DB7DC3">
        <w:rPr>
          <w:sz w:val="24"/>
          <w:szCs w:val="24"/>
        </w:rPr>
        <w:t xml:space="preserve">στις </w:t>
      </w:r>
      <w:r w:rsidR="008A1E5D">
        <w:rPr>
          <w:sz w:val="24"/>
          <w:szCs w:val="24"/>
        </w:rPr>
        <w:t>πέντε μικρότερου μεγέθους επιχειρήσεις (ετήσιος κύκλος εργασιών μικρότερος των 100.000€)</w:t>
      </w:r>
    </w:p>
    <w:p w14:paraId="6B9E842C" w14:textId="77777777" w:rsidR="002C362D" w:rsidRPr="006043B9" w:rsidRDefault="002C362D" w:rsidP="00700BFC">
      <w:pPr>
        <w:spacing w:after="0" w:line="360" w:lineRule="auto"/>
        <w:jc w:val="both"/>
        <w:rPr>
          <w:sz w:val="24"/>
          <w:szCs w:val="24"/>
          <w:highlight w:val="yellow"/>
        </w:rPr>
      </w:pPr>
    </w:p>
    <w:p w14:paraId="4E37FDFA" w14:textId="3061EAF3" w:rsidR="00F438CB" w:rsidRPr="006666AA" w:rsidRDefault="00B21D26" w:rsidP="00700BFC">
      <w:pPr>
        <w:pStyle w:val="a3"/>
        <w:numPr>
          <w:ilvl w:val="0"/>
          <w:numId w:val="4"/>
        </w:numPr>
        <w:spacing w:after="0" w:line="360" w:lineRule="auto"/>
        <w:jc w:val="both"/>
        <w:rPr>
          <w:b/>
          <w:sz w:val="24"/>
          <w:szCs w:val="24"/>
          <w:u w:val="single"/>
        </w:rPr>
      </w:pPr>
      <w:r w:rsidRPr="006666AA">
        <w:rPr>
          <w:b/>
          <w:sz w:val="24"/>
          <w:szCs w:val="24"/>
          <w:u w:val="single"/>
        </w:rPr>
        <w:t>Επιπτώσεις ανατιμήσεων</w:t>
      </w:r>
      <w:r w:rsidR="002C362D">
        <w:rPr>
          <w:b/>
          <w:sz w:val="24"/>
          <w:szCs w:val="24"/>
          <w:u w:val="single"/>
        </w:rPr>
        <w:t xml:space="preserve"> – αύξηση λειτουργικού κόστους </w:t>
      </w:r>
    </w:p>
    <w:p w14:paraId="4EAE3DF1" w14:textId="0A8FB454" w:rsidR="00D76309" w:rsidRPr="00D76309" w:rsidRDefault="00811443" w:rsidP="00700BFC">
      <w:pPr>
        <w:spacing w:after="0" w:line="360" w:lineRule="auto"/>
        <w:jc w:val="both"/>
        <w:rPr>
          <w:sz w:val="24"/>
          <w:szCs w:val="24"/>
        </w:rPr>
      </w:pPr>
      <w:r w:rsidRPr="006666AA">
        <w:rPr>
          <w:sz w:val="24"/>
          <w:szCs w:val="24"/>
        </w:rPr>
        <w:t>Οι</w:t>
      </w:r>
      <w:r w:rsidR="00754D44" w:rsidRPr="006666AA">
        <w:rPr>
          <w:sz w:val="24"/>
          <w:szCs w:val="24"/>
        </w:rPr>
        <w:t xml:space="preserve"> αρνητικές επιπτώσεις των ανατιμήσεων</w:t>
      </w:r>
      <w:r w:rsidRPr="006666AA">
        <w:rPr>
          <w:sz w:val="24"/>
          <w:szCs w:val="24"/>
        </w:rPr>
        <w:t xml:space="preserve"> </w:t>
      </w:r>
      <w:r w:rsidR="002928CC">
        <w:rPr>
          <w:sz w:val="24"/>
          <w:szCs w:val="24"/>
        </w:rPr>
        <w:t>σ</w:t>
      </w:r>
      <w:r w:rsidR="0018451F">
        <w:rPr>
          <w:sz w:val="24"/>
          <w:szCs w:val="24"/>
        </w:rPr>
        <w:t xml:space="preserve">το λειτουργικό κόστος των επιχειρήσεων είναι εμφανείς από το ποσοστό των επιχειρήσεων που </w:t>
      </w:r>
      <w:r w:rsidR="002928CC">
        <w:rPr>
          <w:sz w:val="24"/>
          <w:szCs w:val="24"/>
        </w:rPr>
        <w:t>ανέφερε</w:t>
      </w:r>
      <w:r w:rsidR="0018451F">
        <w:rPr>
          <w:sz w:val="24"/>
          <w:szCs w:val="24"/>
        </w:rPr>
        <w:t xml:space="preserve"> </w:t>
      </w:r>
      <w:r w:rsidR="001D4677">
        <w:rPr>
          <w:sz w:val="24"/>
          <w:szCs w:val="24"/>
        </w:rPr>
        <w:t xml:space="preserve">ότι </w:t>
      </w:r>
      <w:r w:rsidR="0018451F">
        <w:rPr>
          <w:sz w:val="24"/>
          <w:szCs w:val="24"/>
        </w:rPr>
        <w:t>αυτό έχει αυξηθεί τα τελευταία 2 χρόνια, δηλαδή από την εκδήλωση της ενεργειακής κρίσης</w:t>
      </w:r>
      <w:r w:rsidR="001D4677">
        <w:rPr>
          <w:sz w:val="24"/>
          <w:szCs w:val="24"/>
        </w:rPr>
        <w:t xml:space="preserve"> και έπειτα</w:t>
      </w:r>
      <w:r w:rsidRPr="006666AA">
        <w:rPr>
          <w:sz w:val="24"/>
          <w:szCs w:val="24"/>
        </w:rPr>
        <w:t xml:space="preserve">. </w:t>
      </w:r>
      <w:r w:rsidR="0018451F">
        <w:rPr>
          <w:sz w:val="24"/>
          <w:szCs w:val="24"/>
        </w:rPr>
        <w:t>Συγκεκριμένα</w:t>
      </w:r>
      <w:r w:rsidR="002928CC">
        <w:rPr>
          <w:sz w:val="24"/>
          <w:szCs w:val="24"/>
        </w:rPr>
        <w:t>,</w:t>
      </w:r>
      <w:r w:rsidR="0018451F">
        <w:rPr>
          <w:sz w:val="24"/>
          <w:szCs w:val="24"/>
        </w:rPr>
        <w:t xml:space="preserve"> σχεδόν 9 στις 10 επιχειρήσεις </w:t>
      </w:r>
      <w:r w:rsidR="001D4677">
        <w:rPr>
          <w:sz w:val="24"/>
          <w:szCs w:val="24"/>
        </w:rPr>
        <w:t xml:space="preserve">(89,8%) </w:t>
      </w:r>
      <w:r w:rsidR="0018451F">
        <w:rPr>
          <w:sz w:val="24"/>
          <w:szCs w:val="24"/>
        </w:rPr>
        <w:t xml:space="preserve">δήλωσαν ότι το κόστος λειτουργίας τους αυξήθηκε. </w:t>
      </w:r>
      <w:r w:rsidR="001D4677">
        <w:rPr>
          <w:sz w:val="24"/>
          <w:szCs w:val="24"/>
        </w:rPr>
        <w:t xml:space="preserve">Για την </w:t>
      </w:r>
      <w:r w:rsidR="0028333A">
        <w:rPr>
          <w:sz w:val="24"/>
          <w:szCs w:val="24"/>
        </w:rPr>
        <w:t xml:space="preserve">πλειονότητα </w:t>
      </w:r>
      <w:r w:rsidR="001D4677">
        <w:rPr>
          <w:sz w:val="24"/>
          <w:szCs w:val="24"/>
        </w:rPr>
        <w:t xml:space="preserve">των επιχειρήσεων </w:t>
      </w:r>
      <w:r w:rsidR="00FF2649">
        <w:rPr>
          <w:sz w:val="24"/>
          <w:szCs w:val="24"/>
        </w:rPr>
        <w:t>(47,6%)</w:t>
      </w:r>
      <w:r w:rsidR="0028333A">
        <w:rPr>
          <w:sz w:val="24"/>
          <w:szCs w:val="24"/>
        </w:rPr>
        <w:t>,</w:t>
      </w:r>
      <w:r w:rsidR="00FF2649">
        <w:rPr>
          <w:sz w:val="24"/>
          <w:szCs w:val="24"/>
        </w:rPr>
        <w:t xml:space="preserve"> </w:t>
      </w:r>
      <w:r w:rsidR="001D4677">
        <w:rPr>
          <w:sz w:val="24"/>
          <w:szCs w:val="24"/>
        </w:rPr>
        <w:t>η αύξηση του λειτουργικού κόστους των επιχειρήσεων κυμαίνεται μεταξύ 11%-30%</w:t>
      </w:r>
      <w:r w:rsidR="00FF2649">
        <w:rPr>
          <w:sz w:val="24"/>
          <w:szCs w:val="24"/>
        </w:rPr>
        <w:t xml:space="preserve">, ενώ για μία στις πέντε επιχειρήσεις (20%), η αύξηση του λειτουργικού κόστους κυμαίνεται μεταξύ 31%-50%. </w:t>
      </w:r>
      <w:proofErr w:type="spellStart"/>
      <w:r w:rsidR="00002837">
        <w:rPr>
          <w:sz w:val="24"/>
          <w:szCs w:val="24"/>
        </w:rPr>
        <w:t>Μεσοσταθμικά</w:t>
      </w:r>
      <w:proofErr w:type="spellEnd"/>
      <w:r w:rsidR="0028333A">
        <w:rPr>
          <w:sz w:val="24"/>
          <w:szCs w:val="24"/>
        </w:rPr>
        <w:t>,</w:t>
      </w:r>
      <w:r w:rsidR="00002837">
        <w:rPr>
          <w:sz w:val="24"/>
          <w:szCs w:val="24"/>
        </w:rPr>
        <w:t xml:space="preserve"> το κόστος λειτουργίας των μικρών και πολύ μικρών επιχειρήσεων αυξήθηκε από την έναρξη της ενεργειακής κρίσης κατά 37,4%. </w:t>
      </w:r>
      <w:r w:rsidR="00D76309" w:rsidRPr="00F32A10">
        <w:rPr>
          <w:sz w:val="24"/>
          <w:szCs w:val="24"/>
        </w:rPr>
        <w:t xml:space="preserve">Τομεακά, το λειτουργικό κόστος των εμπορικών επιχειρήσεων αυξήθηκε </w:t>
      </w:r>
      <w:proofErr w:type="spellStart"/>
      <w:r w:rsidR="00D76309" w:rsidRPr="00F32A10">
        <w:rPr>
          <w:sz w:val="24"/>
          <w:szCs w:val="24"/>
        </w:rPr>
        <w:t>μεσοσταθμικά</w:t>
      </w:r>
      <w:proofErr w:type="spellEnd"/>
      <w:r w:rsidR="00D76309" w:rsidRPr="00F32A10">
        <w:rPr>
          <w:sz w:val="24"/>
          <w:szCs w:val="24"/>
        </w:rPr>
        <w:t xml:space="preserve"> κατά </w:t>
      </w:r>
      <w:r w:rsidR="00002837">
        <w:rPr>
          <w:sz w:val="24"/>
          <w:szCs w:val="24"/>
        </w:rPr>
        <w:t>34</w:t>
      </w:r>
      <w:r w:rsidR="00D76309" w:rsidRPr="00F32A10">
        <w:rPr>
          <w:sz w:val="24"/>
          <w:szCs w:val="24"/>
        </w:rPr>
        <w:t xml:space="preserve">%, στη μεταποίηση κατά </w:t>
      </w:r>
      <w:r w:rsidR="00E87C4C">
        <w:rPr>
          <w:sz w:val="24"/>
          <w:szCs w:val="24"/>
        </w:rPr>
        <w:t>44,1</w:t>
      </w:r>
      <w:r w:rsidR="00D76309" w:rsidRPr="00F32A10">
        <w:rPr>
          <w:sz w:val="24"/>
          <w:szCs w:val="24"/>
        </w:rPr>
        <w:t xml:space="preserve">% και στις υπηρεσίες κατά </w:t>
      </w:r>
      <w:r w:rsidR="00002837">
        <w:rPr>
          <w:sz w:val="24"/>
          <w:szCs w:val="24"/>
        </w:rPr>
        <w:t>36,4</w:t>
      </w:r>
      <w:r w:rsidR="00D76309" w:rsidRPr="00F32A10">
        <w:rPr>
          <w:sz w:val="24"/>
          <w:szCs w:val="24"/>
        </w:rPr>
        <w:t>%.</w:t>
      </w:r>
      <w:r w:rsidR="00DB7DC3">
        <w:rPr>
          <w:sz w:val="24"/>
          <w:szCs w:val="24"/>
        </w:rPr>
        <w:t xml:space="preserve"> </w:t>
      </w:r>
    </w:p>
    <w:p w14:paraId="00F86718" w14:textId="77777777" w:rsidR="005A667D" w:rsidRPr="00942A7E" w:rsidRDefault="005A667D" w:rsidP="00700BFC">
      <w:pPr>
        <w:spacing w:after="0" w:line="360" w:lineRule="auto"/>
        <w:jc w:val="both"/>
        <w:rPr>
          <w:b/>
          <w:sz w:val="24"/>
          <w:szCs w:val="24"/>
          <w:highlight w:val="yellow"/>
          <w:u w:val="single"/>
        </w:rPr>
      </w:pPr>
    </w:p>
    <w:p w14:paraId="52BE8C32" w14:textId="77777777" w:rsidR="00CC423E" w:rsidRPr="00646CC1" w:rsidRDefault="00CC423E" w:rsidP="00700BFC">
      <w:pPr>
        <w:numPr>
          <w:ilvl w:val="0"/>
          <w:numId w:val="5"/>
        </w:numPr>
        <w:spacing w:after="0" w:line="360" w:lineRule="auto"/>
        <w:contextualSpacing/>
        <w:jc w:val="both"/>
        <w:rPr>
          <w:rFonts w:cstheme="minorHAnsi"/>
          <w:u w:val="single"/>
        </w:rPr>
      </w:pPr>
      <w:r w:rsidRPr="00646CC1">
        <w:rPr>
          <w:rFonts w:eastAsia="Times New Roman" w:cstheme="minorHAnsi"/>
          <w:b/>
          <w:color w:val="222222"/>
          <w:sz w:val="24"/>
          <w:szCs w:val="24"/>
          <w:u w:val="single"/>
        </w:rPr>
        <w:t xml:space="preserve">Υποχρεώσεις - οφειλές </w:t>
      </w:r>
    </w:p>
    <w:p w14:paraId="7315398C" w14:textId="0C4E7DDD" w:rsidR="00CC423E" w:rsidRPr="00F622BE" w:rsidRDefault="00770AAA" w:rsidP="00700BFC">
      <w:pPr>
        <w:spacing w:after="0" w:line="360" w:lineRule="auto"/>
        <w:jc w:val="both"/>
        <w:rPr>
          <w:rFonts w:eastAsia="Times New Roman" w:cstheme="minorHAnsi"/>
          <w:sz w:val="24"/>
          <w:szCs w:val="24"/>
        </w:rPr>
      </w:pPr>
      <w:r>
        <w:rPr>
          <w:rFonts w:eastAsia="Times New Roman" w:cstheme="minorHAnsi"/>
          <w:sz w:val="24"/>
          <w:szCs w:val="24"/>
        </w:rPr>
        <w:t xml:space="preserve">Οριακά βελτιωμένη εμφανίζεται </w:t>
      </w:r>
      <w:r w:rsidR="00BE0A57" w:rsidRPr="00770AAA">
        <w:rPr>
          <w:rFonts w:eastAsia="Times New Roman" w:cstheme="minorHAnsi"/>
          <w:sz w:val="24"/>
          <w:szCs w:val="24"/>
        </w:rPr>
        <w:t>η κατάσταση αναφορικά με τα ποσοστά των μικρών και πολύ μικρών επιχειρήσεων με</w:t>
      </w:r>
      <w:r w:rsidR="002C362D" w:rsidRPr="00770AAA">
        <w:rPr>
          <w:rFonts w:eastAsia="Times New Roman" w:cstheme="minorHAnsi"/>
          <w:sz w:val="24"/>
          <w:szCs w:val="24"/>
        </w:rPr>
        <w:t xml:space="preserve"> </w:t>
      </w:r>
      <w:r w:rsidR="00BE0A57" w:rsidRPr="00770AAA">
        <w:rPr>
          <w:rFonts w:eastAsia="Times New Roman" w:cstheme="minorHAnsi"/>
          <w:sz w:val="24"/>
          <w:szCs w:val="24"/>
        </w:rPr>
        <w:t>καθυστερημένες υποχρεώσεις</w:t>
      </w:r>
      <w:r w:rsidR="00CC423E" w:rsidRPr="00770AAA">
        <w:rPr>
          <w:rFonts w:eastAsia="Times New Roman" w:cstheme="minorHAnsi"/>
          <w:sz w:val="24"/>
          <w:szCs w:val="24"/>
        </w:rPr>
        <w:t>.</w:t>
      </w:r>
      <w:r w:rsidR="00EE3DCA" w:rsidRPr="00770AAA">
        <w:rPr>
          <w:rFonts w:eastAsia="Times New Roman" w:cstheme="minorHAnsi"/>
          <w:sz w:val="24"/>
          <w:szCs w:val="24"/>
        </w:rPr>
        <w:t xml:space="preserve"> </w:t>
      </w:r>
      <w:r w:rsidR="00A1521F" w:rsidRPr="00770AAA">
        <w:rPr>
          <w:rFonts w:eastAsia="Times New Roman" w:cstheme="minorHAnsi"/>
          <w:sz w:val="24"/>
          <w:szCs w:val="24"/>
        </w:rPr>
        <w:t>Αυτό σε γενικές γραμμές προκύπτει</w:t>
      </w:r>
      <w:r w:rsidR="002766C3" w:rsidRPr="00770AAA">
        <w:rPr>
          <w:rFonts w:eastAsia="Times New Roman" w:cstheme="minorHAnsi"/>
          <w:sz w:val="24"/>
          <w:szCs w:val="24"/>
        </w:rPr>
        <w:t xml:space="preserve"> </w:t>
      </w:r>
      <w:r w:rsidR="00A1521F" w:rsidRPr="00770AAA">
        <w:rPr>
          <w:rFonts w:eastAsia="Times New Roman" w:cstheme="minorHAnsi"/>
          <w:sz w:val="24"/>
          <w:szCs w:val="24"/>
        </w:rPr>
        <w:t>και από την τελευταία</w:t>
      </w:r>
      <w:r w:rsidR="002766C3" w:rsidRPr="00770AAA">
        <w:rPr>
          <w:rFonts w:eastAsia="Times New Roman" w:cstheme="minorHAnsi"/>
          <w:sz w:val="24"/>
          <w:szCs w:val="24"/>
        </w:rPr>
        <w:t xml:space="preserve"> </w:t>
      </w:r>
      <w:r w:rsidR="00A1521F" w:rsidRPr="00770AAA">
        <w:rPr>
          <w:rFonts w:eastAsia="Times New Roman" w:cstheme="minorHAnsi"/>
          <w:sz w:val="24"/>
          <w:szCs w:val="24"/>
        </w:rPr>
        <w:t>έκθεση του Γραφείου Π</w:t>
      </w:r>
      <w:r w:rsidR="002766C3" w:rsidRPr="00770AAA">
        <w:rPr>
          <w:rFonts w:eastAsia="Times New Roman" w:cstheme="minorHAnsi"/>
          <w:sz w:val="24"/>
          <w:szCs w:val="24"/>
        </w:rPr>
        <w:t xml:space="preserve">ροϋπολογισμού του Κράτους στην Βουλή </w:t>
      </w:r>
      <w:r w:rsidR="00BE0A57" w:rsidRPr="00770AAA">
        <w:rPr>
          <w:rFonts w:eastAsia="Times New Roman" w:cstheme="minorHAnsi"/>
          <w:sz w:val="24"/>
          <w:szCs w:val="24"/>
        </w:rPr>
        <w:t>(</w:t>
      </w:r>
      <w:r>
        <w:rPr>
          <w:rFonts w:eastAsia="Times New Roman" w:cstheme="minorHAnsi"/>
          <w:sz w:val="24"/>
          <w:szCs w:val="24"/>
        </w:rPr>
        <w:t>Ιούνιος 2024</w:t>
      </w:r>
      <w:r w:rsidR="00BE0A57" w:rsidRPr="00770AAA">
        <w:rPr>
          <w:rFonts w:eastAsia="Times New Roman" w:cstheme="minorHAnsi"/>
          <w:sz w:val="24"/>
          <w:szCs w:val="24"/>
        </w:rPr>
        <w:t>), όπου οι οφειλέτες</w:t>
      </w:r>
      <w:r w:rsidR="001F00CB" w:rsidRPr="00770AAA">
        <w:rPr>
          <w:rFonts w:eastAsia="Times New Roman" w:cstheme="minorHAnsi"/>
          <w:sz w:val="24"/>
          <w:szCs w:val="24"/>
        </w:rPr>
        <w:t>/</w:t>
      </w:r>
      <w:proofErr w:type="spellStart"/>
      <w:r w:rsidR="00085D87">
        <w:rPr>
          <w:rFonts w:eastAsia="Times New Roman" w:cstheme="minorHAnsi"/>
          <w:sz w:val="24"/>
          <w:szCs w:val="24"/>
        </w:rPr>
        <w:t>τ</w:t>
      </w:r>
      <w:r w:rsidR="001F00CB" w:rsidRPr="00770AAA">
        <w:rPr>
          <w:rFonts w:eastAsia="Times New Roman" w:cstheme="minorHAnsi"/>
          <w:sz w:val="24"/>
          <w:szCs w:val="24"/>
        </w:rPr>
        <w:t>ριες</w:t>
      </w:r>
      <w:proofErr w:type="spellEnd"/>
      <w:r w:rsidR="00BE0A57" w:rsidRPr="00770AAA">
        <w:rPr>
          <w:rFonts w:eastAsia="Times New Roman" w:cstheme="minorHAnsi"/>
          <w:sz w:val="24"/>
          <w:szCs w:val="24"/>
        </w:rPr>
        <w:t xml:space="preserve">, στο τέλος </w:t>
      </w:r>
      <w:r>
        <w:rPr>
          <w:rFonts w:eastAsia="Times New Roman" w:cstheme="minorHAnsi"/>
          <w:sz w:val="24"/>
          <w:szCs w:val="24"/>
        </w:rPr>
        <w:t>Απριλίου του 2024</w:t>
      </w:r>
      <w:r w:rsidR="00085D87">
        <w:rPr>
          <w:rFonts w:eastAsia="Times New Roman" w:cstheme="minorHAnsi"/>
          <w:sz w:val="24"/>
          <w:szCs w:val="24"/>
        </w:rPr>
        <w:t>,</w:t>
      </w:r>
      <w:r>
        <w:rPr>
          <w:rFonts w:eastAsia="Times New Roman" w:cstheme="minorHAnsi"/>
          <w:sz w:val="24"/>
          <w:szCs w:val="24"/>
        </w:rPr>
        <w:t xml:space="preserve"> ως σύνολο αυξήθηκαν κατά 958.313 πρόσωπα (φυσικά και νομικά)</w:t>
      </w:r>
      <w:r w:rsidR="00C76A22">
        <w:rPr>
          <w:rFonts w:eastAsia="Times New Roman" w:cstheme="minorHAnsi"/>
          <w:sz w:val="24"/>
          <w:szCs w:val="24"/>
        </w:rPr>
        <w:t xml:space="preserve"> σε σχέση με την αντίστοιχη περίοδο του 2023</w:t>
      </w:r>
      <w:r>
        <w:rPr>
          <w:rFonts w:eastAsia="Times New Roman" w:cstheme="minorHAnsi"/>
          <w:sz w:val="24"/>
          <w:szCs w:val="24"/>
        </w:rPr>
        <w:t>, αύξηση όμως που αποδίδεται</w:t>
      </w:r>
      <w:r w:rsidR="00C76A22">
        <w:rPr>
          <w:rFonts w:eastAsia="Times New Roman" w:cstheme="minorHAnsi"/>
          <w:sz w:val="24"/>
          <w:szCs w:val="24"/>
        </w:rPr>
        <w:t xml:space="preserve"> στην πρωθύστερη υποχρέωση εξόφλησης της πρώτης δόσης του ΕΝΦΙΑ συγκριτικά με το προηγούμενο έτος. </w:t>
      </w:r>
      <w:r>
        <w:rPr>
          <w:rFonts w:eastAsia="Times New Roman" w:cstheme="minorHAnsi"/>
          <w:sz w:val="24"/>
          <w:szCs w:val="24"/>
        </w:rPr>
        <w:t xml:space="preserve"> </w:t>
      </w:r>
      <w:r w:rsidR="00C76A22">
        <w:rPr>
          <w:rFonts w:eastAsia="Times New Roman" w:cstheme="minorHAnsi"/>
          <w:sz w:val="24"/>
          <w:szCs w:val="24"/>
        </w:rPr>
        <w:t>Όπως σημειώνεται στην έκθεση</w:t>
      </w:r>
      <w:r w:rsidR="00BF32FD">
        <w:rPr>
          <w:rFonts w:eastAsia="Times New Roman" w:cstheme="minorHAnsi"/>
          <w:sz w:val="24"/>
          <w:szCs w:val="24"/>
        </w:rPr>
        <w:t>,</w:t>
      </w:r>
      <w:r w:rsidR="00C76A22">
        <w:rPr>
          <w:rFonts w:eastAsia="Times New Roman" w:cstheme="minorHAnsi"/>
          <w:sz w:val="24"/>
          <w:szCs w:val="24"/>
        </w:rPr>
        <w:t xml:space="preserve"> </w:t>
      </w:r>
      <w:r w:rsidR="00C76A22" w:rsidRPr="00C76A22">
        <w:rPr>
          <w:rFonts w:eastAsia="Times New Roman" w:cstheme="minorHAnsi"/>
          <w:sz w:val="24"/>
          <w:szCs w:val="24"/>
        </w:rPr>
        <w:t>η εν λόγω αύξηση προέρχεται κυρίως από την κατηγορία οφειλής μέχρι 50 ευρώ, με τον αριθμό των οφειλετών να αυξάνεται κατά 1.070.998 πρόσωπα. Αντιθέτως, μείωση του αριθμού των οφειλετών</w:t>
      </w:r>
      <w:r w:rsidR="004B51EC">
        <w:rPr>
          <w:rFonts w:eastAsia="Times New Roman" w:cstheme="minorHAnsi"/>
          <w:sz w:val="24"/>
          <w:szCs w:val="24"/>
        </w:rPr>
        <w:t>/τριών</w:t>
      </w:r>
      <w:r w:rsidR="00C76A22" w:rsidRPr="00C76A22">
        <w:rPr>
          <w:rFonts w:eastAsia="Times New Roman" w:cstheme="minorHAnsi"/>
          <w:sz w:val="24"/>
          <w:szCs w:val="24"/>
        </w:rPr>
        <w:t>, κατά 129.482 πρόσωπα συνολικά, καταγράφεται σε οφειλές μεταξύ 50 και 10.000 ευρώ</w:t>
      </w:r>
      <w:r w:rsidR="00BE0A57" w:rsidRPr="00770AAA">
        <w:rPr>
          <w:rFonts w:eastAsia="Times New Roman" w:cstheme="minorHAnsi"/>
          <w:sz w:val="24"/>
          <w:szCs w:val="24"/>
        </w:rPr>
        <w:t xml:space="preserve"> μειώθηκαν κατά 163.111 πρόσωπα (φυσικά και νομικά) σε σχέση με την αντίστοιχη περίοδο του 2022</w:t>
      </w:r>
      <w:r w:rsidR="00D3438B" w:rsidRPr="00770AAA">
        <w:rPr>
          <w:rFonts w:eastAsia="Times New Roman" w:cstheme="minorHAnsi"/>
          <w:sz w:val="24"/>
          <w:szCs w:val="24"/>
        </w:rPr>
        <w:t>,</w:t>
      </w:r>
      <w:r w:rsidR="00BE0A57" w:rsidRPr="00770AAA">
        <w:rPr>
          <w:rFonts w:eastAsia="Times New Roman" w:cstheme="minorHAnsi"/>
          <w:sz w:val="24"/>
          <w:szCs w:val="24"/>
        </w:rPr>
        <w:t xml:space="preserve"> με αποτέλεσμα</w:t>
      </w:r>
      <w:r w:rsidR="001F00CB" w:rsidRPr="00770AAA">
        <w:rPr>
          <w:rFonts w:eastAsia="Times New Roman" w:cstheme="minorHAnsi"/>
          <w:sz w:val="24"/>
          <w:szCs w:val="24"/>
        </w:rPr>
        <w:t xml:space="preserve"> ο αριθμός τους</w:t>
      </w:r>
      <w:r w:rsidR="00BE0A57" w:rsidRPr="00770AAA">
        <w:rPr>
          <w:rFonts w:eastAsia="Times New Roman" w:cstheme="minorHAnsi"/>
          <w:sz w:val="24"/>
          <w:szCs w:val="24"/>
        </w:rPr>
        <w:t xml:space="preserve"> να διαμορφώνεται </w:t>
      </w:r>
      <w:r w:rsidR="001F00CB" w:rsidRPr="00770AAA">
        <w:rPr>
          <w:rFonts w:eastAsia="Times New Roman" w:cstheme="minorHAnsi"/>
          <w:sz w:val="24"/>
          <w:szCs w:val="24"/>
        </w:rPr>
        <w:t>στους/</w:t>
      </w:r>
      <w:r w:rsidR="00085D87">
        <w:rPr>
          <w:rFonts w:eastAsia="Times New Roman" w:cstheme="minorHAnsi"/>
          <w:sz w:val="24"/>
          <w:szCs w:val="24"/>
        </w:rPr>
        <w:t>στ</w:t>
      </w:r>
      <w:r w:rsidR="001F00CB" w:rsidRPr="00770AAA">
        <w:rPr>
          <w:rFonts w:eastAsia="Times New Roman" w:cstheme="minorHAnsi"/>
          <w:sz w:val="24"/>
          <w:szCs w:val="24"/>
        </w:rPr>
        <w:t>ις</w:t>
      </w:r>
      <w:r w:rsidR="00BE0A57" w:rsidRPr="00770AAA">
        <w:rPr>
          <w:rFonts w:eastAsia="Times New Roman" w:cstheme="minorHAnsi"/>
          <w:sz w:val="24"/>
          <w:szCs w:val="24"/>
        </w:rPr>
        <w:t xml:space="preserve"> 4.013.138 οφειλέτες</w:t>
      </w:r>
      <w:r w:rsidR="001F00CB" w:rsidRPr="00770AAA">
        <w:rPr>
          <w:rFonts w:eastAsia="Times New Roman" w:cstheme="minorHAnsi"/>
          <w:sz w:val="24"/>
          <w:szCs w:val="24"/>
        </w:rPr>
        <w:t>/</w:t>
      </w:r>
      <w:proofErr w:type="spellStart"/>
      <w:r w:rsidR="00085D87">
        <w:rPr>
          <w:rFonts w:eastAsia="Times New Roman" w:cstheme="minorHAnsi"/>
          <w:sz w:val="24"/>
          <w:szCs w:val="24"/>
        </w:rPr>
        <w:t>τ</w:t>
      </w:r>
      <w:r w:rsidR="001F00CB" w:rsidRPr="00770AAA">
        <w:rPr>
          <w:rFonts w:eastAsia="Times New Roman" w:cstheme="minorHAnsi"/>
          <w:sz w:val="24"/>
          <w:szCs w:val="24"/>
        </w:rPr>
        <w:t>ριες</w:t>
      </w:r>
      <w:proofErr w:type="spellEnd"/>
      <w:r w:rsidR="00BE0A57" w:rsidRPr="00770AAA">
        <w:rPr>
          <w:rFonts w:eastAsia="Times New Roman" w:cstheme="minorHAnsi"/>
          <w:sz w:val="24"/>
          <w:szCs w:val="24"/>
        </w:rPr>
        <w:t xml:space="preserve">. </w:t>
      </w:r>
      <w:r w:rsidR="00C76A22">
        <w:rPr>
          <w:rFonts w:eastAsia="Times New Roman" w:cstheme="minorHAnsi"/>
          <w:sz w:val="24"/>
          <w:szCs w:val="24"/>
        </w:rPr>
        <w:t>Σ</w:t>
      </w:r>
      <w:r w:rsidR="00BE0A57" w:rsidRPr="00770AAA">
        <w:rPr>
          <w:rFonts w:eastAsia="Times New Roman" w:cstheme="minorHAnsi"/>
          <w:sz w:val="24"/>
          <w:szCs w:val="24"/>
        </w:rPr>
        <w:t xml:space="preserve">τις υπόλοιπες κατηγορίες οφειλής </w:t>
      </w:r>
      <w:r w:rsidR="00C76A22">
        <w:rPr>
          <w:rFonts w:eastAsia="Times New Roman" w:cstheme="minorHAnsi"/>
          <w:sz w:val="24"/>
          <w:szCs w:val="24"/>
        </w:rPr>
        <w:t xml:space="preserve">εξακολουθεί να </w:t>
      </w:r>
      <w:r w:rsidR="00BE0A57" w:rsidRPr="00770AAA">
        <w:rPr>
          <w:rFonts w:eastAsia="Times New Roman" w:cstheme="minorHAnsi"/>
          <w:sz w:val="24"/>
          <w:szCs w:val="24"/>
        </w:rPr>
        <w:t>παρατηρείται αύξηση του αριθμού των οφειλετών</w:t>
      </w:r>
      <w:r w:rsidR="001F00CB" w:rsidRPr="00770AAA">
        <w:rPr>
          <w:rFonts w:eastAsia="Times New Roman" w:cstheme="minorHAnsi"/>
          <w:sz w:val="24"/>
          <w:szCs w:val="24"/>
        </w:rPr>
        <w:t>/</w:t>
      </w:r>
      <w:r w:rsidR="00085D87">
        <w:rPr>
          <w:rFonts w:eastAsia="Times New Roman" w:cstheme="minorHAnsi"/>
          <w:sz w:val="24"/>
          <w:szCs w:val="24"/>
        </w:rPr>
        <w:t>τ</w:t>
      </w:r>
      <w:r w:rsidR="001F00CB" w:rsidRPr="00770AAA">
        <w:rPr>
          <w:rFonts w:eastAsia="Times New Roman" w:cstheme="minorHAnsi"/>
          <w:sz w:val="24"/>
          <w:szCs w:val="24"/>
        </w:rPr>
        <w:t>ριών</w:t>
      </w:r>
      <w:r w:rsidR="00BE0A57" w:rsidRPr="00770AAA">
        <w:rPr>
          <w:rFonts w:eastAsia="Times New Roman" w:cstheme="minorHAnsi"/>
          <w:sz w:val="24"/>
          <w:szCs w:val="24"/>
        </w:rPr>
        <w:t xml:space="preserve"> με τη μεγαλύτερη, κατά </w:t>
      </w:r>
      <w:r w:rsidR="00C76A22">
        <w:rPr>
          <w:rFonts w:eastAsia="Times New Roman" w:cstheme="minorHAnsi"/>
          <w:sz w:val="24"/>
          <w:szCs w:val="24"/>
        </w:rPr>
        <w:t>13.716</w:t>
      </w:r>
      <w:r w:rsidR="00BE0A57" w:rsidRPr="00770AAA">
        <w:rPr>
          <w:rFonts w:eastAsia="Times New Roman" w:cstheme="minorHAnsi"/>
          <w:sz w:val="24"/>
          <w:szCs w:val="24"/>
        </w:rPr>
        <w:t xml:space="preserve"> πρόσωπα, να καταγράφεται στο εύρος οφειλής από 10.000 έως 100.000 </w:t>
      </w:r>
      <w:r w:rsidR="001F00CB" w:rsidRPr="00770AAA">
        <w:rPr>
          <w:rFonts w:eastAsia="Times New Roman" w:cstheme="minorHAnsi"/>
          <w:sz w:val="24"/>
          <w:szCs w:val="24"/>
        </w:rPr>
        <w:t>€</w:t>
      </w:r>
      <w:r w:rsidR="00BE0A57" w:rsidRPr="00770AAA">
        <w:rPr>
          <w:rFonts w:eastAsia="Times New Roman" w:cstheme="minorHAnsi"/>
          <w:sz w:val="24"/>
          <w:szCs w:val="24"/>
        </w:rPr>
        <w:t xml:space="preserve">. Αντίστοιχη είναι η εικόνα και στα ασφαλιστικά ταμεία, αφού σύμφωνα με την </w:t>
      </w:r>
      <w:r w:rsidR="00D17D97">
        <w:rPr>
          <w:rFonts w:eastAsia="Times New Roman" w:cstheme="minorHAnsi"/>
          <w:sz w:val="24"/>
          <w:szCs w:val="24"/>
        </w:rPr>
        <w:t xml:space="preserve">πρώτη τριμηνιαία έκθεση προόδου του ΚΕΑΟ στο τέλος Μαρτίου του 2024 ο συνολικός αριθμός </w:t>
      </w:r>
      <w:r w:rsidR="00BE0A57" w:rsidRPr="00770AAA">
        <w:rPr>
          <w:rFonts w:eastAsia="Times New Roman" w:cstheme="minorHAnsi"/>
          <w:sz w:val="24"/>
          <w:szCs w:val="24"/>
        </w:rPr>
        <w:t>των οφειλετών</w:t>
      </w:r>
      <w:r w:rsidR="001F00CB" w:rsidRPr="00770AAA">
        <w:rPr>
          <w:rFonts w:eastAsia="Times New Roman" w:cstheme="minorHAnsi"/>
          <w:sz w:val="24"/>
          <w:szCs w:val="24"/>
        </w:rPr>
        <w:t>/</w:t>
      </w:r>
      <w:r w:rsidR="00085D87">
        <w:rPr>
          <w:rFonts w:eastAsia="Times New Roman" w:cstheme="minorHAnsi"/>
          <w:sz w:val="24"/>
          <w:szCs w:val="24"/>
        </w:rPr>
        <w:t>τ</w:t>
      </w:r>
      <w:r w:rsidR="001F00CB" w:rsidRPr="00770AAA">
        <w:rPr>
          <w:rFonts w:eastAsia="Times New Roman" w:cstheme="minorHAnsi"/>
          <w:sz w:val="24"/>
          <w:szCs w:val="24"/>
        </w:rPr>
        <w:t>ριών</w:t>
      </w:r>
      <w:r w:rsidR="00BE0A57" w:rsidRPr="00770AAA">
        <w:rPr>
          <w:rFonts w:eastAsia="Times New Roman" w:cstheme="minorHAnsi"/>
          <w:sz w:val="24"/>
          <w:szCs w:val="24"/>
        </w:rPr>
        <w:t xml:space="preserve"> </w:t>
      </w:r>
      <w:r w:rsidR="00D17D97">
        <w:rPr>
          <w:rFonts w:eastAsia="Times New Roman" w:cstheme="minorHAnsi"/>
          <w:sz w:val="24"/>
          <w:szCs w:val="24"/>
        </w:rPr>
        <w:t xml:space="preserve">ανήλθε </w:t>
      </w:r>
      <w:r w:rsidR="00BE0A57" w:rsidRPr="00770AAA">
        <w:rPr>
          <w:rFonts w:eastAsia="Times New Roman" w:cstheme="minorHAnsi"/>
          <w:sz w:val="24"/>
          <w:szCs w:val="24"/>
        </w:rPr>
        <w:t xml:space="preserve"> </w:t>
      </w:r>
      <w:r w:rsidR="001F00CB" w:rsidRPr="00770AAA">
        <w:rPr>
          <w:rFonts w:eastAsia="Times New Roman" w:cstheme="minorHAnsi"/>
          <w:sz w:val="24"/>
          <w:szCs w:val="24"/>
        </w:rPr>
        <w:lastRenderedPageBreak/>
        <w:t>στους/</w:t>
      </w:r>
      <w:r w:rsidR="00085D87">
        <w:rPr>
          <w:rFonts w:eastAsia="Times New Roman" w:cstheme="minorHAnsi"/>
          <w:sz w:val="24"/>
          <w:szCs w:val="24"/>
        </w:rPr>
        <w:t>στ</w:t>
      </w:r>
      <w:r w:rsidR="001F00CB" w:rsidRPr="00770AAA">
        <w:rPr>
          <w:rFonts w:eastAsia="Times New Roman" w:cstheme="minorHAnsi"/>
          <w:sz w:val="24"/>
          <w:szCs w:val="24"/>
        </w:rPr>
        <w:t>ις</w:t>
      </w:r>
      <w:r w:rsidR="00BE0A57" w:rsidRPr="00770AAA">
        <w:rPr>
          <w:rFonts w:eastAsia="Times New Roman" w:cstheme="minorHAnsi"/>
          <w:sz w:val="24"/>
          <w:szCs w:val="24"/>
        </w:rPr>
        <w:t xml:space="preserve"> 2.</w:t>
      </w:r>
      <w:r w:rsidR="00D17D97">
        <w:rPr>
          <w:rFonts w:eastAsia="Times New Roman" w:cstheme="minorHAnsi"/>
          <w:sz w:val="24"/>
          <w:szCs w:val="24"/>
        </w:rPr>
        <w:t>184</w:t>
      </w:r>
      <w:r w:rsidR="00BE0A57" w:rsidRPr="00770AAA">
        <w:rPr>
          <w:rFonts w:eastAsia="Times New Roman" w:cstheme="minorHAnsi"/>
          <w:sz w:val="24"/>
          <w:szCs w:val="24"/>
        </w:rPr>
        <w:t>.</w:t>
      </w:r>
      <w:r w:rsidR="00D17D97">
        <w:rPr>
          <w:rFonts w:eastAsia="Times New Roman" w:cstheme="minorHAnsi"/>
          <w:sz w:val="24"/>
          <w:szCs w:val="24"/>
        </w:rPr>
        <w:t>125, μειωμένος κατά 111.974 πρόσωπα, συγκριτικά με την προηγούμενη έρευνα κλίματος του ΙΜΕ ΓΣΕΒΕΕ που αξιολογούσε τα δεδομένα μέχρι και το τρίτο τρίμηνο του 2023</w:t>
      </w:r>
      <w:r w:rsidR="00BE0A57" w:rsidRPr="00770AAA">
        <w:rPr>
          <w:rFonts w:eastAsia="Times New Roman" w:cstheme="minorHAnsi"/>
          <w:sz w:val="24"/>
          <w:szCs w:val="24"/>
        </w:rPr>
        <w:t>.</w:t>
      </w:r>
      <w:r w:rsidR="00BE0A57" w:rsidRPr="00BE0A57">
        <w:rPr>
          <w:rFonts w:eastAsia="Times New Roman" w:cstheme="minorHAnsi"/>
          <w:sz w:val="24"/>
          <w:szCs w:val="24"/>
        </w:rPr>
        <w:t xml:space="preserve"> </w:t>
      </w:r>
    </w:p>
    <w:p w14:paraId="104D9278" w14:textId="64AC43CB" w:rsidR="00CC423E" w:rsidRPr="00F622BE" w:rsidRDefault="00CC423E" w:rsidP="00700BFC">
      <w:pPr>
        <w:spacing w:after="0" w:line="360" w:lineRule="auto"/>
        <w:jc w:val="both"/>
        <w:rPr>
          <w:rFonts w:eastAsia="Times New Roman" w:cstheme="minorHAnsi"/>
          <w:sz w:val="24"/>
          <w:szCs w:val="24"/>
        </w:rPr>
      </w:pPr>
      <w:r w:rsidRPr="00F622BE">
        <w:rPr>
          <w:rFonts w:eastAsia="Times New Roman" w:cstheme="minorHAnsi"/>
          <w:sz w:val="24"/>
          <w:szCs w:val="24"/>
        </w:rPr>
        <w:t>Ωστόσο, τα ποσοστά των επιχειρήσεων που αντιμετωπίζουν προβλήματα στην καταβολή των υποχρεώσε</w:t>
      </w:r>
      <w:r w:rsidR="001F00CB">
        <w:rPr>
          <w:rFonts w:eastAsia="Times New Roman" w:cstheme="minorHAnsi"/>
          <w:sz w:val="24"/>
          <w:szCs w:val="24"/>
        </w:rPr>
        <w:t>ώ</w:t>
      </w:r>
      <w:r w:rsidRPr="00F622BE">
        <w:rPr>
          <w:rFonts w:eastAsia="Times New Roman" w:cstheme="minorHAnsi"/>
          <w:sz w:val="24"/>
          <w:szCs w:val="24"/>
        </w:rPr>
        <w:t>ν τους παραμένουν ιδιαίτερα υψηλά.</w:t>
      </w:r>
    </w:p>
    <w:p w14:paraId="0AF8BA92" w14:textId="04FB9FF5" w:rsidR="00CC423E" w:rsidRDefault="00E72E58" w:rsidP="00700BFC">
      <w:pPr>
        <w:spacing w:after="0" w:line="360" w:lineRule="auto"/>
        <w:jc w:val="both"/>
        <w:rPr>
          <w:rFonts w:eastAsia="Times New Roman" w:cstheme="minorHAnsi"/>
          <w:sz w:val="24"/>
          <w:szCs w:val="24"/>
        </w:rPr>
      </w:pPr>
      <w:r w:rsidRPr="00534CC8">
        <w:rPr>
          <w:rFonts w:eastAsia="Times New Roman" w:cstheme="minorHAnsi"/>
          <w:sz w:val="24"/>
          <w:szCs w:val="24"/>
        </w:rPr>
        <w:t>Ειδικότερα</w:t>
      </w:r>
      <w:r w:rsidR="00CC423E" w:rsidRPr="00534CC8">
        <w:rPr>
          <w:rFonts w:eastAsia="Times New Roman" w:cstheme="minorHAnsi"/>
          <w:sz w:val="24"/>
          <w:szCs w:val="24"/>
        </w:rPr>
        <w:t xml:space="preserve">, το </w:t>
      </w:r>
      <w:r w:rsidR="00534CC8" w:rsidRPr="00534CC8">
        <w:rPr>
          <w:rFonts w:eastAsia="Times New Roman" w:cstheme="minorHAnsi"/>
          <w:sz w:val="24"/>
          <w:szCs w:val="24"/>
        </w:rPr>
        <w:t>29</w:t>
      </w:r>
      <w:r w:rsidR="00CC423E" w:rsidRPr="00534CC8">
        <w:rPr>
          <w:rFonts w:eastAsia="Times New Roman" w:cstheme="minorHAnsi"/>
          <w:sz w:val="24"/>
          <w:szCs w:val="24"/>
        </w:rPr>
        <w:t>% των μικρών και πολύ μικρών επιχει</w:t>
      </w:r>
      <w:r w:rsidR="008914DB" w:rsidRPr="00534CC8">
        <w:rPr>
          <w:rFonts w:eastAsia="Times New Roman" w:cstheme="minorHAnsi"/>
          <w:sz w:val="24"/>
          <w:szCs w:val="24"/>
        </w:rPr>
        <w:t>ρήσεων έχει</w:t>
      </w:r>
      <w:r w:rsidR="00CC423E" w:rsidRPr="00534CC8">
        <w:rPr>
          <w:rFonts w:eastAsia="Times New Roman" w:cstheme="minorHAnsi"/>
          <w:sz w:val="24"/>
          <w:szCs w:val="24"/>
        </w:rPr>
        <w:t xml:space="preserve"> τουλάχιστον </w:t>
      </w:r>
      <w:r w:rsidR="00C7228A">
        <w:rPr>
          <w:rFonts w:eastAsia="Times New Roman" w:cstheme="minorHAnsi"/>
          <w:sz w:val="24"/>
          <w:szCs w:val="24"/>
        </w:rPr>
        <w:t>1</w:t>
      </w:r>
      <w:r w:rsidR="00CC423E" w:rsidRPr="00534CC8">
        <w:rPr>
          <w:rFonts w:eastAsia="Times New Roman" w:cstheme="minorHAnsi"/>
          <w:sz w:val="24"/>
          <w:szCs w:val="24"/>
        </w:rPr>
        <w:t xml:space="preserve"> ληξιπρόθεσμη οφει</w:t>
      </w:r>
      <w:r w:rsidR="008914DB" w:rsidRPr="00534CC8">
        <w:rPr>
          <w:rFonts w:eastAsia="Times New Roman" w:cstheme="minorHAnsi"/>
          <w:sz w:val="24"/>
          <w:szCs w:val="24"/>
        </w:rPr>
        <w:t>λή, ποσοστό</w:t>
      </w:r>
      <w:r w:rsidR="00534CC8" w:rsidRPr="00534CC8">
        <w:rPr>
          <w:rFonts w:eastAsia="Times New Roman" w:cstheme="minorHAnsi"/>
          <w:sz w:val="24"/>
          <w:szCs w:val="24"/>
        </w:rPr>
        <w:t xml:space="preserve"> οριακά μειωμένο </w:t>
      </w:r>
      <w:r w:rsidR="008914DB" w:rsidRPr="00534CC8">
        <w:rPr>
          <w:rFonts w:eastAsia="Times New Roman" w:cstheme="minorHAnsi"/>
          <w:sz w:val="24"/>
          <w:szCs w:val="24"/>
        </w:rPr>
        <w:t xml:space="preserve">σε </w:t>
      </w:r>
      <w:r w:rsidRPr="00534CC8">
        <w:rPr>
          <w:rFonts w:eastAsia="Times New Roman" w:cstheme="minorHAnsi"/>
          <w:sz w:val="24"/>
          <w:szCs w:val="24"/>
        </w:rPr>
        <w:t xml:space="preserve">σχέση με την προηγούμενη έρευνα που ήταν </w:t>
      </w:r>
      <w:r w:rsidR="00534CC8" w:rsidRPr="00534CC8">
        <w:rPr>
          <w:rFonts w:eastAsia="Times New Roman" w:cstheme="minorHAnsi"/>
          <w:sz w:val="24"/>
          <w:szCs w:val="24"/>
        </w:rPr>
        <w:t>30,6</w:t>
      </w:r>
      <w:r w:rsidRPr="00534CC8">
        <w:rPr>
          <w:rFonts w:eastAsia="Times New Roman" w:cstheme="minorHAnsi"/>
          <w:sz w:val="24"/>
          <w:szCs w:val="24"/>
        </w:rPr>
        <w:t>%.</w:t>
      </w:r>
      <w:r w:rsidR="00CC423E" w:rsidRPr="00534CC8">
        <w:rPr>
          <w:rFonts w:eastAsia="Times New Roman" w:cstheme="minorHAnsi"/>
          <w:sz w:val="24"/>
          <w:szCs w:val="24"/>
        </w:rPr>
        <w:t xml:space="preserve"> </w:t>
      </w:r>
    </w:p>
    <w:p w14:paraId="6043FBD6" w14:textId="44343DF7" w:rsidR="00D17D97" w:rsidRPr="00534CC8" w:rsidRDefault="00D17D97" w:rsidP="00700BFC">
      <w:pPr>
        <w:spacing w:after="0" w:line="360" w:lineRule="auto"/>
        <w:jc w:val="both"/>
        <w:rPr>
          <w:rFonts w:eastAsia="Times New Roman" w:cstheme="minorHAnsi"/>
          <w:sz w:val="24"/>
          <w:szCs w:val="24"/>
        </w:rPr>
      </w:pPr>
      <w:r>
        <w:rPr>
          <w:rFonts w:eastAsia="Times New Roman" w:cstheme="minorHAnsi"/>
          <w:sz w:val="24"/>
          <w:szCs w:val="24"/>
        </w:rPr>
        <w:t xml:space="preserve">Είναι χαρακτηριστικό ότι και στις δύο </w:t>
      </w:r>
      <w:r w:rsidR="00C7228A">
        <w:rPr>
          <w:rFonts w:eastAsia="Times New Roman" w:cstheme="minorHAnsi"/>
          <w:sz w:val="24"/>
          <w:szCs w:val="24"/>
        </w:rPr>
        <w:t xml:space="preserve">προαναφερθείσες </w:t>
      </w:r>
      <w:r>
        <w:rPr>
          <w:rFonts w:eastAsia="Times New Roman" w:cstheme="minorHAnsi"/>
          <w:sz w:val="24"/>
          <w:szCs w:val="24"/>
        </w:rPr>
        <w:t>εκθέσεις αποτυπώνεται ξεκάθαρα ότι τόσο προς το δημόσιο όσο και προς τα ασφαλιστικά ταμεία, μειώνονται σταθερά οι οφειλέτες με έως 10.000€ συνολική οφειλή, κατηγορία στην οποία ανήκουν συντριπτικά οι μικρές και πολύ μικρές επιχειρήσεις. Είναι επίσης αδιαμφισβήτητο</w:t>
      </w:r>
      <w:r w:rsidR="00C7228A">
        <w:rPr>
          <w:rFonts w:eastAsia="Times New Roman" w:cstheme="minorHAnsi"/>
          <w:sz w:val="24"/>
          <w:szCs w:val="24"/>
        </w:rPr>
        <w:t>,</w:t>
      </w:r>
      <w:r>
        <w:rPr>
          <w:rFonts w:eastAsia="Times New Roman" w:cstheme="minorHAnsi"/>
          <w:sz w:val="24"/>
          <w:szCs w:val="24"/>
        </w:rPr>
        <w:t xml:space="preserve"> με βάση τα στοιχεία των παραπάνω φορέων</w:t>
      </w:r>
      <w:r w:rsidR="00C7228A">
        <w:rPr>
          <w:rFonts w:eastAsia="Times New Roman" w:cstheme="minorHAnsi"/>
          <w:sz w:val="24"/>
          <w:szCs w:val="24"/>
        </w:rPr>
        <w:t>,</w:t>
      </w:r>
      <w:r>
        <w:rPr>
          <w:rFonts w:eastAsia="Times New Roman" w:cstheme="minorHAnsi"/>
          <w:sz w:val="24"/>
          <w:szCs w:val="24"/>
        </w:rPr>
        <w:t xml:space="preserve"> ότι μεγάλο μέρος των προσφερόμενων ρυθμίσεων χάνεται από τις επιχειρήσεις, όπως και ότι μεγάλο μέρος των οφειλών αφορούν κατά το μεγαλύτερο μέρος πρόστιμα και προσαυξήσεις και όχι την κύρια οφειλή. </w:t>
      </w:r>
    </w:p>
    <w:p w14:paraId="031A36A1" w14:textId="2DE1F0AC" w:rsidR="00CC423E" w:rsidRDefault="00CC423E" w:rsidP="00700BFC">
      <w:pPr>
        <w:spacing w:after="0" w:line="360" w:lineRule="auto"/>
        <w:jc w:val="both"/>
        <w:rPr>
          <w:rFonts w:eastAsia="Times New Roman" w:cstheme="minorHAnsi"/>
          <w:sz w:val="24"/>
          <w:szCs w:val="24"/>
        </w:rPr>
      </w:pPr>
      <w:r w:rsidRPr="00D17D97">
        <w:rPr>
          <w:rFonts w:eastAsia="Times New Roman" w:cstheme="minorHAnsi"/>
          <w:sz w:val="24"/>
          <w:szCs w:val="24"/>
        </w:rPr>
        <w:t xml:space="preserve">Όπως φαίνεται στο Γράφημα </w:t>
      </w:r>
      <w:r w:rsidR="00002837" w:rsidRPr="00002837">
        <w:rPr>
          <w:rFonts w:eastAsia="Times New Roman" w:cstheme="minorHAnsi"/>
          <w:sz w:val="24"/>
          <w:szCs w:val="24"/>
        </w:rPr>
        <w:t>19</w:t>
      </w:r>
      <w:r w:rsidR="001F00CB" w:rsidRPr="00D17D97">
        <w:rPr>
          <w:rFonts w:eastAsia="Times New Roman" w:cstheme="minorHAnsi"/>
          <w:sz w:val="24"/>
          <w:szCs w:val="24"/>
        </w:rPr>
        <w:t>,</w:t>
      </w:r>
      <w:r w:rsidRPr="00D17D97">
        <w:rPr>
          <w:rFonts w:eastAsia="Times New Roman" w:cstheme="minorHAnsi"/>
          <w:sz w:val="24"/>
          <w:szCs w:val="24"/>
        </w:rPr>
        <w:t xml:space="preserve"> </w:t>
      </w:r>
      <w:r w:rsidR="00E72E58" w:rsidRPr="00D17D97">
        <w:rPr>
          <w:rFonts w:eastAsia="Times New Roman" w:cstheme="minorHAnsi"/>
          <w:sz w:val="24"/>
          <w:szCs w:val="24"/>
        </w:rPr>
        <w:t xml:space="preserve">από τη μια μεριά </w:t>
      </w:r>
      <w:r w:rsidRPr="00D17D97">
        <w:rPr>
          <w:rFonts w:eastAsia="Times New Roman" w:cstheme="minorHAnsi"/>
          <w:sz w:val="24"/>
          <w:szCs w:val="24"/>
        </w:rPr>
        <w:t xml:space="preserve">οι μικρές και πολύ μικρές επιχειρήσεις με 3 ή και περισσότερες </w:t>
      </w:r>
      <w:r w:rsidR="008C5D0E" w:rsidRPr="00D17D97">
        <w:rPr>
          <w:rFonts w:eastAsia="Times New Roman" w:cstheme="minorHAnsi"/>
          <w:sz w:val="24"/>
          <w:szCs w:val="24"/>
        </w:rPr>
        <w:t xml:space="preserve">ληξιπρόθεσμες οφειλές </w:t>
      </w:r>
      <w:r w:rsidR="00D17D97" w:rsidRPr="00D17D97">
        <w:rPr>
          <w:rFonts w:eastAsia="Times New Roman" w:cstheme="minorHAnsi"/>
          <w:sz w:val="24"/>
          <w:szCs w:val="24"/>
        </w:rPr>
        <w:t>παραμένουν σταθερές</w:t>
      </w:r>
      <w:r w:rsidR="008C5D0E" w:rsidRPr="00D17D97">
        <w:rPr>
          <w:rFonts w:eastAsia="Times New Roman" w:cstheme="minorHAnsi"/>
          <w:sz w:val="24"/>
          <w:szCs w:val="24"/>
        </w:rPr>
        <w:t xml:space="preserve"> στο </w:t>
      </w:r>
      <w:r w:rsidR="00E72E58" w:rsidRPr="00D17D97">
        <w:rPr>
          <w:rFonts w:eastAsia="Times New Roman" w:cstheme="minorHAnsi"/>
          <w:sz w:val="24"/>
          <w:szCs w:val="24"/>
        </w:rPr>
        <w:t>10,1</w:t>
      </w:r>
      <w:r w:rsidRPr="00D17D97">
        <w:rPr>
          <w:rFonts w:eastAsia="Times New Roman" w:cstheme="minorHAnsi"/>
          <w:sz w:val="24"/>
          <w:szCs w:val="24"/>
        </w:rPr>
        <w:t>%</w:t>
      </w:r>
      <w:r w:rsidR="002457B3" w:rsidRPr="00D17D97">
        <w:rPr>
          <w:rFonts w:eastAsia="Times New Roman" w:cstheme="minorHAnsi"/>
          <w:sz w:val="24"/>
          <w:szCs w:val="24"/>
        </w:rPr>
        <w:t>, ενώ</w:t>
      </w:r>
      <w:r w:rsidR="00BB1812" w:rsidRPr="00D17D97">
        <w:rPr>
          <w:rFonts w:eastAsia="Times New Roman" w:cstheme="minorHAnsi"/>
          <w:sz w:val="24"/>
          <w:szCs w:val="24"/>
        </w:rPr>
        <w:t>,</w:t>
      </w:r>
      <w:r w:rsidR="00E72E58" w:rsidRPr="00D17D97">
        <w:rPr>
          <w:rFonts w:eastAsia="Times New Roman" w:cstheme="minorHAnsi"/>
          <w:sz w:val="24"/>
          <w:szCs w:val="24"/>
        </w:rPr>
        <w:t xml:space="preserve"> από την άλλη </w:t>
      </w:r>
      <w:r w:rsidR="00BB1812" w:rsidRPr="00D17D97">
        <w:rPr>
          <w:rFonts w:eastAsia="Times New Roman" w:cstheme="minorHAnsi"/>
          <w:sz w:val="24"/>
          <w:szCs w:val="24"/>
        </w:rPr>
        <w:t xml:space="preserve">μεριά, </w:t>
      </w:r>
      <w:r w:rsidR="00D17D97">
        <w:rPr>
          <w:rFonts w:eastAsia="Times New Roman" w:cstheme="minorHAnsi"/>
          <w:sz w:val="24"/>
          <w:szCs w:val="24"/>
        </w:rPr>
        <w:t>υπάρχει οριακή υποχώρηση</w:t>
      </w:r>
      <w:r w:rsidR="00E72E58" w:rsidRPr="00D17D97">
        <w:rPr>
          <w:rFonts w:eastAsia="Times New Roman" w:cstheme="minorHAnsi"/>
          <w:sz w:val="24"/>
          <w:szCs w:val="24"/>
        </w:rPr>
        <w:t xml:space="preserve"> </w:t>
      </w:r>
      <w:r w:rsidR="00D17D97">
        <w:rPr>
          <w:rFonts w:eastAsia="Times New Roman" w:cstheme="minorHAnsi"/>
          <w:sz w:val="24"/>
          <w:szCs w:val="24"/>
        </w:rPr>
        <w:t>σ</w:t>
      </w:r>
      <w:r w:rsidR="00E72E58" w:rsidRPr="00D17D97">
        <w:rPr>
          <w:rFonts w:eastAsia="Times New Roman" w:cstheme="minorHAnsi"/>
          <w:sz w:val="24"/>
          <w:szCs w:val="24"/>
        </w:rPr>
        <w:t xml:space="preserve">τα ποσοστά </w:t>
      </w:r>
      <w:r w:rsidR="002457B3" w:rsidRPr="00D17D97">
        <w:rPr>
          <w:rFonts w:eastAsia="Times New Roman" w:cstheme="minorHAnsi"/>
          <w:sz w:val="24"/>
          <w:szCs w:val="24"/>
        </w:rPr>
        <w:t>των επιχειρήσεων με 2 καθυστερημένες υποχρεώσεις (</w:t>
      </w:r>
      <w:r w:rsidR="00E72E58" w:rsidRPr="00D17D97">
        <w:rPr>
          <w:rFonts w:eastAsia="Times New Roman" w:cstheme="minorHAnsi"/>
          <w:sz w:val="24"/>
          <w:szCs w:val="24"/>
        </w:rPr>
        <w:t>7,</w:t>
      </w:r>
      <w:r w:rsidR="00D17D97">
        <w:rPr>
          <w:rFonts w:eastAsia="Times New Roman" w:cstheme="minorHAnsi"/>
          <w:sz w:val="24"/>
          <w:szCs w:val="24"/>
        </w:rPr>
        <w:t>1</w:t>
      </w:r>
      <w:r w:rsidR="002457B3" w:rsidRPr="00D17D97">
        <w:rPr>
          <w:rFonts w:eastAsia="Times New Roman" w:cstheme="minorHAnsi"/>
          <w:sz w:val="24"/>
          <w:szCs w:val="24"/>
        </w:rPr>
        <w:t xml:space="preserve">% έναντι </w:t>
      </w:r>
      <w:r w:rsidR="00D17D97">
        <w:rPr>
          <w:rFonts w:eastAsia="Times New Roman" w:cstheme="minorHAnsi"/>
          <w:sz w:val="24"/>
          <w:szCs w:val="24"/>
        </w:rPr>
        <w:t>7,4</w:t>
      </w:r>
      <w:r w:rsidR="002457B3" w:rsidRPr="00D17D97">
        <w:rPr>
          <w:rFonts w:eastAsia="Times New Roman" w:cstheme="minorHAnsi"/>
          <w:sz w:val="24"/>
          <w:szCs w:val="24"/>
        </w:rPr>
        <w:t>% το προηγούμενο εξάμηνο</w:t>
      </w:r>
      <w:r w:rsidR="00E72E58" w:rsidRPr="00D17D97">
        <w:rPr>
          <w:rFonts w:eastAsia="Times New Roman" w:cstheme="minorHAnsi"/>
          <w:sz w:val="24"/>
          <w:szCs w:val="24"/>
        </w:rPr>
        <w:t xml:space="preserve">) και </w:t>
      </w:r>
      <w:r w:rsidR="00D17D97">
        <w:rPr>
          <w:rFonts w:eastAsia="Times New Roman" w:cstheme="minorHAnsi"/>
          <w:sz w:val="24"/>
          <w:szCs w:val="24"/>
        </w:rPr>
        <w:t>βελτίωση στο ποσοστό των επιχειρήσεων με</w:t>
      </w:r>
      <w:r w:rsidRPr="00D17D97">
        <w:rPr>
          <w:rFonts w:eastAsia="Times New Roman" w:cstheme="minorHAnsi"/>
          <w:sz w:val="24"/>
          <w:szCs w:val="24"/>
        </w:rPr>
        <w:t xml:space="preserve"> 1 ληξιπρόθεσμη οφειλή (</w:t>
      </w:r>
      <w:r w:rsidR="00D17D97">
        <w:rPr>
          <w:rFonts w:eastAsia="Times New Roman" w:cstheme="minorHAnsi"/>
          <w:sz w:val="24"/>
          <w:szCs w:val="24"/>
        </w:rPr>
        <w:t>11,8</w:t>
      </w:r>
      <w:r w:rsidR="00E72E58" w:rsidRPr="00D17D97">
        <w:rPr>
          <w:rFonts w:eastAsia="Times New Roman" w:cstheme="minorHAnsi"/>
          <w:sz w:val="24"/>
          <w:szCs w:val="24"/>
        </w:rPr>
        <w:t xml:space="preserve">% έναντι </w:t>
      </w:r>
      <w:r w:rsidR="00D17D97">
        <w:rPr>
          <w:rFonts w:eastAsia="Times New Roman" w:cstheme="minorHAnsi"/>
          <w:sz w:val="24"/>
          <w:szCs w:val="24"/>
        </w:rPr>
        <w:t>13,1</w:t>
      </w:r>
      <w:r w:rsidR="002457B3" w:rsidRPr="00D17D97">
        <w:rPr>
          <w:rFonts w:eastAsia="Times New Roman" w:cstheme="minorHAnsi"/>
          <w:sz w:val="24"/>
          <w:szCs w:val="24"/>
        </w:rPr>
        <w:t>%</w:t>
      </w:r>
      <w:r w:rsidR="00E72E58" w:rsidRPr="00D17D97">
        <w:rPr>
          <w:rFonts w:eastAsia="Times New Roman" w:cstheme="minorHAnsi"/>
          <w:sz w:val="24"/>
          <w:szCs w:val="24"/>
        </w:rPr>
        <w:t xml:space="preserve"> το προηγούμενο εξάμηνο</w:t>
      </w:r>
      <w:r w:rsidRPr="00D17D97">
        <w:rPr>
          <w:rFonts w:eastAsia="Times New Roman" w:cstheme="minorHAnsi"/>
          <w:sz w:val="24"/>
          <w:szCs w:val="24"/>
        </w:rPr>
        <w:t>).</w:t>
      </w:r>
    </w:p>
    <w:p w14:paraId="13640E3A" w14:textId="2DB16AAD" w:rsidR="00D17D97" w:rsidRPr="00D17D97" w:rsidRDefault="00002837" w:rsidP="00700BFC">
      <w:pPr>
        <w:spacing w:after="0" w:line="360" w:lineRule="auto"/>
        <w:jc w:val="both"/>
        <w:rPr>
          <w:rFonts w:eastAsia="Times New Roman" w:cstheme="minorHAnsi"/>
          <w:b/>
          <w:bCs/>
          <w:sz w:val="24"/>
          <w:szCs w:val="24"/>
        </w:rPr>
      </w:pPr>
      <w:r>
        <w:rPr>
          <w:noProof/>
        </w:rPr>
        <w:drawing>
          <wp:inline distT="0" distB="0" distL="0" distR="0" wp14:anchorId="0A562746" wp14:editId="2AC48F36">
            <wp:extent cx="6660515" cy="2688590"/>
            <wp:effectExtent l="0" t="0" r="6985" b="16510"/>
            <wp:docPr id="745318463" name="Γράφημα 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7AA8EC8" w14:textId="4A05E7F1" w:rsidR="00CC423E" w:rsidRPr="00D17D97" w:rsidRDefault="0096256F" w:rsidP="00700BFC">
      <w:pPr>
        <w:spacing w:after="0" w:line="360" w:lineRule="auto"/>
        <w:jc w:val="both"/>
        <w:rPr>
          <w:rFonts w:eastAsia="Times New Roman" w:cstheme="minorHAnsi"/>
          <w:sz w:val="24"/>
          <w:szCs w:val="24"/>
          <w:highlight w:val="yellow"/>
        </w:rPr>
      </w:pPr>
      <w:r w:rsidRPr="0096256F">
        <w:rPr>
          <w:rFonts w:eastAsia="Times New Roman" w:cstheme="minorHAnsi"/>
          <w:sz w:val="24"/>
          <w:szCs w:val="24"/>
        </w:rPr>
        <w:t>Από τα επιμέρους στοιχεία</w:t>
      </w:r>
      <w:r w:rsidR="00CC423E" w:rsidRPr="0096256F">
        <w:rPr>
          <w:rFonts w:eastAsia="Times New Roman" w:cstheme="minorHAnsi"/>
          <w:sz w:val="24"/>
          <w:szCs w:val="24"/>
        </w:rPr>
        <w:t xml:space="preserve">, όπως φαίνεται στον Πίνακα </w:t>
      </w:r>
      <w:r w:rsidR="00A1379D" w:rsidRPr="00A1379D">
        <w:rPr>
          <w:rFonts w:eastAsia="Times New Roman" w:cstheme="minorHAnsi"/>
          <w:sz w:val="24"/>
          <w:szCs w:val="24"/>
        </w:rPr>
        <w:t>6</w:t>
      </w:r>
      <w:r w:rsidR="00BB1812">
        <w:rPr>
          <w:rFonts w:eastAsia="Times New Roman" w:cstheme="minorHAnsi"/>
          <w:sz w:val="24"/>
          <w:szCs w:val="24"/>
        </w:rPr>
        <w:t>,</w:t>
      </w:r>
      <w:r w:rsidR="001E621F" w:rsidRPr="0096256F">
        <w:rPr>
          <w:rFonts w:eastAsia="Times New Roman" w:cstheme="minorHAnsi"/>
          <w:sz w:val="24"/>
          <w:szCs w:val="24"/>
        </w:rPr>
        <w:t xml:space="preserve"> </w:t>
      </w:r>
      <w:r w:rsidR="00CC423E" w:rsidRPr="0096256F">
        <w:rPr>
          <w:rFonts w:eastAsia="Times New Roman" w:cstheme="minorHAnsi"/>
          <w:sz w:val="24"/>
          <w:szCs w:val="24"/>
        </w:rPr>
        <w:t xml:space="preserve">ο βαθμός υπερχρέωσης των μικρών και πολύ μικρών επιχειρήσεων δεν είναι ίδιος. Διαφοροποιείται ανάλογα με τον κλάδο και το μέγεθος των επιχειρήσεων. Οι επιχειρήσεις εστίασης φαίνεται πως αντιμετωπίζουν </w:t>
      </w:r>
      <w:r w:rsidR="008829AB">
        <w:rPr>
          <w:rFonts w:eastAsia="Times New Roman" w:cstheme="minorHAnsi"/>
          <w:sz w:val="24"/>
          <w:szCs w:val="24"/>
        </w:rPr>
        <w:t>σοβαρό</w:t>
      </w:r>
      <w:r w:rsidR="00CC423E" w:rsidRPr="0096256F">
        <w:rPr>
          <w:rFonts w:eastAsia="Times New Roman" w:cstheme="minorHAnsi"/>
          <w:sz w:val="24"/>
          <w:szCs w:val="24"/>
        </w:rPr>
        <w:t xml:space="preserve"> πρόβλημα υπερχρέωσης</w:t>
      </w:r>
      <w:r w:rsidR="002F0FE4">
        <w:rPr>
          <w:rFonts w:eastAsia="Times New Roman" w:cstheme="minorHAnsi"/>
          <w:sz w:val="24"/>
          <w:szCs w:val="24"/>
        </w:rPr>
        <w:t>,</w:t>
      </w:r>
      <w:r w:rsidR="00CC423E" w:rsidRPr="0096256F">
        <w:rPr>
          <w:rFonts w:eastAsia="Times New Roman" w:cstheme="minorHAnsi"/>
          <w:sz w:val="24"/>
          <w:szCs w:val="24"/>
        </w:rPr>
        <w:t xml:space="preserve"> καθώς το </w:t>
      </w:r>
      <w:r w:rsidR="00377309">
        <w:rPr>
          <w:rFonts w:eastAsia="Times New Roman" w:cstheme="minorHAnsi"/>
          <w:sz w:val="24"/>
          <w:szCs w:val="24"/>
        </w:rPr>
        <w:t>21,4</w:t>
      </w:r>
      <w:r w:rsidR="00CC423E" w:rsidRPr="0096256F">
        <w:rPr>
          <w:rFonts w:eastAsia="Times New Roman" w:cstheme="minorHAnsi"/>
          <w:sz w:val="24"/>
          <w:szCs w:val="24"/>
        </w:rPr>
        <w:t>% αυτών έχει τρεις ή και περισσότερες ληξιπρόθεσμες οφειλές</w:t>
      </w:r>
      <w:r w:rsidR="00377309">
        <w:rPr>
          <w:rFonts w:eastAsia="Times New Roman" w:cstheme="minorHAnsi"/>
          <w:sz w:val="24"/>
          <w:szCs w:val="24"/>
        </w:rPr>
        <w:t xml:space="preserve">, ενώ με τουλάχιστον μια </w:t>
      </w:r>
      <w:r w:rsidR="00377309">
        <w:rPr>
          <w:rFonts w:eastAsia="Times New Roman" w:cstheme="minorHAnsi"/>
          <w:sz w:val="24"/>
          <w:szCs w:val="24"/>
        </w:rPr>
        <w:lastRenderedPageBreak/>
        <w:t>ληξιπρόθεσμη οφειλή εμφανίζεται το 38,6% αυτών</w:t>
      </w:r>
      <w:r w:rsidR="00CC423E" w:rsidRPr="0096256F">
        <w:rPr>
          <w:rFonts w:eastAsia="Times New Roman" w:cstheme="minorHAnsi"/>
          <w:sz w:val="24"/>
          <w:szCs w:val="24"/>
        </w:rPr>
        <w:t xml:space="preserve">. </w:t>
      </w:r>
      <w:r w:rsidR="002F0FE4">
        <w:rPr>
          <w:rFonts w:eastAsia="Times New Roman" w:cstheme="minorHAnsi"/>
          <w:sz w:val="24"/>
          <w:szCs w:val="24"/>
        </w:rPr>
        <w:t>Έντονο πρόβλημα υπερχρέωσης αντιμετωπίζουν, ε</w:t>
      </w:r>
      <w:r w:rsidR="008829AB">
        <w:rPr>
          <w:rFonts w:eastAsia="Times New Roman" w:cstheme="minorHAnsi"/>
          <w:sz w:val="24"/>
          <w:szCs w:val="24"/>
        </w:rPr>
        <w:t>πιπλέον,</w:t>
      </w:r>
      <w:r w:rsidR="00CC423E" w:rsidRPr="0096256F">
        <w:rPr>
          <w:rFonts w:eastAsia="Times New Roman" w:cstheme="minorHAnsi"/>
          <w:sz w:val="24"/>
          <w:szCs w:val="24"/>
        </w:rPr>
        <w:t xml:space="preserve"> οι επιχειρήσεις χωρίς προσωπικό (</w:t>
      </w:r>
      <w:r w:rsidR="0018338E">
        <w:rPr>
          <w:rFonts w:eastAsia="Times New Roman" w:cstheme="minorHAnsi"/>
          <w:sz w:val="24"/>
          <w:szCs w:val="24"/>
        </w:rPr>
        <w:t>38</w:t>
      </w:r>
      <w:r w:rsidR="00CC423E" w:rsidRPr="0096256F">
        <w:rPr>
          <w:rFonts w:eastAsia="Times New Roman" w:cstheme="minorHAnsi"/>
          <w:sz w:val="24"/>
          <w:szCs w:val="24"/>
        </w:rPr>
        <w:t>%) και οι επιχειρήσεις με ετήσιο κύκλο εργασιών έως 50.000 € (</w:t>
      </w:r>
      <w:r w:rsidR="0018338E">
        <w:rPr>
          <w:rFonts w:eastAsia="Times New Roman" w:cstheme="minorHAnsi"/>
          <w:sz w:val="24"/>
          <w:szCs w:val="24"/>
        </w:rPr>
        <w:t>37,5</w:t>
      </w:r>
      <w:r w:rsidR="00CC423E" w:rsidRPr="0096256F">
        <w:rPr>
          <w:rFonts w:eastAsia="Times New Roman" w:cstheme="minorHAnsi"/>
          <w:sz w:val="24"/>
          <w:szCs w:val="24"/>
        </w:rPr>
        <w:t>%).</w:t>
      </w:r>
    </w:p>
    <w:p w14:paraId="552A4947" w14:textId="77777777" w:rsidR="00DE77D0" w:rsidRPr="00942A7E" w:rsidRDefault="00DE77D0" w:rsidP="00700BFC">
      <w:pPr>
        <w:spacing w:after="0" w:line="360" w:lineRule="auto"/>
        <w:jc w:val="both"/>
        <w:rPr>
          <w:rFonts w:eastAsia="Times New Roman" w:cstheme="minorHAnsi"/>
          <w:sz w:val="24"/>
          <w:szCs w:val="24"/>
        </w:rPr>
      </w:pPr>
    </w:p>
    <w:p w14:paraId="524A06AD" w14:textId="77777777" w:rsidR="00DE77D0" w:rsidRPr="0096256F" w:rsidRDefault="00DE77D0" w:rsidP="00700BFC">
      <w:pPr>
        <w:spacing w:after="0" w:line="360" w:lineRule="auto"/>
        <w:jc w:val="both"/>
        <w:rPr>
          <w:rFonts w:eastAsia="Times New Roman" w:cstheme="minorHAnsi"/>
          <w:sz w:val="24"/>
          <w:szCs w:val="24"/>
        </w:rPr>
      </w:pPr>
    </w:p>
    <w:tbl>
      <w:tblPr>
        <w:tblW w:w="5000" w:type="pct"/>
        <w:tblLook w:val="04A0" w:firstRow="1" w:lastRow="0" w:firstColumn="1" w:lastColumn="0" w:noHBand="0" w:noVBand="1"/>
      </w:tblPr>
      <w:tblGrid>
        <w:gridCol w:w="1673"/>
        <w:gridCol w:w="1017"/>
        <w:gridCol w:w="1073"/>
        <w:gridCol w:w="950"/>
        <w:gridCol w:w="937"/>
        <w:gridCol w:w="935"/>
        <w:gridCol w:w="937"/>
        <w:gridCol w:w="943"/>
        <w:gridCol w:w="950"/>
        <w:gridCol w:w="1064"/>
      </w:tblGrid>
      <w:tr w:rsidR="00CC423E" w:rsidRPr="0096256F" w14:paraId="3FEAD6BE" w14:textId="77777777" w:rsidTr="005A25E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D9E1F2" w:fill="D9E1F2"/>
            <w:noWrap/>
            <w:vAlign w:val="bottom"/>
            <w:hideMark/>
          </w:tcPr>
          <w:p w14:paraId="35343519" w14:textId="1263F786" w:rsidR="00CC423E" w:rsidRPr="00A1379D" w:rsidRDefault="00CC423E" w:rsidP="00700BFC">
            <w:pPr>
              <w:spacing w:after="0" w:line="240" w:lineRule="auto"/>
              <w:jc w:val="center"/>
              <w:rPr>
                <w:rFonts w:ascii="Calibri" w:eastAsia="Times New Roman" w:hAnsi="Calibri" w:cs="Calibri"/>
                <w:b/>
                <w:bCs/>
                <w:color w:val="000000"/>
                <w:sz w:val="24"/>
                <w:szCs w:val="24"/>
              </w:rPr>
            </w:pPr>
            <w:r w:rsidRPr="0096256F">
              <w:rPr>
                <w:rFonts w:ascii="Calibri" w:eastAsia="Times New Roman" w:hAnsi="Calibri" w:cs="Calibri"/>
                <w:b/>
                <w:bCs/>
                <w:color w:val="000000"/>
                <w:sz w:val="24"/>
                <w:szCs w:val="24"/>
              </w:rPr>
              <w:t xml:space="preserve">ΠΙΝΑΚΑΣ </w:t>
            </w:r>
            <w:r w:rsidR="00A1379D" w:rsidRPr="00A1379D">
              <w:rPr>
                <w:rFonts w:ascii="Calibri" w:eastAsia="Times New Roman" w:hAnsi="Calibri" w:cs="Calibri"/>
                <w:b/>
                <w:bCs/>
                <w:color w:val="000000"/>
                <w:sz w:val="24"/>
                <w:szCs w:val="24"/>
              </w:rPr>
              <w:t>6</w:t>
            </w:r>
          </w:p>
          <w:p w14:paraId="2EE5C607" w14:textId="407AF87D" w:rsidR="00CC423E" w:rsidRPr="00A1379D" w:rsidRDefault="00CC423E" w:rsidP="00E72E58">
            <w:pPr>
              <w:spacing w:after="0" w:line="240" w:lineRule="auto"/>
              <w:jc w:val="center"/>
              <w:rPr>
                <w:rFonts w:ascii="Calibri" w:eastAsia="Times New Roman" w:hAnsi="Calibri" w:cs="Calibri"/>
                <w:b/>
                <w:bCs/>
                <w:color w:val="000000"/>
                <w:sz w:val="24"/>
                <w:szCs w:val="24"/>
              </w:rPr>
            </w:pPr>
            <w:r w:rsidRPr="00C6281E">
              <w:rPr>
                <w:rFonts w:ascii="Calibri" w:eastAsia="Times New Roman" w:hAnsi="Calibri" w:cs="Calibri"/>
                <w:b/>
                <w:bCs/>
                <w:color w:val="000000"/>
                <w:sz w:val="24"/>
                <w:szCs w:val="24"/>
              </w:rPr>
              <w:t xml:space="preserve">Βαθμός υπερχρέωσης ανά κατηγορία επιχειρήσεων το </w:t>
            </w:r>
            <w:r w:rsidR="00A1379D">
              <w:rPr>
                <w:rFonts w:ascii="Calibri" w:eastAsia="Times New Roman" w:hAnsi="Calibri" w:cs="Calibri"/>
                <w:b/>
                <w:bCs/>
                <w:color w:val="000000"/>
                <w:sz w:val="24"/>
                <w:szCs w:val="24"/>
              </w:rPr>
              <w:t>πρώτο εξάμηνο του 2024</w:t>
            </w:r>
          </w:p>
        </w:tc>
      </w:tr>
      <w:tr w:rsidR="008D1E7F" w:rsidRPr="0096256F" w14:paraId="51666BE2" w14:textId="77777777" w:rsidTr="00E72E58">
        <w:trPr>
          <w:trHeight w:val="300"/>
        </w:trPr>
        <w:tc>
          <w:tcPr>
            <w:tcW w:w="801" w:type="pct"/>
            <w:vMerge w:val="restart"/>
            <w:tcBorders>
              <w:top w:val="nil"/>
              <w:left w:val="single" w:sz="4" w:space="0" w:color="auto"/>
              <w:bottom w:val="single" w:sz="4" w:space="0" w:color="auto"/>
              <w:right w:val="single" w:sz="4" w:space="0" w:color="auto"/>
            </w:tcBorders>
            <w:shd w:val="clear" w:color="D9E1F2" w:fill="D9E1F2"/>
            <w:noWrap/>
            <w:vAlign w:val="bottom"/>
            <w:hideMark/>
          </w:tcPr>
          <w:p w14:paraId="2F3D1133"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 </w:t>
            </w:r>
          </w:p>
        </w:tc>
        <w:tc>
          <w:tcPr>
            <w:tcW w:w="1445" w:type="pct"/>
            <w:gridSpan w:val="3"/>
            <w:tcBorders>
              <w:top w:val="single" w:sz="4" w:space="0" w:color="auto"/>
              <w:left w:val="nil"/>
              <w:bottom w:val="single" w:sz="4" w:space="0" w:color="auto"/>
              <w:right w:val="single" w:sz="4" w:space="0" w:color="auto"/>
            </w:tcBorders>
            <w:shd w:val="clear" w:color="D9E1F2" w:fill="D9E1F2"/>
            <w:vAlign w:val="center"/>
            <w:hideMark/>
          </w:tcPr>
          <w:p w14:paraId="54C9AF56"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ΚΛΑΔΟΣ</w:t>
            </w:r>
          </w:p>
        </w:tc>
        <w:tc>
          <w:tcPr>
            <w:tcW w:w="2754" w:type="pct"/>
            <w:gridSpan w:val="6"/>
            <w:tcBorders>
              <w:top w:val="single" w:sz="4" w:space="0" w:color="auto"/>
              <w:left w:val="nil"/>
              <w:bottom w:val="single" w:sz="4" w:space="0" w:color="auto"/>
              <w:right w:val="single" w:sz="4" w:space="0" w:color="auto"/>
            </w:tcBorders>
            <w:shd w:val="clear" w:color="D9E1F2" w:fill="D9E1F2"/>
            <w:vAlign w:val="center"/>
            <w:hideMark/>
          </w:tcPr>
          <w:p w14:paraId="58585FF7"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 xml:space="preserve">ΕΤΗΣΙΟΣ ΚΥΚΛΟΣ ΕΡΓΑΣΙΩΝ </w:t>
            </w:r>
          </w:p>
        </w:tc>
      </w:tr>
      <w:tr w:rsidR="0096256F" w:rsidRPr="0096256F" w14:paraId="0E9D355D" w14:textId="77777777" w:rsidTr="00E72E58">
        <w:trPr>
          <w:trHeight w:val="600"/>
        </w:trPr>
        <w:tc>
          <w:tcPr>
            <w:tcW w:w="801" w:type="pct"/>
            <w:vMerge/>
            <w:tcBorders>
              <w:top w:val="nil"/>
              <w:left w:val="single" w:sz="4" w:space="0" w:color="auto"/>
              <w:bottom w:val="single" w:sz="4" w:space="0" w:color="auto"/>
              <w:right w:val="single" w:sz="4" w:space="0" w:color="auto"/>
            </w:tcBorders>
            <w:vAlign w:val="center"/>
            <w:hideMark/>
          </w:tcPr>
          <w:p w14:paraId="61459F2E" w14:textId="77777777" w:rsidR="00CC423E" w:rsidRPr="0096256F" w:rsidRDefault="00CC423E" w:rsidP="00700BFC">
            <w:pPr>
              <w:spacing w:after="0" w:line="240" w:lineRule="auto"/>
              <w:rPr>
                <w:rFonts w:ascii="Calibri" w:eastAsia="Times New Roman" w:hAnsi="Calibri" w:cs="Calibri"/>
                <w:b/>
                <w:bCs/>
                <w:color w:val="000000"/>
                <w:sz w:val="16"/>
                <w:szCs w:val="16"/>
              </w:rPr>
            </w:pPr>
          </w:p>
        </w:tc>
        <w:tc>
          <w:tcPr>
            <w:tcW w:w="488" w:type="pct"/>
            <w:tcBorders>
              <w:top w:val="nil"/>
              <w:left w:val="nil"/>
              <w:bottom w:val="single" w:sz="4" w:space="0" w:color="auto"/>
              <w:right w:val="single" w:sz="4" w:space="0" w:color="auto"/>
            </w:tcBorders>
            <w:shd w:val="clear" w:color="D9E1F2" w:fill="D9E1F2"/>
            <w:vAlign w:val="center"/>
            <w:hideMark/>
          </w:tcPr>
          <w:p w14:paraId="46F89EFF"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Εμπόριο</w:t>
            </w:r>
          </w:p>
        </w:tc>
        <w:tc>
          <w:tcPr>
            <w:tcW w:w="501" w:type="pct"/>
            <w:tcBorders>
              <w:top w:val="nil"/>
              <w:left w:val="nil"/>
              <w:bottom w:val="single" w:sz="4" w:space="0" w:color="auto"/>
              <w:right w:val="single" w:sz="4" w:space="0" w:color="auto"/>
            </w:tcBorders>
            <w:shd w:val="clear" w:color="D9E1F2" w:fill="D9E1F2"/>
            <w:vAlign w:val="center"/>
            <w:hideMark/>
          </w:tcPr>
          <w:p w14:paraId="4AF87D12"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Μεταποίηση</w:t>
            </w:r>
          </w:p>
        </w:tc>
        <w:tc>
          <w:tcPr>
            <w:tcW w:w="456" w:type="pct"/>
            <w:tcBorders>
              <w:top w:val="nil"/>
              <w:left w:val="nil"/>
              <w:bottom w:val="single" w:sz="4" w:space="0" w:color="auto"/>
              <w:right w:val="single" w:sz="4" w:space="0" w:color="auto"/>
            </w:tcBorders>
            <w:shd w:val="clear" w:color="D9E1F2" w:fill="D9E1F2"/>
            <w:vAlign w:val="center"/>
            <w:hideMark/>
          </w:tcPr>
          <w:p w14:paraId="39E2EC9D"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Υπηρεσίες</w:t>
            </w:r>
          </w:p>
        </w:tc>
        <w:tc>
          <w:tcPr>
            <w:tcW w:w="450" w:type="pct"/>
            <w:tcBorders>
              <w:top w:val="nil"/>
              <w:left w:val="nil"/>
              <w:bottom w:val="single" w:sz="4" w:space="0" w:color="auto"/>
              <w:right w:val="single" w:sz="4" w:space="0" w:color="auto"/>
            </w:tcBorders>
            <w:shd w:val="clear" w:color="D9E1F2" w:fill="D9E1F2"/>
            <w:vAlign w:val="center"/>
            <w:hideMark/>
          </w:tcPr>
          <w:p w14:paraId="519C0B0A"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Έως 50.000 €</w:t>
            </w:r>
          </w:p>
        </w:tc>
        <w:tc>
          <w:tcPr>
            <w:tcW w:w="449" w:type="pct"/>
            <w:tcBorders>
              <w:top w:val="nil"/>
              <w:left w:val="nil"/>
              <w:bottom w:val="single" w:sz="4" w:space="0" w:color="auto"/>
              <w:right w:val="single" w:sz="4" w:space="0" w:color="auto"/>
            </w:tcBorders>
            <w:shd w:val="clear" w:color="D9E1F2" w:fill="D9E1F2"/>
            <w:vAlign w:val="center"/>
            <w:hideMark/>
          </w:tcPr>
          <w:p w14:paraId="6A606DD3"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50.000 - 100.000 €</w:t>
            </w:r>
          </w:p>
        </w:tc>
        <w:tc>
          <w:tcPr>
            <w:tcW w:w="450" w:type="pct"/>
            <w:tcBorders>
              <w:top w:val="nil"/>
              <w:left w:val="nil"/>
              <w:bottom w:val="single" w:sz="4" w:space="0" w:color="auto"/>
              <w:right w:val="single" w:sz="4" w:space="0" w:color="auto"/>
            </w:tcBorders>
            <w:shd w:val="clear" w:color="D9E1F2" w:fill="D9E1F2"/>
            <w:vAlign w:val="center"/>
            <w:hideMark/>
          </w:tcPr>
          <w:p w14:paraId="106226C6"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100.001 - 300.000 €</w:t>
            </w:r>
          </w:p>
        </w:tc>
        <w:tc>
          <w:tcPr>
            <w:tcW w:w="453" w:type="pct"/>
            <w:tcBorders>
              <w:top w:val="nil"/>
              <w:left w:val="nil"/>
              <w:bottom w:val="single" w:sz="4" w:space="0" w:color="auto"/>
              <w:right w:val="single" w:sz="4" w:space="0" w:color="auto"/>
            </w:tcBorders>
            <w:shd w:val="clear" w:color="D9E1F2" w:fill="D9E1F2"/>
            <w:vAlign w:val="center"/>
            <w:hideMark/>
          </w:tcPr>
          <w:p w14:paraId="20763BB8" w14:textId="77777777" w:rsidR="00CC423E" w:rsidRPr="0096256F" w:rsidRDefault="00CC423E" w:rsidP="00700BFC">
            <w:pPr>
              <w:spacing w:after="0"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300.001 - 500.000 €</w:t>
            </w:r>
          </w:p>
        </w:tc>
        <w:tc>
          <w:tcPr>
            <w:tcW w:w="456" w:type="pct"/>
            <w:tcBorders>
              <w:top w:val="nil"/>
              <w:left w:val="nil"/>
              <w:bottom w:val="single" w:sz="4" w:space="0" w:color="auto"/>
              <w:right w:val="single" w:sz="4" w:space="0" w:color="auto"/>
            </w:tcBorders>
            <w:shd w:val="clear" w:color="D9E1F2" w:fill="D9E1F2"/>
            <w:vAlign w:val="center"/>
            <w:hideMark/>
          </w:tcPr>
          <w:p w14:paraId="72DDC7C0" w14:textId="77777777" w:rsidR="00CC423E" w:rsidRPr="00A1379D" w:rsidRDefault="00CC423E" w:rsidP="00700BFC">
            <w:pPr>
              <w:spacing w:after="0" w:line="240" w:lineRule="auto"/>
              <w:jc w:val="center"/>
              <w:rPr>
                <w:rFonts w:ascii="Calibri" w:eastAsia="Times New Roman" w:hAnsi="Calibri" w:cs="Calibri"/>
                <w:b/>
                <w:bCs/>
                <w:color w:val="000000" w:themeColor="text1"/>
                <w:sz w:val="16"/>
                <w:szCs w:val="16"/>
              </w:rPr>
            </w:pPr>
            <w:r w:rsidRPr="00A1379D">
              <w:rPr>
                <w:rFonts w:ascii="Calibri" w:eastAsia="Times New Roman" w:hAnsi="Calibri" w:cs="Calibri"/>
                <w:b/>
                <w:bCs/>
                <w:color w:val="000000" w:themeColor="text1"/>
                <w:sz w:val="16"/>
                <w:szCs w:val="16"/>
              </w:rPr>
              <w:t>500.001 - 1.000.000 €</w:t>
            </w:r>
          </w:p>
        </w:tc>
        <w:tc>
          <w:tcPr>
            <w:tcW w:w="497" w:type="pct"/>
            <w:tcBorders>
              <w:top w:val="nil"/>
              <w:left w:val="nil"/>
              <w:bottom w:val="single" w:sz="4" w:space="0" w:color="auto"/>
              <w:right w:val="single" w:sz="4" w:space="0" w:color="auto"/>
            </w:tcBorders>
            <w:shd w:val="clear" w:color="D9E1F2" w:fill="D9E1F2"/>
            <w:vAlign w:val="center"/>
            <w:hideMark/>
          </w:tcPr>
          <w:p w14:paraId="4144FCA6" w14:textId="77777777" w:rsidR="00CC423E" w:rsidRPr="00A1379D" w:rsidRDefault="00CC423E" w:rsidP="00700BFC">
            <w:pPr>
              <w:spacing w:after="0" w:line="240" w:lineRule="auto"/>
              <w:jc w:val="center"/>
              <w:rPr>
                <w:rFonts w:ascii="Calibri" w:eastAsia="Times New Roman" w:hAnsi="Calibri" w:cs="Calibri"/>
                <w:b/>
                <w:bCs/>
                <w:color w:val="000000" w:themeColor="text1"/>
                <w:sz w:val="16"/>
                <w:szCs w:val="16"/>
              </w:rPr>
            </w:pPr>
            <w:r w:rsidRPr="00A1379D">
              <w:rPr>
                <w:rFonts w:ascii="Calibri" w:eastAsia="Times New Roman" w:hAnsi="Calibri" w:cs="Calibri"/>
                <w:b/>
                <w:bCs/>
                <w:color w:val="000000" w:themeColor="text1"/>
                <w:sz w:val="16"/>
                <w:szCs w:val="16"/>
              </w:rPr>
              <w:t>Πάνω από 1.000.000 €</w:t>
            </w:r>
          </w:p>
        </w:tc>
      </w:tr>
      <w:tr w:rsidR="005D2E35" w:rsidRPr="008829AB" w14:paraId="35E33EA2" w14:textId="77777777" w:rsidTr="00E72E58">
        <w:trPr>
          <w:trHeight w:val="3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4014E815" w14:textId="77777777" w:rsidR="005D2E35" w:rsidRPr="0096256F" w:rsidRDefault="005D2E35"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1 καθυστερημένη οφειλή</w:t>
            </w:r>
          </w:p>
        </w:tc>
        <w:tc>
          <w:tcPr>
            <w:tcW w:w="488" w:type="pct"/>
            <w:tcBorders>
              <w:top w:val="nil"/>
              <w:left w:val="nil"/>
              <w:bottom w:val="single" w:sz="4" w:space="0" w:color="auto"/>
              <w:right w:val="single" w:sz="4" w:space="0" w:color="auto"/>
            </w:tcBorders>
            <w:shd w:val="clear" w:color="auto" w:fill="auto"/>
            <w:noWrap/>
            <w:hideMark/>
          </w:tcPr>
          <w:p w14:paraId="7D18496A" w14:textId="2772547F"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w:t>
            </w:r>
            <w:r w:rsidR="00906C00">
              <w:rPr>
                <w:sz w:val="20"/>
                <w:szCs w:val="20"/>
              </w:rPr>
              <w:t>2,38</w:t>
            </w:r>
            <w:r w:rsidRPr="008829AB">
              <w:rPr>
                <w:sz w:val="20"/>
                <w:szCs w:val="20"/>
              </w:rPr>
              <w:t>%</w:t>
            </w:r>
          </w:p>
        </w:tc>
        <w:tc>
          <w:tcPr>
            <w:tcW w:w="501" w:type="pct"/>
            <w:tcBorders>
              <w:top w:val="nil"/>
              <w:left w:val="nil"/>
              <w:bottom w:val="single" w:sz="4" w:space="0" w:color="auto"/>
              <w:right w:val="single" w:sz="4" w:space="0" w:color="auto"/>
            </w:tcBorders>
            <w:shd w:val="clear" w:color="auto" w:fill="auto"/>
            <w:noWrap/>
            <w:hideMark/>
          </w:tcPr>
          <w:p w14:paraId="27C554E8" w14:textId="3525DE5C" w:rsidR="005D2E35" w:rsidRPr="008829AB" w:rsidRDefault="00906C00" w:rsidP="005C4B00">
            <w:pPr>
              <w:spacing w:line="240" w:lineRule="auto"/>
              <w:jc w:val="center"/>
              <w:rPr>
                <w:rFonts w:ascii="Calibri" w:eastAsia="Times New Roman" w:hAnsi="Calibri" w:cs="Calibri"/>
                <w:color w:val="000000"/>
                <w:sz w:val="20"/>
                <w:szCs w:val="20"/>
              </w:rPr>
            </w:pPr>
            <w:r>
              <w:rPr>
                <w:sz w:val="20"/>
                <w:szCs w:val="20"/>
              </w:rPr>
              <w:t>12,5</w:t>
            </w:r>
            <w:r w:rsidR="005D2E35"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58570340" w14:textId="42446783" w:rsidR="005D2E35" w:rsidRPr="008829AB" w:rsidRDefault="00906C00" w:rsidP="005C4B00">
            <w:pPr>
              <w:spacing w:line="240" w:lineRule="auto"/>
              <w:jc w:val="center"/>
              <w:rPr>
                <w:rFonts w:ascii="Calibri" w:eastAsia="Times New Roman" w:hAnsi="Calibri" w:cs="Calibri"/>
                <w:color w:val="000000"/>
                <w:sz w:val="20"/>
                <w:szCs w:val="20"/>
              </w:rPr>
            </w:pPr>
            <w:r>
              <w:rPr>
                <w:sz w:val="20"/>
                <w:szCs w:val="20"/>
              </w:rPr>
              <w:t>11,86</w:t>
            </w:r>
            <w:r w:rsidR="005D2E35"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1D248638" w14:textId="36CDAEE6"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14,</w:t>
            </w:r>
            <w:r w:rsidR="004F51F6">
              <w:rPr>
                <w:sz w:val="20"/>
                <w:szCs w:val="20"/>
              </w:rPr>
              <w:t>94</w:t>
            </w:r>
            <w:r w:rsidRPr="008829AB">
              <w:rPr>
                <w:sz w:val="20"/>
                <w:szCs w:val="20"/>
              </w:rPr>
              <w:t>%</w:t>
            </w:r>
          </w:p>
        </w:tc>
        <w:tc>
          <w:tcPr>
            <w:tcW w:w="449" w:type="pct"/>
            <w:tcBorders>
              <w:top w:val="nil"/>
              <w:left w:val="nil"/>
              <w:bottom w:val="single" w:sz="4" w:space="0" w:color="auto"/>
              <w:right w:val="single" w:sz="4" w:space="0" w:color="auto"/>
            </w:tcBorders>
            <w:shd w:val="clear" w:color="auto" w:fill="auto"/>
            <w:noWrap/>
            <w:hideMark/>
          </w:tcPr>
          <w:p w14:paraId="1D3DCF43" w14:textId="590DF047" w:rsidR="005D2E35" w:rsidRPr="008829AB" w:rsidRDefault="004F51F6" w:rsidP="005C4B00">
            <w:pPr>
              <w:spacing w:line="240" w:lineRule="auto"/>
              <w:jc w:val="center"/>
              <w:rPr>
                <w:rFonts w:ascii="Calibri" w:eastAsia="Times New Roman" w:hAnsi="Calibri" w:cs="Calibri"/>
                <w:color w:val="000000"/>
                <w:sz w:val="20"/>
                <w:szCs w:val="20"/>
              </w:rPr>
            </w:pPr>
            <w:r>
              <w:rPr>
                <w:sz w:val="20"/>
                <w:szCs w:val="20"/>
              </w:rPr>
              <w:t>9,77</w:t>
            </w:r>
            <w:r w:rsidR="005D2E35"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67450AAA" w14:textId="4C65E6F0"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w:t>
            </w:r>
            <w:r w:rsidR="004F51F6">
              <w:rPr>
                <w:sz w:val="20"/>
                <w:szCs w:val="20"/>
              </w:rPr>
              <w:t>3,08</w:t>
            </w:r>
            <w:r w:rsidRPr="008829AB">
              <w:rPr>
                <w:sz w:val="20"/>
                <w:szCs w:val="20"/>
              </w:rPr>
              <w:t>%</w:t>
            </w:r>
          </w:p>
        </w:tc>
        <w:tc>
          <w:tcPr>
            <w:tcW w:w="453" w:type="pct"/>
            <w:tcBorders>
              <w:top w:val="nil"/>
              <w:left w:val="nil"/>
              <w:bottom w:val="single" w:sz="4" w:space="0" w:color="auto"/>
              <w:right w:val="single" w:sz="4" w:space="0" w:color="auto"/>
            </w:tcBorders>
            <w:shd w:val="clear" w:color="auto" w:fill="auto"/>
            <w:noWrap/>
            <w:hideMark/>
          </w:tcPr>
          <w:p w14:paraId="5EB706FB" w14:textId="4DE2BF21" w:rsidR="005D2E35" w:rsidRPr="008829AB" w:rsidRDefault="004F51F6" w:rsidP="005C4B00">
            <w:pPr>
              <w:spacing w:line="240" w:lineRule="auto"/>
              <w:jc w:val="center"/>
              <w:rPr>
                <w:rFonts w:ascii="Calibri" w:eastAsia="Times New Roman" w:hAnsi="Calibri" w:cs="Calibri"/>
                <w:color w:val="000000"/>
                <w:sz w:val="20"/>
                <w:szCs w:val="20"/>
              </w:rPr>
            </w:pPr>
            <w:r>
              <w:rPr>
                <w:sz w:val="20"/>
                <w:szCs w:val="20"/>
              </w:rPr>
              <w:t>7,09</w:t>
            </w:r>
            <w:r w:rsidR="005D2E35"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E93A240" w14:textId="24280851" w:rsidR="005D2E35" w:rsidRPr="00A1379D" w:rsidRDefault="005D2E35" w:rsidP="005C4B00">
            <w:pPr>
              <w:spacing w:line="240" w:lineRule="auto"/>
              <w:jc w:val="center"/>
              <w:rPr>
                <w:rFonts w:ascii="Calibri" w:eastAsia="Times New Roman" w:hAnsi="Calibri" w:cs="Calibri"/>
                <w:color w:val="000000" w:themeColor="text1"/>
                <w:sz w:val="20"/>
                <w:szCs w:val="20"/>
              </w:rPr>
            </w:pPr>
            <w:r w:rsidRPr="00A1379D">
              <w:rPr>
                <w:color w:val="000000" w:themeColor="text1"/>
                <w:sz w:val="20"/>
                <w:szCs w:val="20"/>
              </w:rPr>
              <w:t>8,11%</w:t>
            </w:r>
          </w:p>
        </w:tc>
        <w:tc>
          <w:tcPr>
            <w:tcW w:w="497" w:type="pct"/>
            <w:tcBorders>
              <w:top w:val="nil"/>
              <w:left w:val="nil"/>
              <w:bottom w:val="single" w:sz="4" w:space="0" w:color="auto"/>
              <w:right w:val="single" w:sz="4" w:space="0" w:color="auto"/>
            </w:tcBorders>
            <w:shd w:val="clear" w:color="auto" w:fill="auto"/>
            <w:noWrap/>
            <w:hideMark/>
          </w:tcPr>
          <w:p w14:paraId="70C44DA2" w14:textId="0DD38422" w:rsidR="005D2E35" w:rsidRPr="00A1379D" w:rsidRDefault="005D2E35" w:rsidP="005C4B00">
            <w:pPr>
              <w:spacing w:line="240" w:lineRule="auto"/>
              <w:jc w:val="center"/>
              <w:rPr>
                <w:rFonts w:ascii="Calibri" w:eastAsia="Times New Roman" w:hAnsi="Calibri" w:cs="Calibri"/>
                <w:color w:val="000000" w:themeColor="text1"/>
                <w:sz w:val="20"/>
                <w:szCs w:val="20"/>
              </w:rPr>
            </w:pPr>
            <w:r w:rsidRPr="00A1379D">
              <w:rPr>
                <w:color w:val="000000" w:themeColor="text1"/>
                <w:sz w:val="20"/>
                <w:szCs w:val="20"/>
              </w:rPr>
              <w:t>3,33%</w:t>
            </w:r>
          </w:p>
        </w:tc>
      </w:tr>
      <w:tr w:rsidR="005D2E35" w:rsidRPr="008829AB" w14:paraId="2C5D7659" w14:textId="77777777" w:rsidTr="00E72E58">
        <w:trPr>
          <w:trHeight w:val="3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69E68D36" w14:textId="77777777" w:rsidR="005D2E35" w:rsidRPr="0096256F" w:rsidRDefault="005D2E35"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2 καθυστερημένες οφειλές</w:t>
            </w:r>
          </w:p>
        </w:tc>
        <w:tc>
          <w:tcPr>
            <w:tcW w:w="488" w:type="pct"/>
            <w:tcBorders>
              <w:top w:val="nil"/>
              <w:left w:val="nil"/>
              <w:bottom w:val="single" w:sz="4" w:space="0" w:color="auto"/>
              <w:right w:val="single" w:sz="4" w:space="0" w:color="auto"/>
            </w:tcBorders>
            <w:shd w:val="clear" w:color="auto" w:fill="auto"/>
            <w:noWrap/>
            <w:hideMark/>
          </w:tcPr>
          <w:p w14:paraId="4CC451F1" w14:textId="4514E0E5" w:rsidR="005D2E35" w:rsidRPr="008829AB" w:rsidRDefault="00906C00" w:rsidP="005C4B00">
            <w:pPr>
              <w:spacing w:line="240" w:lineRule="auto"/>
              <w:jc w:val="center"/>
              <w:rPr>
                <w:rFonts w:ascii="Calibri" w:eastAsia="Times New Roman" w:hAnsi="Calibri" w:cs="Calibri"/>
                <w:color w:val="000000"/>
                <w:sz w:val="20"/>
                <w:szCs w:val="20"/>
              </w:rPr>
            </w:pPr>
            <w:r>
              <w:rPr>
                <w:sz w:val="20"/>
                <w:szCs w:val="20"/>
              </w:rPr>
              <w:t>6,69</w:t>
            </w:r>
            <w:r w:rsidR="005D2E35" w:rsidRPr="008829AB">
              <w:rPr>
                <w:sz w:val="20"/>
                <w:szCs w:val="20"/>
              </w:rPr>
              <w:t>%</w:t>
            </w:r>
          </w:p>
        </w:tc>
        <w:tc>
          <w:tcPr>
            <w:tcW w:w="501" w:type="pct"/>
            <w:tcBorders>
              <w:top w:val="nil"/>
              <w:left w:val="nil"/>
              <w:bottom w:val="single" w:sz="4" w:space="0" w:color="auto"/>
              <w:right w:val="single" w:sz="4" w:space="0" w:color="auto"/>
            </w:tcBorders>
            <w:shd w:val="clear" w:color="auto" w:fill="auto"/>
            <w:noWrap/>
            <w:hideMark/>
          </w:tcPr>
          <w:p w14:paraId="22887806" w14:textId="42AAAB25"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8,</w:t>
            </w:r>
            <w:r w:rsidR="00906C00">
              <w:rPr>
                <w:sz w:val="20"/>
                <w:szCs w:val="20"/>
              </w:rPr>
              <w:t>33</w:t>
            </w:r>
            <w:r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6871401D" w14:textId="06D7240B" w:rsidR="005D2E35" w:rsidRPr="008829AB" w:rsidRDefault="00906C00" w:rsidP="005C4B00">
            <w:pPr>
              <w:spacing w:line="240" w:lineRule="auto"/>
              <w:jc w:val="center"/>
              <w:rPr>
                <w:rFonts w:ascii="Calibri" w:eastAsia="Times New Roman" w:hAnsi="Calibri" w:cs="Calibri"/>
                <w:color w:val="000000"/>
                <w:sz w:val="20"/>
                <w:szCs w:val="20"/>
              </w:rPr>
            </w:pPr>
            <w:r>
              <w:rPr>
                <w:sz w:val="20"/>
                <w:szCs w:val="20"/>
              </w:rPr>
              <w:t>6,09</w:t>
            </w:r>
            <w:r w:rsidR="005D2E35"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5BB592BE" w14:textId="0DBF4A78" w:rsidR="005D2E35" w:rsidRPr="008829AB" w:rsidRDefault="004F51F6" w:rsidP="005C4B00">
            <w:pPr>
              <w:spacing w:line="240" w:lineRule="auto"/>
              <w:jc w:val="center"/>
              <w:rPr>
                <w:rFonts w:ascii="Calibri" w:eastAsia="Times New Roman" w:hAnsi="Calibri" w:cs="Calibri"/>
                <w:color w:val="000000"/>
                <w:sz w:val="20"/>
                <w:szCs w:val="20"/>
              </w:rPr>
            </w:pPr>
            <w:r>
              <w:rPr>
                <w:sz w:val="20"/>
                <w:szCs w:val="20"/>
              </w:rPr>
              <w:t>9,45</w:t>
            </w:r>
            <w:r w:rsidR="005D2E35" w:rsidRPr="008829AB">
              <w:rPr>
                <w:sz w:val="20"/>
                <w:szCs w:val="20"/>
              </w:rPr>
              <w:t>%</w:t>
            </w:r>
          </w:p>
        </w:tc>
        <w:tc>
          <w:tcPr>
            <w:tcW w:w="449" w:type="pct"/>
            <w:tcBorders>
              <w:top w:val="nil"/>
              <w:left w:val="nil"/>
              <w:bottom w:val="single" w:sz="4" w:space="0" w:color="auto"/>
              <w:right w:val="single" w:sz="4" w:space="0" w:color="auto"/>
            </w:tcBorders>
            <w:shd w:val="clear" w:color="auto" w:fill="auto"/>
            <w:noWrap/>
            <w:hideMark/>
          </w:tcPr>
          <w:p w14:paraId="5FCB66AD" w14:textId="76AFBBF2"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7,</w:t>
            </w:r>
            <w:r w:rsidR="004F51F6">
              <w:rPr>
                <w:sz w:val="20"/>
                <w:szCs w:val="20"/>
              </w:rPr>
              <w:t>47</w:t>
            </w:r>
            <w:r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192EEB05" w14:textId="1A1B17A7" w:rsidR="005D2E35" w:rsidRPr="008829AB" w:rsidRDefault="004F51F6" w:rsidP="005C4B00">
            <w:pPr>
              <w:spacing w:line="240" w:lineRule="auto"/>
              <w:jc w:val="center"/>
              <w:rPr>
                <w:rFonts w:ascii="Calibri" w:eastAsia="Times New Roman" w:hAnsi="Calibri" w:cs="Calibri"/>
                <w:color w:val="000000"/>
                <w:sz w:val="20"/>
                <w:szCs w:val="20"/>
              </w:rPr>
            </w:pPr>
            <w:r>
              <w:rPr>
                <w:sz w:val="20"/>
                <w:szCs w:val="20"/>
              </w:rPr>
              <w:t>4,62</w:t>
            </w:r>
            <w:r w:rsidR="005D2E35" w:rsidRPr="008829AB">
              <w:rPr>
                <w:sz w:val="20"/>
                <w:szCs w:val="20"/>
              </w:rPr>
              <w:t>%</w:t>
            </w:r>
          </w:p>
        </w:tc>
        <w:tc>
          <w:tcPr>
            <w:tcW w:w="453" w:type="pct"/>
            <w:tcBorders>
              <w:top w:val="nil"/>
              <w:left w:val="nil"/>
              <w:bottom w:val="single" w:sz="4" w:space="0" w:color="auto"/>
              <w:right w:val="single" w:sz="4" w:space="0" w:color="auto"/>
            </w:tcBorders>
            <w:shd w:val="clear" w:color="auto" w:fill="auto"/>
            <w:noWrap/>
            <w:hideMark/>
          </w:tcPr>
          <w:p w14:paraId="37FACF12" w14:textId="6233B89E" w:rsidR="005D2E35" w:rsidRPr="008829AB" w:rsidRDefault="004F51F6" w:rsidP="005C4B00">
            <w:pPr>
              <w:spacing w:line="240" w:lineRule="auto"/>
              <w:jc w:val="center"/>
              <w:rPr>
                <w:rFonts w:ascii="Calibri" w:eastAsia="Times New Roman" w:hAnsi="Calibri" w:cs="Calibri"/>
                <w:color w:val="000000"/>
                <w:sz w:val="20"/>
                <w:szCs w:val="20"/>
              </w:rPr>
            </w:pPr>
            <w:r>
              <w:rPr>
                <w:sz w:val="20"/>
                <w:szCs w:val="20"/>
              </w:rPr>
              <w:t>3,94</w:t>
            </w:r>
            <w:r w:rsidR="005D2E35"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BE6BE7B" w14:textId="021411DA" w:rsidR="005D2E35" w:rsidRPr="00A1379D" w:rsidRDefault="005D2E35" w:rsidP="005C4B00">
            <w:pPr>
              <w:spacing w:line="240" w:lineRule="auto"/>
              <w:jc w:val="center"/>
              <w:rPr>
                <w:rFonts w:ascii="Calibri" w:eastAsia="Times New Roman" w:hAnsi="Calibri" w:cs="Calibri"/>
                <w:color w:val="000000" w:themeColor="text1"/>
                <w:sz w:val="20"/>
                <w:szCs w:val="20"/>
              </w:rPr>
            </w:pPr>
            <w:r w:rsidRPr="00A1379D">
              <w:rPr>
                <w:color w:val="000000" w:themeColor="text1"/>
                <w:sz w:val="20"/>
                <w:szCs w:val="20"/>
              </w:rPr>
              <w:t>8,11%</w:t>
            </w:r>
          </w:p>
        </w:tc>
        <w:tc>
          <w:tcPr>
            <w:tcW w:w="497" w:type="pct"/>
            <w:tcBorders>
              <w:top w:val="nil"/>
              <w:left w:val="nil"/>
              <w:bottom w:val="single" w:sz="4" w:space="0" w:color="auto"/>
              <w:right w:val="single" w:sz="4" w:space="0" w:color="auto"/>
            </w:tcBorders>
            <w:shd w:val="clear" w:color="auto" w:fill="auto"/>
            <w:noWrap/>
            <w:hideMark/>
          </w:tcPr>
          <w:p w14:paraId="4E263F76" w14:textId="55ED0DCA" w:rsidR="005D2E35" w:rsidRPr="00A1379D" w:rsidRDefault="005D2E35" w:rsidP="005C4B00">
            <w:pPr>
              <w:spacing w:line="240" w:lineRule="auto"/>
              <w:jc w:val="center"/>
              <w:rPr>
                <w:rFonts w:ascii="Calibri" w:eastAsia="Times New Roman" w:hAnsi="Calibri" w:cs="Calibri"/>
                <w:color w:val="000000" w:themeColor="text1"/>
                <w:sz w:val="20"/>
                <w:szCs w:val="20"/>
              </w:rPr>
            </w:pPr>
            <w:r w:rsidRPr="00A1379D">
              <w:rPr>
                <w:color w:val="000000" w:themeColor="text1"/>
                <w:sz w:val="20"/>
                <w:szCs w:val="20"/>
              </w:rPr>
              <w:t>0,00%</w:t>
            </w:r>
          </w:p>
        </w:tc>
      </w:tr>
      <w:tr w:rsidR="005D2E35" w:rsidRPr="008829AB" w14:paraId="05FF1E91" w14:textId="77777777" w:rsidTr="00E72E58">
        <w:trPr>
          <w:trHeight w:val="6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1891FE10" w14:textId="77777777" w:rsidR="005D2E35" w:rsidRPr="0096256F" w:rsidRDefault="005D2E35"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3 ή και περισσότερες καθυστερημένες οφειλές</w:t>
            </w:r>
          </w:p>
        </w:tc>
        <w:tc>
          <w:tcPr>
            <w:tcW w:w="488" w:type="pct"/>
            <w:tcBorders>
              <w:top w:val="nil"/>
              <w:left w:val="nil"/>
              <w:bottom w:val="single" w:sz="4" w:space="0" w:color="auto"/>
              <w:right w:val="single" w:sz="4" w:space="0" w:color="auto"/>
            </w:tcBorders>
            <w:shd w:val="clear" w:color="auto" w:fill="auto"/>
            <w:noWrap/>
            <w:hideMark/>
          </w:tcPr>
          <w:p w14:paraId="33CC7B76" w14:textId="6C2FB3BB" w:rsidR="005D2E35" w:rsidRPr="008829AB" w:rsidRDefault="00906C00" w:rsidP="005C4B00">
            <w:pPr>
              <w:spacing w:line="240" w:lineRule="auto"/>
              <w:jc w:val="center"/>
              <w:rPr>
                <w:rFonts w:ascii="Calibri" w:eastAsia="Times New Roman" w:hAnsi="Calibri" w:cs="Calibri"/>
                <w:color w:val="000000"/>
                <w:sz w:val="20"/>
                <w:szCs w:val="20"/>
              </w:rPr>
            </w:pPr>
            <w:r>
              <w:rPr>
                <w:sz w:val="20"/>
                <w:szCs w:val="20"/>
              </w:rPr>
              <w:t>10,03</w:t>
            </w:r>
            <w:r w:rsidR="005D2E35" w:rsidRPr="008829AB">
              <w:rPr>
                <w:sz w:val="20"/>
                <w:szCs w:val="20"/>
              </w:rPr>
              <w:t>%</w:t>
            </w:r>
          </w:p>
        </w:tc>
        <w:tc>
          <w:tcPr>
            <w:tcW w:w="501" w:type="pct"/>
            <w:tcBorders>
              <w:top w:val="nil"/>
              <w:left w:val="nil"/>
              <w:bottom w:val="single" w:sz="4" w:space="0" w:color="auto"/>
              <w:right w:val="single" w:sz="4" w:space="0" w:color="auto"/>
            </w:tcBorders>
            <w:shd w:val="clear" w:color="auto" w:fill="auto"/>
            <w:noWrap/>
            <w:hideMark/>
          </w:tcPr>
          <w:p w14:paraId="46A93AEE" w14:textId="171DC5B0"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9,</w:t>
            </w:r>
            <w:r w:rsidR="00906C00">
              <w:rPr>
                <w:sz w:val="20"/>
                <w:szCs w:val="20"/>
              </w:rPr>
              <w:t>8</w:t>
            </w:r>
            <w:r w:rsidRPr="008829AB">
              <w:rPr>
                <w:sz w:val="20"/>
                <w:szCs w:val="20"/>
              </w:rPr>
              <w:t>9%</w:t>
            </w:r>
          </w:p>
        </w:tc>
        <w:tc>
          <w:tcPr>
            <w:tcW w:w="456" w:type="pct"/>
            <w:tcBorders>
              <w:top w:val="nil"/>
              <w:left w:val="nil"/>
              <w:bottom w:val="single" w:sz="4" w:space="0" w:color="auto"/>
              <w:right w:val="single" w:sz="4" w:space="0" w:color="auto"/>
            </w:tcBorders>
            <w:shd w:val="clear" w:color="auto" w:fill="auto"/>
            <w:noWrap/>
            <w:hideMark/>
          </w:tcPr>
          <w:p w14:paraId="654686DD" w14:textId="7993448F" w:rsidR="005D2E35" w:rsidRPr="008829AB" w:rsidRDefault="00906C00" w:rsidP="005C4B00">
            <w:pPr>
              <w:spacing w:line="240" w:lineRule="auto"/>
              <w:jc w:val="center"/>
              <w:rPr>
                <w:rFonts w:ascii="Calibri" w:eastAsia="Times New Roman" w:hAnsi="Calibri" w:cs="Calibri"/>
                <w:color w:val="000000"/>
                <w:sz w:val="20"/>
                <w:szCs w:val="20"/>
              </w:rPr>
            </w:pPr>
            <w:r>
              <w:rPr>
                <w:sz w:val="20"/>
                <w:szCs w:val="20"/>
              </w:rPr>
              <w:t>9,94</w:t>
            </w:r>
            <w:r w:rsidR="005D2E35"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5DB0B449" w14:textId="6D48032F"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w:t>
            </w:r>
            <w:r w:rsidR="004F51F6">
              <w:rPr>
                <w:sz w:val="20"/>
                <w:szCs w:val="20"/>
              </w:rPr>
              <w:t>3,11</w:t>
            </w:r>
            <w:r w:rsidRPr="008829AB">
              <w:rPr>
                <w:sz w:val="20"/>
                <w:szCs w:val="20"/>
              </w:rPr>
              <w:t>%</w:t>
            </w:r>
          </w:p>
        </w:tc>
        <w:tc>
          <w:tcPr>
            <w:tcW w:w="449" w:type="pct"/>
            <w:tcBorders>
              <w:top w:val="nil"/>
              <w:left w:val="nil"/>
              <w:bottom w:val="single" w:sz="4" w:space="0" w:color="auto"/>
              <w:right w:val="single" w:sz="4" w:space="0" w:color="auto"/>
            </w:tcBorders>
            <w:shd w:val="clear" w:color="auto" w:fill="auto"/>
            <w:noWrap/>
            <w:hideMark/>
          </w:tcPr>
          <w:p w14:paraId="5F0132DA" w14:textId="7A7B392C" w:rsidR="005D2E35" w:rsidRPr="008829AB" w:rsidRDefault="005D2E35" w:rsidP="005C4B00">
            <w:pPr>
              <w:spacing w:line="240" w:lineRule="auto"/>
              <w:jc w:val="center"/>
              <w:rPr>
                <w:rFonts w:ascii="Calibri" w:eastAsia="Times New Roman" w:hAnsi="Calibri" w:cs="Calibri"/>
                <w:color w:val="000000"/>
                <w:sz w:val="20"/>
                <w:szCs w:val="20"/>
              </w:rPr>
            </w:pPr>
            <w:r w:rsidRPr="008829AB">
              <w:rPr>
                <w:sz w:val="20"/>
                <w:szCs w:val="20"/>
              </w:rPr>
              <w:t>1</w:t>
            </w:r>
            <w:r w:rsidR="004F51F6">
              <w:rPr>
                <w:sz w:val="20"/>
                <w:szCs w:val="20"/>
              </w:rPr>
              <w:t>2,64</w:t>
            </w:r>
            <w:r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4C08C955" w14:textId="503CFC24" w:rsidR="005D2E35" w:rsidRPr="008829AB" w:rsidRDefault="004F51F6" w:rsidP="005C4B00">
            <w:pPr>
              <w:spacing w:line="240" w:lineRule="auto"/>
              <w:jc w:val="center"/>
              <w:rPr>
                <w:rFonts w:ascii="Calibri" w:eastAsia="Times New Roman" w:hAnsi="Calibri" w:cs="Calibri"/>
                <w:color w:val="000000"/>
                <w:sz w:val="20"/>
                <w:szCs w:val="20"/>
              </w:rPr>
            </w:pPr>
            <w:r>
              <w:rPr>
                <w:sz w:val="20"/>
                <w:szCs w:val="20"/>
              </w:rPr>
              <w:t>4,62</w:t>
            </w:r>
            <w:r w:rsidR="005D2E35" w:rsidRPr="008829AB">
              <w:rPr>
                <w:sz w:val="20"/>
                <w:szCs w:val="20"/>
              </w:rPr>
              <w:t>%</w:t>
            </w:r>
          </w:p>
        </w:tc>
        <w:tc>
          <w:tcPr>
            <w:tcW w:w="453" w:type="pct"/>
            <w:tcBorders>
              <w:top w:val="nil"/>
              <w:left w:val="nil"/>
              <w:bottom w:val="single" w:sz="4" w:space="0" w:color="auto"/>
              <w:right w:val="single" w:sz="4" w:space="0" w:color="auto"/>
            </w:tcBorders>
            <w:shd w:val="clear" w:color="auto" w:fill="auto"/>
            <w:noWrap/>
            <w:hideMark/>
          </w:tcPr>
          <w:p w14:paraId="0820B08D" w14:textId="5143FD6D" w:rsidR="005D2E35" w:rsidRPr="008829AB" w:rsidRDefault="004F51F6" w:rsidP="005C4B00">
            <w:pPr>
              <w:spacing w:line="240" w:lineRule="auto"/>
              <w:jc w:val="center"/>
              <w:rPr>
                <w:rFonts w:ascii="Calibri" w:eastAsia="Times New Roman" w:hAnsi="Calibri" w:cs="Calibri"/>
                <w:color w:val="000000"/>
                <w:sz w:val="20"/>
                <w:szCs w:val="20"/>
              </w:rPr>
            </w:pPr>
            <w:r>
              <w:rPr>
                <w:sz w:val="20"/>
                <w:szCs w:val="20"/>
              </w:rPr>
              <w:t>6,30</w:t>
            </w:r>
            <w:r w:rsidR="005D2E35"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6921CF90" w14:textId="425BE92F" w:rsidR="005D2E35" w:rsidRPr="00A1379D" w:rsidRDefault="005D2E35" w:rsidP="005C4B00">
            <w:pPr>
              <w:spacing w:line="240" w:lineRule="auto"/>
              <w:jc w:val="center"/>
              <w:rPr>
                <w:rFonts w:ascii="Calibri" w:eastAsia="Times New Roman" w:hAnsi="Calibri" w:cs="Calibri"/>
                <w:color w:val="000000" w:themeColor="text1"/>
                <w:sz w:val="20"/>
                <w:szCs w:val="20"/>
              </w:rPr>
            </w:pPr>
            <w:r w:rsidRPr="00A1379D">
              <w:rPr>
                <w:color w:val="000000" w:themeColor="text1"/>
                <w:sz w:val="20"/>
                <w:szCs w:val="20"/>
              </w:rPr>
              <w:t>2,70%</w:t>
            </w:r>
          </w:p>
        </w:tc>
        <w:tc>
          <w:tcPr>
            <w:tcW w:w="497" w:type="pct"/>
            <w:tcBorders>
              <w:top w:val="nil"/>
              <w:left w:val="nil"/>
              <w:bottom w:val="single" w:sz="4" w:space="0" w:color="auto"/>
              <w:right w:val="single" w:sz="4" w:space="0" w:color="auto"/>
            </w:tcBorders>
            <w:shd w:val="clear" w:color="auto" w:fill="auto"/>
            <w:noWrap/>
            <w:hideMark/>
          </w:tcPr>
          <w:p w14:paraId="5124A5F2" w14:textId="3000B83C" w:rsidR="005D2E35" w:rsidRPr="00A1379D" w:rsidRDefault="005D2E35" w:rsidP="005C4B00">
            <w:pPr>
              <w:spacing w:line="240" w:lineRule="auto"/>
              <w:jc w:val="center"/>
              <w:rPr>
                <w:rFonts w:ascii="Calibri" w:eastAsia="Times New Roman" w:hAnsi="Calibri" w:cs="Calibri"/>
                <w:color w:val="000000" w:themeColor="text1"/>
                <w:sz w:val="20"/>
                <w:szCs w:val="20"/>
              </w:rPr>
            </w:pPr>
            <w:r w:rsidRPr="00A1379D">
              <w:rPr>
                <w:color w:val="000000" w:themeColor="text1"/>
                <w:sz w:val="20"/>
                <w:szCs w:val="20"/>
              </w:rPr>
              <w:t>3,33%</w:t>
            </w:r>
          </w:p>
        </w:tc>
      </w:tr>
      <w:tr w:rsidR="00B64C70" w:rsidRPr="0096256F" w14:paraId="6DC97EF0" w14:textId="77777777" w:rsidTr="00E72E58">
        <w:trPr>
          <w:trHeight w:val="600"/>
        </w:trPr>
        <w:tc>
          <w:tcPr>
            <w:tcW w:w="801" w:type="pct"/>
            <w:vMerge w:val="restart"/>
            <w:tcBorders>
              <w:top w:val="nil"/>
              <w:left w:val="single" w:sz="4" w:space="0" w:color="auto"/>
              <w:bottom w:val="single" w:sz="4" w:space="0" w:color="auto"/>
              <w:right w:val="single" w:sz="4" w:space="0" w:color="auto"/>
            </w:tcBorders>
            <w:shd w:val="clear" w:color="D9E1F2" w:fill="D9E1F2"/>
            <w:vAlign w:val="bottom"/>
            <w:hideMark/>
          </w:tcPr>
          <w:p w14:paraId="27445880" w14:textId="3466D479" w:rsidR="00CC423E" w:rsidRPr="0096256F" w:rsidRDefault="00CC423E" w:rsidP="005C4B00">
            <w:pPr>
              <w:spacing w:line="240" w:lineRule="auto"/>
              <w:rPr>
                <w:rFonts w:ascii="Calibri" w:eastAsia="Times New Roman" w:hAnsi="Calibri" w:cs="Calibri"/>
                <w:b/>
                <w:bCs/>
                <w:color w:val="000000"/>
                <w:sz w:val="16"/>
                <w:szCs w:val="16"/>
              </w:rPr>
            </w:pPr>
          </w:p>
        </w:tc>
        <w:tc>
          <w:tcPr>
            <w:tcW w:w="1895" w:type="pct"/>
            <w:gridSpan w:val="4"/>
            <w:tcBorders>
              <w:top w:val="single" w:sz="4" w:space="0" w:color="auto"/>
              <w:left w:val="nil"/>
              <w:bottom w:val="single" w:sz="4" w:space="0" w:color="auto"/>
              <w:right w:val="single" w:sz="4" w:space="0" w:color="auto"/>
            </w:tcBorders>
            <w:shd w:val="clear" w:color="D9E1F2" w:fill="D9E1F2"/>
            <w:vAlign w:val="center"/>
            <w:hideMark/>
          </w:tcPr>
          <w:p w14:paraId="0403E658"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ΑΡΙΘΜΟΣ ΕΡΓΑΖΟΜΕΝΩΝ</w:t>
            </w:r>
          </w:p>
        </w:tc>
        <w:tc>
          <w:tcPr>
            <w:tcW w:w="1808" w:type="pct"/>
            <w:gridSpan w:val="4"/>
            <w:tcBorders>
              <w:top w:val="single" w:sz="4" w:space="0" w:color="auto"/>
              <w:left w:val="nil"/>
              <w:bottom w:val="single" w:sz="4" w:space="0" w:color="auto"/>
              <w:right w:val="single" w:sz="4" w:space="0" w:color="auto"/>
            </w:tcBorders>
            <w:shd w:val="clear" w:color="D9E1F2" w:fill="D9E1F2"/>
            <w:vAlign w:val="center"/>
            <w:hideMark/>
          </w:tcPr>
          <w:p w14:paraId="24A86828"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ΓΕΩΓΡΑΦΙΚΗ ΠΕΡΙΟΧΗ</w:t>
            </w:r>
          </w:p>
        </w:tc>
        <w:tc>
          <w:tcPr>
            <w:tcW w:w="497" w:type="pct"/>
            <w:tcBorders>
              <w:top w:val="nil"/>
              <w:left w:val="nil"/>
              <w:bottom w:val="single" w:sz="4" w:space="0" w:color="auto"/>
              <w:right w:val="single" w:sz="4" w:space="0" w:color="auto"/>
            </w:tcBorders>
            <w:shd w:val="clear" w:color="D9E1F2" w:fill="D9E1F2"/>
            <w:vAlign w:val="center"/>
            <w:hideMark/>
          </w:tcPr>
          <w:p w14:paraId="6BB0841F"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ΥΠΟΚΛΑΔΟΣ</w:t>
            </w:r>
          </w:p>
        </w:tc>
      </w:tr>
      <w:tr w:rsidR="0096256F" w:rsidRPr="0096256F" w14:paraId="0D2D3EA7" w14:textId="77777777" w:rsidTr="00E72E58">
        <w:trPr>
          <w:trHeight w:val="900"/>
        </w:trPr>
        <w:tc>
          <w:tcPr>
            <w:tcW w:w="801" w:type="pct"/>
            <w:vMerge/>
            <w:tcBorders>
              <w:top w:val="nil"/>
              <w:left w:val="single" w:sz="4" w:space="0" w:color="auto"/>
              <w:bottom w:val="single" w:sz="4" w:space="0" w:color="auto"/>
              <w:right w:val="single" w:sz="4" w:space="0" w:color="auto"/>
            </w:tcBorders>
            <w:vAlign w:val="center"/>
            <w:hideMark/>
          </w:tcPr>
          <w:p w14:paraId="6617A9C2" w14:textId="77777777" w:rsidR="00CC423E" w:rsidRPr="0096256F" w:rsidRDefault="00CC423E" w:rsidP="005C4B00">
            <w:pPr>
              <w:spacing w:line="240" w:lineRule="auto"/>
              <w:rPr>
                <w:rFonts w:ascii="Calibri" w:eastAsia="Times New Roman" w:hAnsi="Calibri" w:cs="Calibri"/>
                <w:b/>
                <w:bCs/>
                <w:color w:val="000000"/>
                <w:sz w:val="16"/>
                <w:szCs w:val="16"/>
              </w:rPr>
            </w:pPr>
          </w:p>
        </w:tc>
        <w:tc>
          <w:tcPr>
            <w:tcW w:w="488" w:type="pct"/>
            <w:tcBorders>
              <w:top w:val="nil"/>
              <w:left w:val="nil"/>
              <w:bottom w:val="single" w:sz="4" w:space="0" w:color="auto"/>
              <w:right w:val="single" w:sz="4" w:space="0" w:color="auto"/>
            </w:tcBorders>
            <w:shd w:val="clear" w:color="D9E1F2" w:fill="D9E1F2"/>
            <w:vAlign w:val="center"/>
            <w:hideMark/>
          </w:tcPr>
          <w:p w14:paraId="34D858F6"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Χωρίς προσωπικό</w:t>
            </w:r>
          </w:p>
        </w:tc>
        <w:tc>
          <w:tcPr>
            <w:tcW w:w="501" w:type="pct"/>
            <w:tcBorders>
              <w:top w:val="nil"/>
              <w:left w:val="nil"/>
              <w:bottom w:val="single" w:sz="4" w:space="0" w:color="auto"/>
              <w:right w:val="single" w:sz="4" w:space="0" w:color="auto"/>
            </w:tcBorders>
            <w:shd w:val="clear" w:color="D9E1F2" w:fill="D9E1F2"/>
            <w:vAlign w:val="center"/>
            <w:hideMark/>
          </w:tcPr>
          <w:p w14:paraId="6AD994E7"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1 έως 4</w:t>
            </w:r>
          </w:p>
        </w:tc>
        <w:tc>
          <w:tcPr>
            <w:tcW w:w="456" w:type="pct"/>
            <w:tcBorders>
              <w:top w:val="nil"/>
              <w:left w:val="nil"/>
              <w:bottom w:val="single" w:sz="4" w:space="0" w:color="auto"/>
              <w:right w:val="single" w:sz="4" w:space="0" w:color="auto"/>
            </w:tcBorders>
            <w:shd w:val="clear" w:color="D9E1F2" w:fill="D9E1F2"/>
            <w:vAlign w:val="center"/>
            <w:hideMark/>
          </w:tcPr>
          <w:p w14:paraId="38326352"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5 έως 9</w:t>
            </w:r>
          </w:p>
        </w:tc>
        <w:tc>
          <w:tcPr>
            <w:tcW w:w="450" w:type="pct"/>
            <w:tcBorders>
              <w:top w:val="nil"/>
              <w:left w:val="nil"/>
              <w:bottom w:val="single" w:sz="4" w:space="0" w:color="auto"/>
              <w:right w:val="single" w:sz="4" w:space="0" w:color="auto"/>
            </w:tcBorders>
            <w:shd w:val="clear" w:color="D9E1F2" w:fill="D9E1F2"/>
            <w:vAlign w:val="center"/>
            <w:hideMark/>
          </w:tcPr>
          <w:p w14:paraId="00190EF2" w14:textId="7256ABE7" w:rsidR="00CC423E" w:rsidRPr="0096256F" w:rsidRDefault="00CC423E" w:rsidP="001E621F">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 xml:space="preserve">10 </w:t>
            </w:r>
            <w:r w:rsidR="001E621F" w:rsidRPr="0096256F">
              <w:rPr>
                <w:rFonts w:ascii="Calibri" w:eastAsia="Times New Roman" w:hAnsi="Calibri" w:cs="Calibri"/>
                <w:b/>
                <w:bCs/>
                <w:color w:val="000000"/>
                <w:sz w:val="16"/>
                <w:szCs w:val="16"/>
              </w:rPr>
              <w:t>και άνω</w:t>
            </w:r>
          </w:p>
        </w:tc>
        <w:tc>
          <w:tcPr>
            <w:tcW w:w="449" w:type="pct"/>
            <w:tcBorders>
              <w:top w:val="nil"/>
              <w:left w:val="nil"/>
              <w:bottom w:val="single" w:sz="4" w:space="0" w:color="auto"/>
              <w:right w:val="single" w:sz="4" w:space="0" w:color="auto"/>
            </w:tcBorders>
            <w:shd w:val="clear" w:color="D9E1F2" w:fill="D9E1F2"/>
            <w:vAlign w:val="center"/>
            <w:hideMark/>
          </w:tcPr>
          <w:p w14:paraId="5C5EF855"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EL3 ΑΤΤΙΚΗ</w:t>
            </w:r>
          </w:p>
        </w:tc>
        <w:tc>
          <w:tcPr>
            <w:tcW w:w="450" w:type="pct"/>
            <w:tcBorders>
              <w:top w:val="nil"/>
              <w:left w:val="nil"/>
              <w:bottom w:val="single" w:sz="4" w:space="0" w:color="auto"/>
              <w:right w:val="single" w:sz="4" w:space="0" w:color="auto"/>
            </w:tcBorders>
            <w:shd w:val="clear" w:color="D9E1F2" w:fill="D9E1F2"/>
            <w:vAlign w:val="center"/>
            <w:hideMark/>
          </w:tcPr>
          <w:p w14:paraId="4269CB58"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EL5 ΒΟΡΕΙΑ ΕΛΛΑΔΑ</w:t>
            </w:r>
          </w:p>
        </w:tc>
        <w:tc>
          <w:tcPr>
            <w:tcW w:w="453" w:type="pct"/>
            <w:tcBorders>
              <w:top w:val="nil"/>
              <w:left w:val="nil"/>
              <w:bottom w:val="single" w:sz="4" w:space="0" w:color="auto"/>
              <w:right w:val="single" w:sz="4" w:space="0" w:color="auto"/>
            </w:tcBorders>
            <w:shd w:val="clear" w:color="D9E1F2" w:fill="D9E1F2"/>
            <w:vAlign w:val="center"/>
            <w:hideMark/>
          </w:tcPr>
          <w:p w14:paraId="6FAAB6BF"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EL6 ΚΕΝΤΡΙΚΗ ΕΛΛΑΔΑ</w:t>
            </w:r>
          </w:p>
        </w:tc>
        <w:tc>
          <w:tcPr>
            <w:tcW w:w="456" w:type="pct"/>
            <w:tcBorders>
              <w:top w:val="nil"/>
              <w:left w:val="nil"/>
              <w:bottom w:val="single" w:sz="4" w:space="0" w:color="auto"/>
              <w:right w:val="single" w:sz="4" w:space="0" w:color="auto"/>
            </w:tcBorders>
            <w:shd w:val="clear" w:color="D9E1F2" w:fill="D9E1F2"/>
            <w:vAlign w:val="center"/>
            <w:hideMark/>
          </w:tcPr>
          <w:p w14:paraId="0331BE0B"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EL4 ΝΗΣΙΑ ΑΙΓΑΙΟΥ &amp; ΚΡΗΤΗ</w:t>
            </w:r>
          </w:p>
        </w:tc>
        <w:tc>
          <w:tcPr>
            <w:tcW w:w="497" w:type="pct"/>
            <w:tcBorders>
              <w:top w:val="nil"/>
              <w:left w:val="nil"/>
              <w:bottom w:val="single" w:sz="4" w:space="0" w:color="auto"/>
              <w:right w:val="single" w:sz="4" w:space="0" w:color="auto"/>
            </w:tcBorders>
            <w:shd w:val="clear" w:color="D9E1F2" w:fill="D9E1F2"/>
            <w:vAlign w:val="center"/>
            <w:hideMark/>
          </w:tcPr>
          <w:p w14:paraId="26545AD4" w14:textId="77777777" w:rsidR="00CC423E" w:rsidRPr="0096256F" w:rsidRDefault="00CC423E" w:rsidP="005C4B00">
            <w:pPr>
              <w:spacing w:line="240" w:lineRule="auto"/>
              <w:jc w:val="center"/>
              <w:rPr>
                <w:rFonts w:ascii="Calibri" w:eastAsia="Times New Roman" w:hAnsi="Calibri" w:cs="Calibri"/>
                <w:b/>
                <w:bCs/>
                <w:color w:val="000000"/>
                <w:sz w:val="16"/>
                <w:szCs w:val="16"/>
              </w:rPr>
            </w:pPr>
            <w:r w:rsidRPr="0096256F">
              <w:rPr>
                <w:rFonts w:ascii="Calibri" w:eastAsia="Times New Roman" w:hAnsi="Calibri" w:cs="Calibri"/>
                <w:b/>
                <w:bCs/>
                <w:color w:val="000000"/>
                <w:sz w:val="16"/>
                <w:szCs w:val="16"/>
              </w:rPr>
              <w:t>Εστίαση</w:t>
            </w:r>
          </w:p>
        </w:tc>
      </w:tr>
      <w:tr w:rsidR="008829AB" w:rsidRPr="005D2E35" w14:paraId="4588A089" w14:textId="77777777" w:rsidTr="00E72E58">
        <w:trPr>
          <w:trHeight w:val="3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1BC949AA" w14:textId="77777777" w:rsidR="008829AB" w:rsidRPr="0096256F" w:rsidRDefault="008829AB"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1 καθυστερημένη οφειλή</w:t>
            </w:r>
          </w:p>
        </w:tc>
        <w:tc>
          <w:tcPr>
            <w:tcW w:w="488" w:type="pct"/>
            <w:tcBorders>
              <w:top w:val="nil"/>
              <w:left w:val="nil"/>
              <w:bottom w:val="single" w:sz="4" w:space="0" w:color="auto"/>
              <w:right w:val="single" w:sz="4" w:space="0" w:color="auto"/>
            </w:tcBorders>
            <w:shd w:val="clear" w:color="auto" w:fill="auto"/>
            <w:noWrap/>
            <w:hideMark/>
          </w:tcPr>
          <w:p w14:paraId="141BACB1" w14:textId="2CF72A9A"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16,55</w:t>
            </w:r>
            <w:r w:rsidR="008829AB" w:rsidRPr="008829AB">
              <w:rPr>
                <w:sz w:val="20"/>
                <w:szCs w:val="20"/>
              </w:rPr>
              <w:t>%</w:t>
            </w:r>
          </w:p>
        </w:tc>
        <w:tc>
          <w:tcPr>
            <w:tcW w:w="501" w:type="pct"/>
            <w:tcBorders>
              <w:top w:val="nil"/>
              <w:left w:val="nil"/>
              <w:bottom w:val="single" w:sz="4" w:space="0" w:color="auto"/>
              <w:right w:val="single" w:sz="4" w:space="0" w:color="auto"/>
            </w:tcBorders>
            <w:shd w:val="clear" w:color="auto" w:fill="auto"/>
            <w:noWrap/>
            <w:hideMark/>
          </w:tcPr>
          <w:p w14:paraId="04BCC30B" w14:textId="6EECBFD6"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8,82</w:t>
            </w:r>
            <w:r w:rsidR="008829AB"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58932E13" w14:textId="641D305C"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9,65</w:t>
            </w:r>
            <w:r w:rsidR="008829AB"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215B67C5" w14:textId="01485FDB"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9,52</w:t>
            </w:r>
            <w:r w:rsidR="008829AB" w:rsidRPr="008829AB">
              <w:rPr>
                <w:sz w:val="20"/>
                <w:szCs w:val="20"/>
              </w:rPr>
              <w:t>%</w:t>
            </w:r>
          </w:p>
        </w:tc>
        <w:tc>
          <w:tcPr>
            <w:tcW w:w="449" w:type="pct"/>
            <w:tcBorders>
              <w:top w:val="nil"/>
              <w:left w:val="nil"/>
              <w:bottom w:val="single" w:sz="4" w:space="0" w:color="auto"/>
              <w:right w:val="single" w:sz="4" w:space="0" w:color="auto"/>
            </w:tcBorders>
            <w:shd w:val="clear" w:color="auto" w:fill="auto"/>
            <w:noWrap/>
            <w:hideMark/>
          </w:tcPr>
          <w:p w14:paraId="4AA8B460" w14:textId="644E40D6" w:rsidR="008829AB" w:rsidRPr="008829AB" w:rsidRDefault="00772812" w:rsidP="005C4B00">
            <w:pPr>
              <w:spacing w:line="240" w:lineRule="auto"/>
              <w:jc w:val="center"/>
              <w:rPr>
                <w:rFonts w:ascii="Calibri" w:eastAsia="Times New Roman" w:hAnsi="Calibri" w:cs="Calibri"/>
                <w:color w:val="000000"/>
                <w:sz w:val="20"/>
                <w:szCs w:val="20"/>
              </w:rPr>
            </w:pPr>
            <w:r>
              <w:rPr>
                <w:sz w:val="20"/>
                <w:szCs w:val="20"/>
              </w:rPr>
              <w:t>11</w:t>
            </w:r>
            <w:r w:rsidR="008829AB" w:rsidRPr="008829AB">
              <w:rPr>
                <w:sz w:val="20"/>
                <w:szCs w:val="20"/>
              </w:rPr>
              <w:t>,</w:t>
            </w:r>
            <w:r>
              <w:rPr>
                <w:sz w:val="20"/>
                <w:szCs w:val="20"/>
              </w:rPr>
              <w:t>26</w:t>
            </w:r>
            <w:r w:rsidR="008829AB"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451CAF7A" w14:textId="137F9EEB"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w:t>
            </w:r>
            <w:r w:rsidR="00772812">
              <w:rPr>
                <w:sz w:val="20"/>
                <w:szCs w:val="20"/>
              </w:rPr>
              <w:t>2,04</w:t>
            </w:r>
            <w:r w:rsidRPr="008829AB">
              <w:rPr>
                <w:sz w:val="20"/>
                <w:szCs w:val="20"/>
              </w:rPr>
              <w:t>%</w:t>
            </w:r>
          </w:p>
        </w:tc>
        <w:tc>
          <w:tcPr>
            <w:tcW w:w="453" w:type="pct"/>
            <w:tcBorders>
              <w:top w:val="nil"/>
              <w:left w:val="nil"/>
              <w:bottom w:val="single" w:sz="4" w:space="0" w:color="auto"/>
              <w:right w:val="single" w:sz="4" w:space="0" w:color="auto"/>
            </w:tcBorders>
            <w:shd w:val="clear" w:color="auto" w:fill="auto"/>
            <w:noWrap/>
            <w:hideMark/>
          </w:tcPr>
          <w:p w14:paraId="7884A4AC" w14:textId="728829EF"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14,</w:t>
            </w:r>
            <w:r w:rsidR="00772812">
              <w:rPr>
                <w:sz w:val="20"/>
                <w:szCs w:val="20"/>
              </w:rPr>
              <w:t>36</w:t>
            </w:r>
            <w:r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13AE5405" w14:textId="6B4B4B63" w:rsidR="008829AB" w:rsidRPr="008829AB" w:rsidRDefault="00772812" w:rsidP="005C4B00">
            <w:pPr>
              <w:spacing w:line="240" w:lineRule="auto"/>
              <w:jc w:val="center"/>
              <w:rPr>
                <w:rFonts w:ascii="Calibri" w:eastAsia="Times New Roman" w:hAnsi="Calibri" w:cs="Calibri"/>
                <w:color w:val="000000"/>
                <w:sz w:val="20"/>
                <w:szCs w:val="20"/>
              </w:rPr>
            </w:pPr>
            <w:r>
              <w:rPr>
                <w:sz w:val="20"/>
                <w:szCs w:val="20"/>
              </w:rPr>
              <w:t>8,49</w:t>
            </w:r>
            <w:r w:rsidR="008829AB" w:rsidRPr="008829AB">
              <w:rPr>
                <w:sz w:val="20"/>
                <w:szCs w:val="20"/>
              </w:rPr>
              <w:t>%</w:t>
            </w:r>
          </w:p>
        </w:tc>
        <w:tc>
          <w:tcPr>
            <w:tcW w:w="497" w:type="pct"/>
            <w:tcBorders>
              <w:top w:val="nil"/>
              <w:left w:val="nil"/>
              <w:bottom w:val="single" w:sz="4" w:space="0" w:color="auto"/>
              <w:right w:val="single" w:sz="4" w:space="0" w:color="auto"/>
            </w:tcBorders>
            <w:shd w:val="clear" w:color="auto" w:fill="auto"/>
            <w:noWrap/>
            <w:hideMark/>
          </w:tcPr>
          <w:p w14:paraId="21DA0F45" w14:textId="4BB7D666"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8,57</w:t>
            </w:r>
            <w:r w:rsidR="008829AB" w:rsidRPr="008829AB">
              <w:rPr>
                <w:sz w:val="20"/>
                <w:szCs w:val="20"/>
              </w:rPr>
              <w:t>%</w:t>
            </w:r>
          </w:p>
        </w:tc>
      </w:tr>
      <w:tr w:rsidR="008829AB" w:rsidRPr="0096256F" w14:paraId="3A83B09B" w14:textId="77777777" w:rsidTr="00E72E58">
        <w:trPr>
          <w:trHeight w:val="3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258372C6" w14:textId="77777777" w:rsidR="008829AB" w:rsidRPr="0096256F" w:rsidRDefault="008829AB"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2 καθυστερημένες οφειλές</w:t>
            </w:r>
          </w:p>
        </w:tc>
        <w:tc>
          <w:tcPr>
            <w:tcW w:w="488" w:type="pct"/>
            <w:tcBorders>
              <w:top w:val="nil"/>
              <w:left w:val="nil"/>
              <w:bottom w:val="single" w:sz="4" w:space="0" w:color="auto"/>
              <w:right w:val="single" w:sz="4" w:space="0" w:color="auto"/>
            </w:tcBorders>
            <w:shd w:val="clear" w:color="auto" w:fill="auto"/>
            <w:noWrap/>
            <w:hideMark/>
          </w:tcPr>
          <w:p w14:paraId="3ED6E8F3" w14:textId="14D57F38"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10,21</w:t>
            </w:r>
            <w:r w:rsidR="008829AB" w:rsidRPr="008829AB">
              <w:rPr>
                <w:sz w:val="20"/>
                <w:szCs w:val="20"/>
              </w:rPr>
              <w:t>%</w:t>
            </w:r>
          </w:p>
        </w:tc>
        <w:tc>
          <w:tcPr>
            <w:tcW w:w="501" w:type="pct"/>
            <w:tcBorders>
              <w:top w:val="nil"/>
              <w:left w:val="nil"/>
              <w:bottom w:val="single" w:sz="4" w:space="0" w:color="auto"/>
              <w:right w:val="single" w:sz="4" w:space="0" w:color="auto"/>
            </w:tcBorders>
            <w:shd w:val="clear" w:color="auto" w:fill="auto"/>
            <w:noWrap/>
            <w:hideMark/>
          </w:tcPr>
          <w:p w14:paraId="55B39602" w14:textId="2A82F45B"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5,29</w:t>
            </w:r>
            <w:r w:rsidR="008829AB"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658E9B7F" w14:textId="54ACE22D"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5,</w:t>
            </w:r>
            <w:r w:rsidR="007F4C64">
              <w:rPr>
                <w:sz w:val="20"/>
                <w:szCs w:val="20"/>
              </w:rPr>
              <w:t>26</w:t>
            </w:r>
            <w:r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2AF04FFF" w14:textId="1E360C1C"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6,35</w:t>
            </w:r>
            <w:r w:rsidR="008829AB" w:rsidRPr="008829AB">
              <w:rPr>
                <w:sz w:val="20"/>
                <w:szCs w:val="20"/>
              </w:rPr>
              <w:t>%</w:t>
            </w:r>
          </w:p>
        </w:tc>
        <w:tc>
          <w:tcPr>
            <w:tcW w:w="449" w:type="pct"/>
            <w:tcBorders>
              <w:top w:val="nil"/>
              <w:left w:val="nil"/>
              <w:bottom w:val="single" w:sz="4" w:space="0" w:color="auto"/>
              <w:right w:val="single" w:sz="4" w:space="0" w:color="auto"/>
            </w:tcBorders>
            <w:shd w:val="clear" w:color="auto" w:fill="auto"/>
            <w:noWrap/>
            <w:hideMark/>
          </w:tcPr>
          <w:p w14:paraId="6039C2F3" w14:textId="702106FD"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9,</w:t>
            </w:r>
            <w:r w:rsidR="00772812">
              <w:rPr>
                <w:sz w:val="20"/>
                <w:szCs w:val="20"/>
              </w:rPr>
              <w:t>9</w:t>
            </w:r>
            <w:r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22F8D1E6" w14:textId="7FBA770E"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6,</w:t>
            </w:r>
            <w:r w:rsidR="00772812">
              <w:rPr>
                <w:sz w:val="20"/>
                <w:szCs w:val="20"/>
              </w:rPr>
              <w:t>0</w:t>
            </w:r>
            <w:r w:rsidRPr="008829AB">
              <w:rPr>
                <w:sz w:val="20"/>
                <w:szCs w:val="20"/>
              </w:rPr>
              <w:t>2%</w:t>
            </w:r>
          </w:p>
        </w:tc>
        <w:tc>
          <w:tcPr>
            <w:tcW w:w="453" w:type="pct"/>
            <w:tcBorders>
              <w:top w:val="nil"/>
              <w:left w:val="nil"/>
              <w:bottom w:val="single" w:sz="4" w:space="0" w:color="auto"/>
              <w:right w:val="single" w:sz="4" w:space="0" w:color="auto"/>
            </w:tcBorders>
            <w:shd w:val="clear" w:color="auto" w:fill="auto"/>
            <w:noWrap/>
            <w:hideMark/>
          </w:tcPr>
          <w:p w14:paraId="3E99346E" w14:textId="40EF4B0D" w:rsidR="008829AB" w:rsidRPr="008829AB" w:rsidRDefault="00772812" w:rsidP="005C4B00">
            <w:pPr>
              <w:spacing w:line="240" w:lineRule="auto"/>
              <w:jc w:val="center"/>
              <w:rPr>
                <w:rFonts w:ascii="Calibri" w:eastAsia="Times New Roman" w:hAnsi="Calibri" w:cs="Calibri"/>
                <w:color w:val="000000"/>
                <w:sz w:val="20"/>
                <w:szCs w:val="20"/>
              </w:rPr>
            </w:pPr>
            <w:r>
              <w:rPr>
                <w:sz w:val="20"/>
                <w:szCs w:val="20"/>
              </w:rPr>
              <w:t>6</w:t>
            </w:r>
            <w:r w:rsidR="008829AB" w:rsidRPr="008829AB">
              <w:rPr>
                <w:sz w:val="20"/>
                <w:szCs w:val="20"/>
              </w:rPr>
              <w:t>,38%</w:t>
            </w:r>
          </w:p>
        </w:tc>
        <w:tc>
          <w:tcPr>
            <w:tcW w:w="456" w:type="pct"/>
            <w:tcBorders>
              <w:top w:val="nil"/>
              <w:left w:val="nil"/>
              <w:bottom w:val="single" w:sz="4" w:space="0" w:color="auto"/>
              <w:right w:val="single" w:sz="4" w:space="0" w:color="auto"/>
            </w:tcBorders>
            <w:shd w:val="clear" w:color="auto" w:fill="auto"/>
            <w:noWrap/>
            <w:hideMark/>
          </w:tcPr>
          <w:p w14:paraId="167D2B91" w14:textId="4BD53678" w:rsidR="008829AB" w:rsidRPr="008829AB" w:rsidRDefault="00772812" w:rsidP="005C4B00">
            <w:pPr>
              <w:spacing w:line="240" w:lineRule="auto"/>
              <w:jc w:val="center"/>
              <w:rPr>
                <w:rFonts w:ascii="Calibri" w:eastAsia="Times New Roman" w:hAnsi="Calibri" w:cs="Calibri"/>
                <w:color w:val="000000"/>
                <w:sz w:val="20"/>
                <w:szCs w:val="20"/>
              </w:rPr>
            </w:pPr>
            <w:r>
              <w:rPr>
                <w:sz w:val="20"/>
                <w:szCs w:val="20"/>
              </w:rPr>
              <w:t>1,89</w:t>
            </w:r>
            <w:r w:rsidR="008829AB" w:rsidRPr="008829AB">
              <w:rPr>
                <w:sz w:val="20"/>
                <w:szCs w:val="20"/>
              </w:rPr>
              <w:t>%</w:t>
            </w:r>
          </w:p>
        </w:tc>
        <w:tc>
          <w:tcPr>
            <w:tcW w:w="497" w:type="pct"/>
            <w:tcBorders>
              <w:top w:val="nil"/>
              <w:left w:val="nil"/>
              <w:bottom w:val="single" w:sz="4" w:space="0" w:color="auto"/>
              <w:right w:val="single" w:sz="4" w:space="0" w:color="auto"/>
            </w:tcBorders>
            <w:shd w:val="clear" w:color="auto" w:fill="auto"/>
            <w:noWrap/>
            <w:hideMark/>
          </w:tcPr>
          <w:p w14:paraId="5AFD17B7" w14:textId="4FC05A73"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8,57</w:t>
            </w:r>
            <w:r w:rsidR="008829AB" w:rsidRPr="008829AB">
              <w:rPr>
                <w:sz w:val="20"/>
                <w:szCs w:val="20"/>
              </w:rPr>
              <w:t>%</w:t>
            </w:r>
          </w:p>
        </w:tc>
      </w:tr>
      <w:tr w:rsidR="008829AB" w:rsidRPr="006043B9" w14:paraId="56F8E6ED" w14:textId="77777777" w:rsidTr="00E72E58">
        <w:trPr>
          <w:trHeight w:val="600"/>
        </w:trPr>
        <w:tc>
          <w:tcPr>
            <w:tcW w:w="801" w:type="pct"/>
            <w:tcBorders>
              <w:top w:val="nil"/>
              <w:left w:val="single" w:sz="4" w:space="0" w:color="auto"/>
              <w:bottom w:val="single" w:sz="4" w:space="0" w:color="auto"/>
              <w:right w:val="single" w:sz="4" w:space="0" w:color="auto"/>
            </w:tcBorders>
            <w:shd w:val="clear" w:color="auto" w:fill="auto"/>
            <w:vAlign w:val="bottom"/>
            <w:hideMark/>
          </w:tcPr>
          <w:p w14:paraId="691AFE14" w14:textId="77777777" w:rsidR="008829AB" w:rsidRPr="0096256F" w:rsidRDefault="008829AB" w:rsidP="005C4B00">
            <w:pPr>
              <w:spacing w:line="240" w:lineRule="auto"/>
              <w:rPr>
                <w:rFonts w:ascii="Calibri" w:eastAsia="Times New Roman" w:hAnsi="Calibri" w:cs="Calibri"/>
                <w:color w:val="000000"/>
                <w:sz w:val="16"/>
                <w:szCs w:val="16"/>
              </w:rPr>
            </w:pPr>
            <w:r w:rsidRPr="0096256F">
              <w:rPr>
                <w:rFonts w:ascii="Calibri" w:eastAsia="Times New Roman" w:hAnsi="Calibri" w:cs="Calibri"/>
                <w:color w:val="000000"/>
                <w:sz w:val="16"/>
                <w:szCs w:val="16"/>
              </w:rPr>
              <w:t>3 ή και περισσότερες καθυστερημένες οφειλές</w:t>
            </w:r>
          </w:p>
        </w:tc>
        <w:tc>
          <w:tcPr>
            <w:tcW w:w="488" w:type="pct"/>
            <w:tcBorders>
              <w:top w:val="nil"/>
              <w:left w:val="nil"/>
              <w:bottom w:val="single" w:sz="4" w:space="0" w:color="auto"/>
              <w:right w:val="single" w:sz="4" w:space="0" w:color="auto"/>
            </w:tcBorders>
            <w:shd w:val="clear" w:color="auto" w:fill="auto"/>
            <w:noWrap/>
            <w:hideMark/>
          </w:tcPr>
          <w:p w14:paraId="4B9221F4" w14:textId="28F82F3A"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11,27</w:t>
            </w:r>
            <w:r w:rsidR="008829AB" w:rsidRPr="008829AB">
              <w:rPr>
                <w:sz w:val="20"/>
                <w:szCs w:val="20"/>
              </w:rPr>
              <w:t>%</w:t>
            </w:r>
          </w:p>
        </w:tc>
        <w:tc>
          <w:tcPr>
            <w:tcW w:w="501" w:type="pct"/>
            <w:tcBorders>
              <w:top w:val="nil"/>
              <w:left w:val="nil"/>
              <w:bottom w:val="single" w:sz="4" w:space="0" w:color="auto"/>
              <w:right w:val="single" w:sz="4" w:space="0" w:color="auto"/>
            </w:tcBorders>
            <w:shd w:val="clear" w:color="auto" w:fill="auto"/>
            <w:noWrap/>
            <w:hideMark/>
          </w:tcPr>
          <w:p w14:paraId="402D5B91" w14:textId="2AF4571B"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10</w:t>
            </w:r>
            <w:r w:rsidR="008829AB"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71E9FEC" w14:textId="62EB9642"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8,77</w:t>
            </w:r>
            <w:r w:rsidR="008829AB"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5CE9D6D5" w14:textId="511A845B"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7,94</w:t>
            </w:r>
            <w:r w:rsidR="008829AB" w:rsidRPr="008829AB">
              <w:rPr>
                <w:sz w:val="20"/>
                <w:szCs w:val="20"/>
              </w:rPr>
              <w:t>%</w:t>
            </w:r>
          </w:p>
        </w:tc>
        <w:tc>
          <w:tcPr>
            <w:tcW w:w="449" w:type="pct"/>
            <w:tcBorders>
              <w:top w:val="nil"/>
              <w:left w:val="nil"/>
              <w:bottom w:val="single" w:sz="4" w:space="0" w:color="auto"/>
              <w:right w:val="single" w:sz="4" w:space="0" w:color="auto"/>
            </w:tcBorders>
            <w:shd w:val="clear" w:color="auto" w:fill="auto"/>
            <w:noWrap/>
            <w:hideMark/>
          </w:tcPr>
          <w:p w14:paraId="11E388C4" w14:textId="27CC28E6"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10,</w:t>
            </w:r>
            <w:r w:rsidR="00772812">
              <w:rPr>
                <w:sz w:val="20"/>
                <w:szCs w:val="20"/>
              </w:rPr>
              <w:t>92</w:t>
            </w:r>
            <w:r w:rsidRPr="008829AB">
              <w:rPr>
                <w:sz w:val="20"/>
                <w:szCs w:val="20"/>
              </w:rPr>
              <w:t>%</w:t>
            </w:r>
          </w:p>
        </w:tc>
        <w:tc>
          <w:tcPr>
            <w:tcW w:w="450" w:type="pct"/>
            <w:tcBorders>
              <w:top w:val="nil"/>
              <w:left w:val="nil"/>
              <w:bottom w:val="single" w:sz="4" w:space="0" w:color="auto"/>
              <w:right w:val="single" w:sz="4" w:space="0" w:color="auto"/>
            </w:tcBorders>
            <w:shd w:val="clear" w:color="auto" w:fill="auto"/>
            <w:noWrap/>
            <w:hideMark/>
          </w:tcPr>
          <w:p w14:paraId="61028372" w14:textId="5AA91FC4" w:rsidR="008829AB" w:rsidRPr="008829AB" w:rsidRDefault="008829AB" w:rsidP="005C4B00">
            <w:pPr>
              <w:spacing w:line="240" w:lineRule="auto"/>
              <w:jc w:val="center"/>
              <w:rPr>
                <w:rFonts w:ascii="Calibri" w:eastAsia="Times New Roman" w:hAnsi="Calibri" w:cs="Calibri"/>
                <w:color w:val="000000"/>
                <w:sz w:val="20"/>
                <w:szCs w:val="20"/>
              </w:rPr>
            </w:pPr>
            <w:r w:rsidRPr="008829AB">
              <w:rPr>
                <w:sz w:val="20"/>
                <w:szCs w:val="20"/>
              </w:rPr>
              <w:t>9,</w:t>
            </w:r>
            <w:r w:rsidR="00772812">
              <w:rPr>
                <w:sz w:val="20"/>
                <w:szCs w:val="20"/>
              </w:rPr>
              <w:t>26</w:t>
            </w:r>
            <w:r w:rsidRPr="008829AB">
              <w:rPr>
                <w:sz w:val="20"/>
                <w:szCs w:val="20"/>
              </w:rPr>
              <w:t>%</w:t>
            </w:r>
          </w:p>
        </w:tc>
        <w:tc>
          <w:tcPr>
            <w:tcW w:w="453" w:type="pct"/>
            <w:tcBorders>
              <w:top w:val="nil"/>
              <w:left w:val="nil"/>
              <w:bottom w:val="single" w:sz="4" w:space="0" w:color="auto"/>
              <w:right w:val="single" w:sz="4" w:space="0" w:color="auto"/>
            </w:tcBorders>
            <w:shd w:val="clear" w:color="auto" w:fill="auto"/>
            <w:noWrap/>
            <w:hideMark/>
          </w:tcPr>
          <w:p w14:paraId="387987C1" w14:textId="3A9333D0" w:rsidR="008829AB" w:rsidRPr="008829AB" w:rsidRDefault="00772812" w:rsidP="005C4B00">
            <w:pPr>
              <w:spacing w:line="240" w:lineRule="auto"/>
              <w:jc w:val="center"/>
              <w:rPr>
                <w:rFonts w:ascii="Calibri" w:eastAsia="Times New Roman" w:hAnsi="Calibri" w:cs="Calibri"/>
                <w:color w:val="000000"/>
                <w:sz w:val="20"/>
                <w:szCs w:val="20"/>
              </w:rPr>
            </w:pPr>
            <w:r>
              <w:rPr>
                <w:sz w:val="20"/>
                <w:szCs w:val="20"/>
              </w:rPr>
              <w:t>11</w:t>
            </w:r>
            <w:r w:rsidR="008829AB" w:rsidRPr="008829AB">
              <w:rPr>
                <w:sz w:val="20"/>
                <w:szCs w:val="20"/>
              </w:rPr>
              <w:t>,</w:t>
            </w:r>
            <w:r>
              <w:rPr>
                <w:sz w:val="20"/>
                <w:szCs w:val="20"/>
              </w:rPr>
              <w:t>17</w:t>
            </w:r>
            <w:r w:rsidR="008829AB" w:rsidRPr="008829AB">
              <w:rPr>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959BAB3" w14:textId="1CF4CD93" w:rsidR="008829AB" w:rsidRPr="008829AB" w:rsidRDefault="00772812" w:rsidP="005C4B00">
            <w:pPr>
              <w:spacing w:line="240" w:lineRule="auto"/>
              <w:jc w:val="center"/>
              <w:rPr>
                <w:rFonts w:ascii="Calibri" w:eastAsia="Times New Roman" w:hAnsi="Calibri" w:cs="Calibri"/>
                <w:color w:val="000000"/>
                <w:sz w:val="20"/>
                <w:szCs w:val="20"/>
              </w:rPr>
            </w:pPr>
            <w:r>
              <w:rPr>
                <w:sz w:val="20"/>
                <w:szCs w:val="20"/>
              </w:rPr>
              <w:t>8,49</w:t>
            </w:r>
            <w:r w:rsidR="008829AB" w:rsidRPr="008829AB">
              <w:rPr>
                <w:sz w:val="20"/>
                <w:szCs w:val="20"/>
              </w:rPr>
              <w:t>%</w:t>
            </w:r>
          </w:p>
        </w:tc>
        <w:tc>
          <w:tcPr>
            <w:tcW w:w="497" w:type="pct"/>
            <w:tcBorders>
              <w:top w:val="nil"/>
              <w:left w:val="nil"/>
              <w:bottom w:val="single" w:sz="4" w:space="0" w:color="auto"/>
              <w:right w:val="single" w:sz="4" w:space="0" w:color="auto"/>
            </w:tcBorders>
            <w:shd w:val="clear" w:color="auto" w:fill="auto"/>
            <w:noWrap/>
            <w:hideMark/>
          </w:tcPr>
          <w:p w14:paraId="725C38B8" w14:textId="103D5B05" w:rsidR="008829AB" w:rsidRPr="008829AB" w:rsidRDefault="007F4C64" w:rsidP="005C4B00">
            <w:pPr>
              <w:spacing w:line="240" w:lineRule="auto"/>
              <w:jc w:val="center"/>
              <w:rPr>
                <w:rFonts w:ascii="Calibri" w:eastAsia="Times New Roman" w:hAnsi="Calibri" w:cs="Calibri"/>
                <w:color w:val="000000"/>
                <w:sz w:val="20"/>
                <w:szCs w:val="20"/>
              </w:rPr>
            </w:pPr>
            <w:r>
              <w:rPr>
                <w:sz w:val="20"/>
                <w:szCs w:val="20"/>
              </w:rPr>
              <w:t>21,43</w:t>
            </w:r>
            <w:r w:rsidR="008829AB" w:rsidRPr="008829AB">
              <w:rPr>
                <w:sz w:val="20"/>
                <w:szCs w:val="20"/>
              </w:rPr>
              <w:t>%</w:t>
            </w:r>
          </w:p>
        </w:tc>
      </w:tr>
    </w:tbl>
    <w:p w14:paraId="25BFE425" w14:textId="77777777" w:rsidR="00CC423E" w:rsidRPr="006043B9" w:rsidRDefault="00CC423E" w:rsidP="00700BFC">
      <w:pPr>
        <w:spacing w:after="0" w:line="360" w:lineRule="auto"/>
        <w:jc w:val="both"/>
        <w:rPr>
          <w:rFonts w:eastAsia="Times New Roman" w:cstheme="minorHAnsi"/>
          <w:sz w:val="24"/>
          <w:szCs w:val="24"/>
          <w:highlight w:val="yellow"/>
        </w:rPr>
      </w:pPr>
    </w:p>
    <w:p w14:paraId="4229B09B" w14:textId="77777777"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 xml:space="preserve">Όσον αφορά την κάθε κατηγορία υποχρεώσεων, τα ευρήματα της έρευνας είναι τα εξής: </w:t>
      </w:r>
    </w:p>
    <w:p w14:paraId="54690F3C" w14:textId="1E242F9A"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1</w:t>
      </w:r>
      <w:r w:rsidR="0018338E">
        <w:rPr>
          <w:rFonts w:eastAsia="Times New Roman" w:cstheme="minorHAnsi"/>
          <w:sz w:val="24"/>
          <w:szCs w:val="24"/>
        </w:rPr>
        <w:t>3,9</w:t>
      </w:r>
      <w:r w:rsidRPr="008829AB">
        <w:rPr>
          <w:rFonts w:eastAsia="Times New Roman" w:cstheme="minorHAnsi"/>
          <w:sz w:val="24"/>
          <w:szCs w:val="24"/>
        </w:rPr>
        <w:t>% των μικρών και πολύ μικρών επιχειρήσεων δήλωσε πως έχει ληξιπρόθεσμες οφειλές προς τον πρώην ΟΑΕΕ,</w:t>
      </w:r>
    </w:p>
    <w:p w14:paraId="5D7A6456" w14:textId="627D60D0"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 xml:space="preserve">το </w:t>
      </w:r>
      <w:r w:rsidR="0018338E">
        <w:rPr>
          <w:rFonts w:eastAsia="Times New Roman" w:cstheme="minorHAnsi"/>
          <w:sz w:val="24"/>
          <w:szCs w:val="24"/>
        </w:rPr>
        <w:t>7,7</w:t>
      </w:r>
      <w:r w:rsidRPr="008829AB">
        <w:rPr>
          <w:rFonts w:eastAsia="Times New Roman" w:cstheme="minorHAnsi"/>
          <w:sz w:val="24"/>
          <w:szCs w:val="24"/>
        </w:rPr>
        <w:t>% δήλωσε πως έχει ληξιπρόθεσμες οφειλές σε λογαριασμούς ενέργειας,</w:t>
      </w:r>
    </w:p>
    <w:p w14:paraId="3B681487" w14:textId="2C21ACBF"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1</w:t>
      </w:r>
      <w:r w:rsidR="0018338E">
        <w:rPr>
          <w:rFonts w:eastAsia="Times New Roman" w:cstheme="minorHAnsi"/>
          <w:sz w:val="24"/>
          <w:szCs w:val="24"/>
        </w:rPr>
        <w:t>1,8</w:t>
      </w:r>
      <w:r w:rsidRPr="008829AB">
        <w:rPr>
          <w:rFonts w:eastAsia="Times New Roman" w:cstheme="minorHAnsi"/>
          <w:sz w:val="24"/>
          <w:szCs w:val="24"/>
        </w:rPr>
        <w:t>% δήλωσε πως έχει ληξιπρόθεσμες οφειλές προς προμηθευτές,</w:t>
      </w:r>
    </w:p>
    <w:p w14:paraId="22E85E5B" w14:textId="3D72AB3A"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 xml:space="preserve">το </w:t>
      </w:r>
      <w:r w:rsidR="0018338E">
        <w:rPr>
          <w:rFonts w:eastAsia="Times New Roman" w:cstheme="minorHAnsi"/>
          <w:sz w:val="24"/>
          <w:szCs w:val="24"/>
        </w:rPr>
        <w:t>12,7</w:t>
      </w:r>
      <w:r w:rsidRPr="008829AB">
        <w:rPr>
          <w:rFonts w:eastAsia="Times New Roman" w:cstheme="minorHAnsi"/>
          <w:sz w:val="24"/>
          <w:szCs w:val="24"/>
        </w:rPr>
        <w:t>% δήλωσε πως έχει ληξιπρόθεσμες οφειλές προς την εφορία,</w:t>
      </w:r>
    </w:p>
    <w:p w14:paraId="47787E55" w14:textId="31ACB899"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 xml:space="preserve">το </w:t>
      </w:r>
      <w:r w:rsidR="0018338E">
        <w:rPr>
          <w:rFonts w:eastAsia="Times New Roman" w:cstheme="minorHAnsi"/>
          <w:sz w:val="24"/>
          <w:szCs w:val="24"/>
        </w:rPr>
        <w:t>7,2</w:t>
      </w:r>
      <w:r w:rsidRPr="008829AB">
        <w:rPr>
          <w:rFonts w:eastAsia="Times New Roman" w:cstheme="minorHAnsi"/>
          <w:sz w:val="24"/>
          <w:szCs w:val="24"/>
        </w:rPr>
        <w:t>% δήλωσε πως έχει ληξιπρόθεσμες οφειλές ενοικίου</w:t>
      </w:r>
      <w:r w:rsidR="002F0FE4">
        <w:rPr>
          <w:rFonts w:eastAsia="Times New Roman" w:cstheme="minorHAnsi"/>
          <w:sz w:val="24"/>
          <w:szCs w:val="24"/>
        </w:rPr>
        <w:t>,</w:t>
      </w:r>
    </w:p>
    <w:p w14:paraId="74936256" w14:textId="22D62272"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r>
      <w:r w:rsidR="002F0FE4">
        <w:rPr>
          <w:rFonts w:eastAsia="Times New Roman" w:cstheme="minorHAnsi"/>
          <w:sz w:val="24"/>
          <w:szCs w:val="24"/>
        </w:rPr>
        <w:t>τ</w:t>
      </w:r>
      <w:r w:rsidRPr="008829AB">
        <w:rPr>
          <w:rFonts w:eastAsia="Times New Roman" w:cstheme="minorHAnsi"/>
          <w:sz w:val="24"/>
          <w:szCs w:val="24"/>
        </w:rPr>
        <w:t xml:space="preserve">ο </w:t>
      </w:r>
      <w:r w:rsidR="0018338E">
        <w:rPr>
          <w:rFonts w:eastAsia="Times New Roman" w:cstheme="minorHAnsi"/>
          <w:sz w:val="24"/>
          <w:szCs w:val="24"/>
        </w:rPr>
        <w:t>5,2</w:t>
      </w:r>
      <w:r w:rsidRPr="008829AB">
        <w:rPr>
          <w:rFonts w:eastAsia="Times New Roman" w:cstheme="minorHAnsi"/>
          <w:sz w:val="24"/>
          <w:szCs w:val="24"/>
        </w:rPr>
        <w:t>% δήλωσε πως έχει ληξιπρόθεσμες οφειλές σε λοιπούς λογαριασμούς (νερό, τηλεφωνία κ.λπ.),</w:t>
      </w:r>
    </w:p>
    <w:p w14:paraId="553066D1" w14:textId="50129A50"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lastRenderedPageBreak/>
        <w:t>•</w:t>
      </w:r>
      <w:r w:rsidRPr="008829AB">
        <w:rPr>
          <w:rFonts w:eastAsia="Times New Roman" w:cstheme="minorHAnsi"/>
          <w:sz w:val="24"/>
          <w:szCs w:val="24"/>
        </w:rPr>
        <w:tab/>
        <w:t xml:space="preserve">το </w:t>
      </w:r>
      <w:r w:rsidR="0018338E">
        <w:rPr>
          <w:rFonts w:eastAsia="Times New Roman" w:cstheme="minorHAnsi"/>
          <w:sz w:val="24"/>
          <w:szCs w:val="24"/>
        </w:rPr>
        <w:t>7</w:t>
      </w:r>
      <w:r w:rsidRPr="008829AB">
        <w:rPr>
          <w:rFonts w:eastAsia="Times New Roman" w:cstheme="minorHAnsi"/>
          <w:sz w:val="24"/>
          <w:szCs w:val="24"/>
        </w:rPr>
        <w:t>% δήλωσε πως έχει λη</w:t>
      </w:r>
      <w:r w:rsidR="0016123E">
        <w:rPr>
          <w:rFonts w:eastAsia="Times New Roman" w:cstheme="minorHAnsi"/>
          <w:sz w:val="24"/>
          <w:szCs w:val="24"/>
        </w:rPr>
        <w:t>ξιπρόθεσμες τραπεζικές οφειλές</w:t>
      </w:r>
      <w:r w:rsidR="002F0FE4">
        <w:rPr>
          <w:rFonts w:eastAsia="Times New Roman" w:cstheme="minorHAnsi"/>
          <w:sz w:val="24"/>
          <w:szCs w:val="24"/>
        </w:rPr>
        <w:t>,</w:t>
      </w:r>
    </w:p>
    <w:p w14:paraId="189CD7EC" w14:textId="3D753C38" w:rsid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r>
      <w:r w:rsidR="002F0FE4">
        <w:rPr>
          <w:rFonts w:eastAsia="Times New Roman" w:cstheme="minorHAnsi"/>
          <w:sz w:val="24"/>
          <w:szCs w:val="24"/>
        </w:rPr>
        <w:t>τ</w:t>
      </w:r>
      <w:r w:rsidRPr="008829AB">
        <w:rPr>
          <w:rFonts w:eastAsia="Times New Roman" w:cstheme="minorHAnsi"/>
          <w:sz w:val="24"/>
          <w:szCs w:val="24"/>
        </w:rPr>
        <w:t xml:space="preserve">ο </w:t>
      </w:r>
      <w:r w:rsidR="0018338E">
        <w:rPr>
          <w:rFonts w:eastAsia="Times New Roman" w:cstheme="minorHAnsi"/>
          <w:sz w:val="24"/>
          <w:szCs w:val="24"/>
        </w:rPr>
        <w:t>5,7</w:t>
      </w:r>
      <w:r w:rsidRPr="008829AB">
        <w:rPr>
          <w:rFonts w:eastAsia="Times New Roman" w:cstheme="minorHAnsi"/>
          <w:sz w:val="24"/>
          <w:szCs w:val="24"/>
        </w:rPr>
        <w:t>% δήλωσε πως έχει ληξιπρόθεσμες οφειλές προς το πρώην ΙΚΑ.</w:t>
      </w:r>
    </w:p>
    <w:p w14:paraId="41DA0456" w14:textId="56D68712" w:rsidR="00A1379D" w:rsidRPr="00A1379D" w:rsidRDefault="00A1379D" w:rsidP="00F17F6B">
      <w:pPr>
        <w:spacing w:after="0" w:line="240" w:lineRule="auto"/>
        <w:jc w:val="both"/>
        <w:rPr>
          <w:rFonts w:eastAsia="Times New Roman" w:cstheme="minorHAnsi"/>
          <w:b/>
          <w:bCs/>
          <w:sz w:val="24"/>
          <w:szCs w:val="24"/>
        </w:rPr>
      </w:pPr>
      <w:r>
        <w:rPr>
          <w:noProof/>
        </w:rPr>
        <w:drawing>
          <wp:inline distT="0" distB="0" distL="0" distR="0" wp14:anchorId="06F5495B" wp14:editId="78D6786B">
            <wp:extent cx="6286500" cy="3017520"/>
            <wp:effectExtent l="0" t="0" r="0" b="11430"/>
            <wp:docPr id="1033791767" name="Γράφημα 1">
              <a:extLst xmlns:a="http://schemas.openxmlformats.org/drawingml/2006/main">
                <a:ext uri="{FF2B5EF4-FFF2-40B4-BE49-F238E27FC236}">
                  <a16:creationId xmlns:a16="http://schemas.microsoft.com/office/drawing/2014/main"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8DA931A" w14:textId="558199CC" w:rsidR="00A1379D" w:rsidRDefault="00A1379D" w:rsidP="00F17F6B">
      <w:pPr>
        <w:spacing w:after="0" w:line="240" w:lineRule="auto"/>
        <w:jc w:val="both"/>
        <w:rPr>
          <w:rFonts w:eastAsia="Times New Roman" w:cstheme="minorHAnsi"/>
          <w:sz w:val="24"/>
          <w:szCs w:val="24"/>
        </w:rPr>
      </w:pPr>
      <w:r w:rsidRPr="00A1379D">
        <w:rPr>
          <w:rFonts w:eastAsia="Times New Roman" w:cstheme="minorHAnsi"/>
          <w:sz w:val="24"/>
          <w:szCs w:val="24"/>
        </w:rPr>
        <w:t>* Στο σύνολο των επιχειρήσεων</w:t>
      </w:r>
    </w:p>
    <w:p w14:paraId="1B32D5A0" w14:textId="77777777" w:rsidR="00A1379D" w:rsidRDefault="00A1379D" w:rsidP="00F17F6B">
      <w:pPr>
        <w:spacing w:after="0" w:line="240" w:lineRule="auto"/>
        <w:jc w:val="both"/>
        <w:rPr>
          <w:rFonts w:eastAsia="Times New Roman" w:cstheme="minorHAnsi"/>
          <w:sz w:val="24"/>
          <w:szCs w:val="24"/>
        </w:rPr>
      </w:pPr>
    </w:p>
    <w:p w14:paraId="30138585" w14:textId="68DF2D6C" w:rsidR="008829AB" w:rsidRPr="008829AB" w:rsidRDefault="008829AB" w:rsidP="0018338E">
      <w:pPr>
        <w:spacing w:after="0" w:line="240" w:lineRule="auto"/>
        <w:jc w:val="both"/>
        <w:rPr>
          <w:rFonts w:eastAsia="Times New Roman" w:cstheme="minorHAnsi"/>
          <w:sz w:val="24"/>
          <w:szCs w:val="24"/>
        </w:rPr>
      </w:pPr>
      <w:r w:rsidRPr="008829AB">
        <w:rPr>
          <w:rFonts w:eastAsia="Times New Roman" w:cstheme="minorHAnsi"/>
          <w:sz w:val="24"/>
          <w:szCs w:val="24"/>
        </w:rPr>
        <w:t>Όσον αφορά το ύψος των οφειλών των επιχειρήσεων</w:t>
      </w:r>
      <w:r w:rsidR="00F17F6B">
        <w:rPr>
          <w:rFonts w:eastAsia="Times New Roman" w:cstheme="minorHAnsi"/>
          <w:sz w:val="24"/>
          <w:szCs w:val="24"/>
        </w:rPr>
        <w:t xml:space="preserve"> που έχουν οφειλή/</w:t>
      </w:r>
      <w:proofErr w:type="spellStart"/>
      <w:r w:rsidR="00F17F6B">
        <w:rPr>
          <w:rFonts w:eastAsia="Times New Roman" w:cstheme="minorHAnsi"/>
          <w:sz w:val="24"/>
          <w:szCs w:val="24"/>
        </w:rPr>
        <w:t>ές</w:t>
      </w:r>
      <w:proofErr w:type="spellEnd"/>
      <w:r w:rsidR="00F17F6B">
        <w:rPr>
          <w:rFonts w:eastAsia="Times New Roman" w:cstheme="minorHAnsi"/>
          <w:sz w:val="24"/>
          <w:szCs w:val="24"/>
        </w:rPr>
        <w:t xml:space="preserve"> (Γράφημα </w:t>
      </w:r>
      <w:r w:rsidR="00537C1A">
        <w:rPr>
          <w:rFonts w:eastAsia="Times New Roman" w:cstheme="minorHAnsi"/>
          <w:sz w:val="24"/>
          <w:szCs w:val="24"/>
        </w:rPr>
        <w:t>2</w:t>
      </w:r>
      <w:r w:rsidR="00A1379D">
        <w:rPr>
          <w:rFonts w:eastAsia="Times New Roman" w:cstheme="minorHAnsi"/>
          <w:sz w:val="24"/>
          <w:szCs w:val="24"/>
        </w:rPr>
        <w:t>1</w:t>
      </w:r>
      <w:r w:rsidRPr="008829AB">
        <w:rPr>
          <w:rFonts w:eastAsia="Times New Roman" w:cstheme="minorHAnsi"/>
          <w:sz w:val="24"/>
          <w:szCs w:val="24"/>
        </w:rPr>
        <w:t>):</w:t>
      </w:r>
    </w:p>
    <w:p w14:paraId="77F60E5D" w14:textId="3AA2D116" w:rsidR="008829AB" w:rsidRPr="008829AB" w:rsidRDefault="008829AB" w:rsidP="008829AB">
      <w:pPr>
        <w:spacing w:after="0" w:line="360" w:lineRule="auto"/>
        <w:jc w:val="both"/>
        <w:rPr>
          <w:rFonts w:eastAsia="Times New Roman" w:cstheme="minorHAnsi"/>
          <w:sz w:val="24"/>
          <w:szCs w:val="24"/>
        </w:rPr>
      </w:pPr>
      <w:r>
        <w:rPr>
          <w:rFonts w:eastAsia="Times New Roman" w:cstheme="minorHAnsi"/>
          <w:sz w:val="24"/>
          <w:szCs w:val="24"/>
        </w:rPr>
        <w:t>•</w:t>
      </w:r>
      <w:r>
        <w:rPr>
          <w:rFonts w:eastAsia="Times New Roman" w:cstheme="minorHAnsi"/>
          <w:sz w:val="24"/>
          <w:szCs w:val="24"/>
        </w:rPr>
        <w:tab/>
        <w:t xml:space="preserve">το </w:t>
      </w:r>
      <w:r w:rsidR="0018338E">
        <w:rPr>
          <w:rFonts w:eastAsia="Times New Roman" w:cstheme="minorHAnsi"/>
          <w:sz w:val="24"/>
          <w:szCs w:val="24"/>
        </w:rPr>
        <w:t>43,1</w:t>
      </w:r>
      <w:r w:rsidRPr="008829AB">
        <w:rPr>
          <w:rFonts w:eastAsia="Times New Roman" w:cstheme="minorHAnsi"/>
          <w:sz w:val="24"/>
          <w:szCs w:val="24"/>
        </w:rPr>
        <w:t xml:space="preserve">% έχει καθυστερημένες υποχρεώσεις έως 10.000 €, </w:t>
      </w:r>
    </w:p>
    <w:p w14:paraId="3591F7D4" w14:textId="0C3C8025"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1</w:t>
      </w:r>
      <w:r w:rsidR="0018338E">
        <w:rPr>
          <w:rFonts w:eastAsia="Times New Roman" w:cstheme="minorHAnsi"/>
          <w:sz w:val="24"/>
          <w:szCs w:val="24"/>
        </w:rPr>
        <w:t>2,9</w:t>
      </w:r>
      <w:r w:rsidRPr="008829AB">
        <w:rPr>
          <w:rFonts w:eastAsia="Times New Roman" w:cstheme="minorHAnsi"/>
          <w:sz w:val="24"/>
          <w:szCs w:val="24"/>
        </w:rPr>
        <w:t>% από 10.001 έως 20.000 €</w:t>
      </w:r>
      <w:r w:rsidR="002F0FE4">
        <w:rPr>
          <w:rFonts w:eastAsia="Times New Roman" w:cstheme="minorHAnsi"/>
          <w:sz w:val="24"/>
          <w:szCs w:val="24"/>
        </w:rPr>
        <w:t>,</w:t>
      </w:r>
    </w:p>
    <w:p w14:paraId="3BDD4506" w14:textId="6BD4313D"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το 14,</w:t>
      </w:r>
      <w:r w:rsidR="0018338E">
        <w:rPr>
          <w:rFonts w:eastAsia="Times New Roman" w:cstheme="minorHAnsi"/>
          <w:sz w:val="24"/>
          <w:szCs w:val="24"/>
        </w:rPr>
        <w:t>1</w:t>
      </w:r>
      <w:r w:rsidRPr="008829AB">
        <w:rPr>
          <w:rFonts w:eastAsia="Times New Roman" w:cstheme="minorHAnsi"/>
          <w:sz w:val="24"/>
          <w:szCs w:val="24"/>
        </w:rPr>
        <w:t>% από 20.001 έως 50.000 €</w:t>
      </w:r>
      <w:r w:rsidR="002F0FE4">
        <w:rPr>
          <w:rFonts w:eastAsia="Times New Roman" w:cstheme="minorHAnsi"/>
          <w:sz w:val="24"/>
          <w:szCs w:val="24"/>
        </w:rPr>
        <w:t>,</w:t>
      </w:r>
    </w:p>
    <w:p w14:paraId="32ADDC2F" w14:textId="4D4CD727" w:rsidR="008829AB" w:rsidRP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 xml:space="preserve">το </w:t>
      </w:r>
      <w:r w:rsidR="0018338E">
        <w:rPr>
          <w:rFonts w:eastAsia="Times New Roman" w:cstheme="minorHAnsi"/>
          <w:sz w:val="24"/>
          <w:szCs w:val="24"/>
        </w:rPr>
        <w:t>7,5</w:t>
      </w:r>
      <w:r w:rsidRPr="008829AB">
        <w:rPr>
          <w:rFonts w:eastAsia="Times New Roman" w:cstheme="minorHAnsi"/>
          <w:sz w:val="24"/>
          <w:szCs w:val="24"/>
        </w:rPr>
        <w:t>% από 50.001 έως 100.000 €</w:t>
      </w:r>
      <w:r w:rsidR="002F0FE4">
        <w:rPr>
          <w:rFonts w:eastAsia="Times New Roman" w:cstheme="minorHAnsi"/>
          <w:sz w:val="24"/>
          <w:szCs w:val="24"/>
        </w:rPr>
        <w:t>, και</w:t>
      </w:r>
    </w:p>
    <w:p w14:paraId="52E4CB38" w14:textId="15EAF34B" w:rsidR="008829AB" w:rsidRDefault="008829AB" w:rsidP="008829AB">
      <w:pPr>
        <w:spacing w:after="0" w:line="360" w:lineRule="auto"/>
        <w:jc w:val="both"/>
        <w:rPr>
          <w:rFonts w:eastAsia="Times New Roman" w:cstheme="minorHAnsi"/>
          <w:sz w:val="24"/>
          <w:szCs w:val="24"/>
        </w:rPr>
      </w:pPr>
      <w:r w:rsidRPr="008829AB">
        <w:rPr>
          <w:rFonts w:eastAsia="Times New Roman" w:cstheme="minorHAnsi"/>
          <w:sz w:val="24"/>
          <w:szCs w:val="24"/>
        </w:rPr>
        <w:t>•</w:t>
      </w:r>
      <w:r w:rsidRPr="008829AB">
        <w:rPr>
          <w:rFonts w:eastAsia="Times New Roman" w:cstheme="minorHAnsi"/>
          <w:sz w:val="24"/>
          <w:szCs w:val="24"/>
        </w:rPr>
        <w:tab/>
        <w:t xml:space="preserve">το </w:t>
      </w:r>
      <w:r w:rsidR="0018338E">
        <w:rPr>
          <w:rFonts w:eastAsia="Times New Roman" w:cstheme="minorHAnsi"/>
          <w:sz w:val="24"/>
          <w:szCs w:val="24"/>
        </w:rPr>
        <w:t>7</w:t>
      </w:r>
      <w:r w:rsidRPr="008829AB">
        <w:rPr>
          <w:rFonts w:eastAsia="Times New Roman" w:cstheme="minorHAnsi"/>
          <w:sz w:val="24"/>
          <w:szCs w:val="24"/>
        </w:rPr>
        <w:t>,9% πάνω από 100.000 €</w:t>
      </w:r>
      <w:r w:rsidR="002F0FE4">
        <w:rPr>
          <w:rFonts w:eastAsia="Times New Roman" w:cstheme="minorHAnsi"/>
          <w:sz w:val="24"/>
          <w:szCs w:val="24"/>
        </w:rPr>
        <w:t>.</w:t>
      </w:r>
    </w:p>
    <w:p w14:paraId="288D06D5" w14:textId="77777777" w:rsidR="00033B51" w:rsidRDefault="00033B51" w:rsidP="0016123E">
      <w:pPr>
        <w:spacing w:after="0" w:line="360" w:lineRule="auto"/>
        <w:jc w:val="both"/>
        <w:rPr>
          <w:rFonts w:eastAsia="Times New Roman" w:cstheme="minorHAnsi"/>
          <w:b/>
          <w:bCs/>
          <w:sz w:val="24"/>
          <w:szCs w:val="24"/>
        </w:rPr>
      </w:pPr>
    </w:p>
    <w:p w14:paraId="0BFF83BC" w14:textId="083AE550" w:rsidR="00A1379D" w:rsidRDefault="00A1379D" w:rsidP="0016123E">
      <w:pPr>
        <w:spacing w:after="0" w:line="360" w:lineRule="auto"/>
        <w:jc w:val="both"/>
        <w:rPr>
          <w:sz w:val="24"/>
          <w:szCs w:val="24"/>
        </w:rPr>
      </w:pPr>
      <w:r>
        <w:rPr>
          <w:noProof/>
        </w:rPr>
        <w:lastRenderedPageBreak/>
        <w:drawing>
          <wp:inline distT="0" distB="0" distL="0" distR="0" wp14:anchorId="567BD9F8" wp14:editId="6865E9DD">
            <wp:extent cx="6419850" cy="3733800"/>
            <wp:effectExtent l="0" t="0" r="0" b="0"/>
            <wp:docPr id="1250784297" name="Γράφημα 1">
              <a:extLst xmlns:a="http://schemas.openxmlformats.org/drawingml/2006/main">
                <a:ext uri="{FF2B5EF4-FFF2-40B4-BE49-F238E27FC236}">
                  <a16:creationId xmlns:a16="http://schemas.microsoft.com/office/drawing/2014/main"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89BABC" w14:textId="66DA48B5" w:rsidR="00F17F6B" w:rsidRDefault="0016123E" w:rsidP="0016123E">
      <w:pPr>
        <w:spacing w:after="0" w:line="360" w:lineRule="auto"/>
        <w:jc w:val="both"/>
        <w:rPr>
          <w:sz w:val="24"/>
          <w:szCs w:val="24"/>
        </w:rPr>
      </w:pPr>
      <w:r w:rsidRPr="0016123E">
        <w:rPr>
          <w:sz w:val="24"/>
          <w:szCs w:val="24"/>
        </w:rPr>
        <w:t>Σε ό</w:t>
      </w:r>
      <w:r w:rsidR="001C30A7">
        <w:rPr>
          <w:sz w:val="24"/>
          <w:szCs w:val="24"/>
        </w:rPr>
        <w:t>,</w:t>
      </w:r>
      <w:r w:rsidRPr="0016123E">
        <w:rPr>
          <w:sz w:val="24"/>
          <w:szCs w:val="24"/>
        </w:rPr>
        <w:t>τι αφορά τις</w:t>
      </w:r>
      <w:r w:rsidR="00EE3DCA">
        <w:rPr>
          <w:sz w:val="24"/>
          <w:szCs w:val="24"/>
        </w:rPr>
        <w:t xml:space="preserve"> </w:t>
      </w:r>
      <w:r w:rsidRPr="0016123E">
        <w:rPr>
          <w:sz w:val="24"/>
          <w:szCs w:val="24"/>
        </w:rPr>
        <w:t>προβλέψεις</w:t>
      </w:r>
      <w:r w:rsidR="00EE3DCA">
        <w:rPr>
          <w:sz w:val="24"/>
          <w:szCs w:val="24"/>
        </w:rPr>
        <w:t xml:space="preserve"> </w:t>
      </w:r>
      <w:r w:rsidRPr="0016123E">
        <w:rPr>
          <w:sz w:val="24"/>
          <w:szCs w:val="24"/>
        </w:rPr>
        <w:t>των επιχειρήσεων σε σχέση με τη δυνατότητά</w:t>
      </w:r>
      <w:r w:rsidR="00EE3DCA">
        <w:rPr>
          <w:sz w:val="24"/>
          <w:szCs w:val="24"/>
        </w:rPr>
        <w:t xml:space="preserve"> </w:t>
      </w:r>
      <w:r w:rsidRPr="0016123E">
        <w:rPr>
          <w:sz w:val="24"/>
          <w:szCs w:val="24"/>
        </w:rPr>
        <w:t>τους</w:t>
      </w:r>
      <w:r w:rsidR="00EE3DCA">
        <w:rPr>
          <w:sz w:val="24"/>
          <w:szCs w:val="24"/>
        </w:rPr>
        <w:t xml:space="preserve"> </w:t>
      </w:r>
      <w:r w:rsidRPr="0016123E">
        <w:rPr>
          <w:sz w:val="24"/>
          <w:szCs w:val="24"/>
        </w:rPr>
        <w:t>να α</w:t>
      </w:r>
      <w:r w:rsidR="00F17F6B">
        <w:rPr>
          <w:sz w:val="24"/>
          <w:szCs w:val="24"/>
        </w:rPr>
        <w:t>νταποκριθούν στις</w:t>
      </w:r>
      <w:r w:rsidR="00EE3DCA">
        <w:rPr>
          <w:sz w:val="24"/>
          <w:szCs w:val="24"/>
        </w:rPr>
        <w:t xml:space="preserve"> </w:t>
      </w:r>
      <w:r w:rsidR="00F17F6B">
        <w:rPr>
          <w:sz w:val="24"/>
          <w:szCs w:val="24"/>
        </w:rPr>
        <w:t xml:space="preserve">υποχρεώσεις </w:t>
      </w:r>
      <w:r w:rsidR="00537C1A">
        <w:rPr>
          <w:sz w:val="24"/>
          <w:szCs w:val="24"/>
        </w:rPr>
        <w:t>τους,</w:t>
      </w:r>
      <w:r w:rsidR="00F17F6B">
        <w:rPr>
          <w:sz w:val="24"/>
          <w:szCs w:val="24"/>
        </w:rPr>
        <w:t xml:space="preserve"> το πρώτο</w:t>
      </w:r>
      <w:r w:rsidRPr="0016123E">
        <w:rPr>
          <w:sz w:val="24"/>
          <w:szCs w:val="24"/>
        </w:rPr>
        <w:t xml:space="preserve"> εξάμηνο</w:t>
      </w:r>
      <w:r w:rsidR="00F17F6B">
        <w:rPr>
          <w:sz w:val="24"/>
          <w:szCs w:val="24"/>
        </w:rPr>
        <w:t xml:space="preserve"> του 2024 προκύπτει ότι:</w:t>
      </w:r>
    </w:p>
    <w:p w14:paraId="3B8613E5" w14:textId="0F165CB1" w:rsidR="00F17F6B" w:rsidRDefault="0016123E" w:rsidP="00F17F6B">
      <w:pPr>
        <w:pStyle w:val="a3"/>
        <w:numPr>
          <w:ilvl w:val="0"/>
          <w:numId w:val="18"/>
        </w:numPr>
        <w:spacing w:after="0" w:line="360" w:lineRule="auto"/>
        <w:jc w:val="both"/>
        <w:rPr>
          <w:sz w:val="24"/>
          <w:szCs w:val="24"/>
        </w:rPr>
      </w:pPr>
      <w:r w:rsidRPr="00F17F6B">
        <w:rPr>
          <w:sz w:val="24"/>
          <w:szCs w:val="24"/>
        </w:rPr>
        <w:t xml:space="preserve">το </w:t>
      </w:r>
      <w:r w:rsidR="00B270D3">
        <w:rPr>
          <w:sz w:val="24"/>
          <w:szCs w:val="24"/>
        </w:rPr>
        <w:t>13,3</w:t>
      </w:r>
      <w:r w:rsidRPr="00F17F6B">
        <w:rPr>
          <w:sz w:val="24"/>
          <w:szCs w:val="24"/>
        </w:rPr>
        <w:t xml:space="preserve">% των επιχειρήσεων </w:t>
      </w:r>
      <w:r w:rsidR="00F17F6B">
        <w:rPr>
          <w:sz w:val="24"/>
          <w:szCs w:val="24"/>
        </w:rPr>
        <w:t>δήλωσε</w:t>
      </w:r>
      <w:r w:rsidRPr="00F17F6B">
        <w:rPr>
          <w:sz w:val="24"/>
          <w:szCs w:val="24"/>
        </w:rPr>
        <w:t xml:space="preserve"> ότι </w:t>
      </w:r>
      <w:r w:rsidR="00F17F6B" w:rsidRPr="00F17F6B">
        <w:rPr>
          <w:sz w:val="24"/>
          <w:szCs w:val="24"/>
        </w:rPr>
        <w:t>δεν θα μπορέσει</w:t>
      </w:r>
      <w:r w:rsidRPr="00F17F6B">
        <w:rPr>
          <w:sz w:val="24"/>
          <w:szCs w:val="24"/>
        </w:rPr>
        <w:t xml:space="preserve"> να ανταποκριθεί </w:t>
      </w:r>
      <w:r w:rsidR="00D85FA9">
        <w:rPr>
          <w:sz w:val="24"/>
          <w:szCs w:val="24"/>
        </w:rPr>
        <w:t>στις υποχρεώσεις του προς τον πρώην ΟΑΕΕ</w:t>
      </w:r>
      <w:r w:rsidR="00FD21B8">
        <w:rPr>
          <w:sz w:val="24"/>
          <w:szCs w:val="24"/>
        </w:rPr>
        <w:t>,</w:t>
      </w:r>
    </w:p>
    <w:p w14:paraId="4F14D982" w14:textId="40BBE7C6" w:rsidR="00D85FA9" w:rsidRPr="00A1379D" w:rsidRDefault="00F17F6B" w:rsidP="0016123E">
      <w:pPr>
        <w:pStyle w:val="a3"/>
        <w:numPr>
          <w:ilvl w:val="0"/>
          <w:numId w:val="18"/>
        </w:numPr>
        <w:spacing w:after="0" w:line="360" w:lineRule="auto"/>
        <w:jc w:val="both"/>
        <w:rPr>
          <w:color w:val="000000" w:themeColor="text1"/>
          <w:sz w:val="24"/>
          <w:szCs w:val="24"/>
        </w:rPr>
      </w:pPr>
      <w:r w:rsidRPr="00A1379D">
        <w:rPr>
          <w:color w:val="000000" w:themeColor="text1"/>
          <w:sz w:val="24"/>
          <w:szCs w:val="24"/>
        </w:rPr>
        <w:t>τ</w:t>
      </w:r>
      <w:r w:rsidR="0016123E" w:rsidRPr="00A1379D">
        <w:rPr>
          <w:color w:val="000000" w:themeColor="text1"/>
          <w:sz w:val="24"/>
          <w:szCs w:val="24"/>
        </w:rPr>
        <w:t xml:space="preserve">ο </w:t>
      </w:r>
      <w:r w:rsidR="00B270D3" w:rsidRPr="00A1379D">
        <w:rPr>
          <w:color w:val="000000" w:themeColor="text1"/>
          <w:sz w:val="24"/>
          <w:szCs w:val="24"/>
        </w:rPr>
        <w:t>14,1</w:t>
      </w:r>
      <w:r w:rsidR="0016123E" w:rsidRPr="00A1379D">
        <w:rPr>
          <w:color w:val="000000" w:themeColor="text1"/>
          <w:sz w:val="24"/>
          <w:szCs w:val="24"/>
        </w:rPr>
        <w:t xml:space="preserve">% </w:t>
      </w:r>
      <w:r w:rsidRPr="00A1379D">
        <w:rPr>
          <w:color w:val="000000" w:themeColor="text1"/>
          <w:sz w:val="24"/>
          <w:szCs w:val="24"/>
        </w:rPr>
        <w:t>δεν θα μπορέσει</w:t>
      </w:r>
      <w:r w:rsidR="0016123E" w:rsidRPr="00A1379D">
        <w:rPr>
          <w:color w:val="000000" w:themeColor="text1"/>
          <w:sz w:val="24"/>
          <w:szCs w:val="24"/>
        </w:rPr>
        <w:t xml:space="preserve"> να ανταποκριθεί </w:t>
      </w:r>
      <w:r w:rsidR="00D85FA9" w:rsidRPr="00A1379D">
        <w:rPr>
          <w:color w:val="000000" w:themeColor="text1"/>
          <w:sz w:val="24"/>
          <w:szCs w:val="24"/>
        </w:rPr>
        <w:t>στις φορολογικές του υποχρεώσεις</w:t>
      </w:r>
      <w:r w:rsidR="00612E62" w:rsidRPr="00A1379D">
        <w:rPr>
          <w:color w:val="000000" w:themeColor="text1"/>
          <w:sz w:val="24"/>
          <w:szCs w:val="24"/>
        </w:rPr>
        <w:t>,</w:t>
      </w:r>
      <w:r w:rsidR="0016123E" w:rsidRPr="00A1379D">
        <w:rPr>
          <w:color w:val="000000" w:themeColor="text1"/>
          <w:sz w:val="24"/>
          <w:szCs w:val="24"/>
        </w:rPr>
        <w:t xml:space="preserve"> </w:t>
      </w:r>
    </w:p>
    <w:p w14:paraId="4A52D900" w14:textId="3986FAE4" w:rsidR="00D85FA9" w:rsidRPr="00A1379D" w:rsidRDefault="00D85FA9" w:rsidP="00D85FA9">
      <w:pPr>
        <w:pStyle w:val="a3"/>
        <w:numPr>
          <w:ilvl w:val="0"/>
          <w:numId w:val="18"/>
        </w:numPr>
        <w:spacing w:after="0" w:line="360" w:lineRule="auto"/>
        <w:jc w:val="both"/>
        <w:rPr>
          <w:color w:val="000000" w:themeColor="text1"/>
          <w:sz w:val="24"/>
          <w:szCs w:val="24"/>
        </w:rPr>
      </w:pPr>
      <w:r w:rsidRPr="00A1379D">
        <w:rPr>
          <w:color w:val="000000" w:themeColor="text1"/>
          <w:sz w:val="24"/>
          <w:szCs w:val="24"/>
        </w:rPr>
        <w:t xml:space="preserve">το </w:t>
      </w:r>
      <w:r w:rsidR="00B270D3" w:rsidRPr="00A1379D">
        <w:rPr>
          <w:color w:val="000000" w:themeColor="text1"/>
          <w:sz w:val="24"/>
          <w:szCs w:val="24"/>
        </w:rPr>
        <w:t>10,3</w:t>
      </w:r>
      <w:r w:rsidR="0016123E" w:rsidRPr="00A1379D">
        <w:rPr>
          <w:color w:val="000000" w:themeColor="text1"/>
          <w:sz w:val="24"/>
          <w:szCs w:val="24"/>
        </w:rPr>
        <w:t xml:space="preserve">% </w:t>
      </w:r>
      <w:r w:rsidRPr="00A1379D">
        <w:rPr>
          <w:color w:val="000000" w:themeColor="text1"/>
          <w:sz w:val="24"/>
          <w:szCs w:val="24"/>
        </w:rPr>
        <w:t>δεν θα μπορέσει να ανταποκριθεί στις υποχρεώσεις για λογαριασμούς ενέργειας</w:t>
      </w:r>
      <w:r w:rsidR="00612E62" w:rsidRPr="00A1379D">
        <w:rPr>
          <w:color w:val="000000" w:themeColor="text1"/>
          <w:sz w:val="24"/>
          <w:szCs w:val="24"/>
        </w:rPr>
        <w:t>,</w:t>
      </w:r>
    </w:p>
    <w:p w14:paraId="0322D897" w14:textId="38BC09B9" w:rsidR="00D85FA9" w:rsidRPr="00A1379D" w:rsidRDefault="00D85FA9" w:rsidP="00D85FA9">
      <w:pPr>
        <w:pStyle w:val="a3"/>
        <w:numPr>
          <w:ilvl w:val="0"/>
          <w:numId w:val="18"/>
        </w:numPr>
        <w:spacing w:after="0" w:line="360" w:lineRule="auto"/>
        <w:jc w:val="both"/>
        <w:rPr>
          <w:color w:val="000000" w:themeColor="text1"/>
          <w:sz w:val="24"/>
          <w:szCs w:val="24"/>
        </w:rPr>
      </w:pPr>
      <w:r w:rsidRPr="00A1379D">
        <w:rPr>
          <w:color w:val="000000" w:themeColor="text1"/>
          <w:sz w:val="24"/>
          <w:szCs w:val="24"/>
        </w:rPr>
        <w:t xml:space="preserve">το </w:t>
      </w:r>
      <w:r w:rsidR="00B270D3" w:rsidRPr="00A1379D">
        <w:rPr>
          <w:color w:val="000000" w:themeColor="text1"/>
          <w:sz w:val="24"/>
          <w:szCs w:val="24"/>
        </w:rPr>
        <w:t>12,5</w:t>
      </w:r>
      <w:r w:rsidRPr="00A1379D">
        <w:rPr>
          <w:color w:val="000000" w:themeColor="text1"/>
          <w:sz w:val="24"/>
          <w:szCs w:val="24"/>
        </w:rPr>
        <w:t>% δεν θα μπορέσει να ανταποκριθεί στις υποχρεώσεις ενοικίου</w:t>
      </w:r>
      <w:r w:rsidR="00612E62" w:rsidRPr="00A1379D">
        <w:rPr>
          <w:color w:val="000000" w:themeColor="text1"/>
          <w:sz w:val="24"/>
          <w:szCs w:val="24"/>
        </w:rPr>
        <w:t>,</w:t>
      </w:r>
    </w:p>
    <w:p w14:paraId="00B3FD2E" w14:textId="2F617814" w:rsidR="00D85FA9" w:rsidRPr="00A1379D" w:rsidRDefault="00D85FA9" w:rsidP="00D85FA9">
      <w:pPr>
        <w:pStyle w:val="a3"/>
        <w:numPr>
          <w:ilvl w:val="0"/>
          <w:numId w:val="18"/>
        </w:numPr>
        <w:spacing w:after="0" w:line="360" w:lineRule="auto"/>
        <w:jc w:val="both"/>
        <w:rPr>
          <w:color w:val="000000" w:themeColor="text1"/>
          <w:sz w:val="24"/>
          <w:szCs w:val="24"/>
        </w:rPr>
      </w:pPr>
      <w:r w:rsidRPr="00A1379D">
        <w:rPr>
          <w:color w:val="000000" w:themeColor="text1"/>
          <w:sz w:val="24"/>
          <w:szCs w:val="24"/>
        </w:rPr>
        <w:t xml:space="preserve">το </w:t>
      </w:r>
      <w:r w:rsidR="00B270D3" w:rsidRPr="00A1379D">
        <w:rPr>
          <w:color w:val="000000" w:themeColor="text1"/>
          <w:sz w:val="24"/>
          <w:szCs w:val="24"/>
        </w:rPr>
        <w:t>9,1</w:t>
      </w:r>
      <w:r w:rsidRPr="00A1379D">
        <w:rPr>
          <w:color w:val="000000" w:themeColor="text1"/>
          <w:sz w:val="24"/>
          <w:szCs w:val="24"/>
        </w:rPr>
        <w:t>% δεν θα μπορέσει να ανταποκριθεί στις υποχρεώσεις προς προμηθευτές</w:t>
      </w:r>
      <w:r w:rsidR="00612E62" w:rsidRPr="00A1379D">
        <w:rPr>
          <w:color w:val="000000" w:themeColor="text1"/>
          <w:sz w:val="24"/>
          <w:szCs w:val="24"/>
        </w:rPr>
        <w:t>,</w:t>
      </w:r>
    </w:p>
    <w:p w14:paraId="01BE4750" w14:textId="788C2EE0" w:rsidR="00D85FA9" w:rsidRPr="00A1379D" w:rsidRDefault="00D85FA9" w:rsidP="00D85FA9">
      <w:pPr>
        <w:pStyle w:val="a3"/>
        <w:numPr>
          <w:ilvl w:val="0"/>
          <w:numId w:val="18"/>
        </w:numPr>
        <w:spacing w:after="0" w:line="360" w:lineRule="auto"/>
        <w:jc w:val="both"/>
        <w:rPr>
          <w:color w:val="000000" w:themeColor="text1"/>
          <w:sz w:val="24"/>
          <w:szCs w:val="24"/>
        </w:rPr>
      </w:pPr>
      <w:r w:rsidRPr="00A1379D">
        <w:rPr>
          <w:color w:val="000000" w:themeColor="text1"/>
          <w:sz w:val="24"/>
          <w:szCs w:val="24"/>
        </w:rPr>
        <w:t xml:space="preserve">το </w:t>
      </w:r>
      <w:r w:rsidR="00B270D3" w:rsidRPr="00A1379D">
        <w:rPr>
          <w:color w:val="000000" w:themeColor="text1"/>
          <w:sz w:val="24"/>
          <w:szCs w:val="24"/>
        </w:rPr>
        <w:t>7,7</w:t>
      </w:r>
      <w:r w:rsidRPr="00A1379D">
        <w:rPr>
          <w:color w:val="000000" w:themeColor="text1"/>
          <w:sz w:val="24"/>
          <w:szCs w:val="24"/>
        </w:rPr>
        <w:t>% δεν θα μπορέσει να ανταποκριθεί στις υποχρεώσεις για λοιπούς λογαριασμούς</w:t>
      </w:r>
      <w:r w:rsidR="00612E62" w:rsidRPr="00A1379D">
        <w:rPr>
          <w:color w:val="000000" w:themeColor="text1"/>
          <w:sz w:val="24"/>
          <w:szCs w:val="24"/>
        </w:rPr>
        <w:t>,</w:t>
      </w:r>
    </w:p>
    <w:p w14:paraId="3B7ED977" w14:textId="28905CEC" w:rsidR="00D85FA9" w:rsidRPr="00A1379D" w:rsidRDefault="00D85FA9" w:rsidP="00D85FA9">
      <w:pPr>
        <w:pStyle w:val="a3"/>
        <w:numPr>
          <w:ilvl w:val="0"/>
          <w:numId w:val="18"/>
        </w:numPr>
        <w:spacing w:after="0" w:line="360" w:lineRule="auto"/>
        <w:jc w:val="both"/>
        <w:rPr>
          <w:color w:val="000000" w:themeColor="text1"/>
          <w:sz w:val="24"/>
          <w:szCs w:val="24"/>
        </w:rPr>
      </w:pPr>
      <w:r w:rsidRPr="00A1379D">
        <w:rPr>
          <w:color w:val="000000" w:themeColor="text1"/>
          <w:sz w:val="24"/>
          <w:szCs w:val="24"/>
        </w:rPr>
        <w:t xml:space="preserve">το </w:t>
      </w:r>
      <w:r w:rsidR="00B270D3" w:rsidRPr="00A1379D">
        <w:rPr>
          <w:color w:val="000000" w:themeColor="text1"/>
          <w:sz w:val="24"/>
          <w:szCs w:val="24"/>
        </w:rPr>
        <w:t>12,2</w:t>
      </w:r>
      <w:r w:rsidRPr="00A1379D">
        <w:rPr>
          <w:color w:val="000000" w:themeColor="text1"/>
          <w:sz w:val="24"/>
          <w:szCs w:val="24"/>
        </w:rPr>
        <w:t>% δεν θα μπορέσει να ανταποκριθεί στις τραπεζικές του υποχρεώσεις</w:t>
      </w:r>
      <w:r w:rsidR="00612E62" w:rsidRPr="00A1379D">
        <w:rPr>
          <w:color w:val="000000" w:themeColor="text1"/>
          <w:sz w:val="24"/>
          <w:szCs w:val="24"/>
        </w:rPr>
        <w:t>,</w:t>
      </w:r>
    </w:p>
    <w:p w14:paraId="5681A618" w14:textId="5CD344A4" w:rsidR="00D85FA9" w:rsidRPr="00A1379D" w:rsidRDefault="00D85FA9" w:rsidP="00D85FA9">
      <w:pPr>
        <w:pStyle w:val="a3"/>
        <w:numPr>
          <w:ilvl w:val="0"/>
          <w:numId w:val="18"/>
        </w:numPr>
        <w:spacing w:after="0" w:line="360" w:lineRule="auto"/>
        <w:jc w:val="both"/>
        <w:rPr>
          <w:color w:val="000000" w:themeColor="text1"/>
          <w:sz w:val="24"/>
          <w:szCs w:val="24"/>
        </w:rPr>
      </w:pPr>
      <w:r w:rsidRPr="00A1379D">
        <w:rPr>
          <w:color w:val="000000" w:themeColor="text1"/>
          <w:sz w:val="24"/>
          <w:szCs w:val="24"/>
        </w:rPr>
        <w:t xml:space="preserve">το </w:t>
      </w:r>
      <w:r w:rsidR="00B270D3" w:rsidRPr="00A1379D">
        <w:rPr>
          <w:color w:val="000000" w:themeColor="text1"/>
          <w:sz w:val="24"/>
          <w:szCs w:val="24"/>
        </w:rPr>
        <w:t>7,9</w:t>
      </w:r>
      <w:r w:rsidRPr="00A1379D">
        <w:rPr>
          <w:color w:val="000000" w:themeColor="text1"/>
          <w:sz w:val="24"/>
          <w:szCs w:val="24"/>
        </w:rPr>
        <w:t xml:space="preserve">% δεν θα μπορέσει να ανταποκριθεί στις υποχρεώσεις του προς το πρώην ΙΚΑ. </w:t>
      </w:r>
    </w:p>
    <w:p w14:paraId="754AE335" w14:textId="44DB84C0" w:rsidR="00A1379D" w:rsidRDefault="00A1379D" w:rsidP="00A1379D">
      <w:pPr>
        <w:spacing w:after="0" w:line="360" w:lineRule="auto"/>
        <w:jc w:val="both"/>
        <w:rPr>
          <w:sz w:val="24"/>
          <w:szCs w:val="24"/>
        </w:rPr>
      </w:pPr>
      <w:r>
        <w:rPr>
          <w:noProof/>
        </w:rPr>
        <w:lastRenderedPageBreak/>
        <w:drawing>
          <wp:inline distT="0" distB="0" distL="0" distR="0" wp14:anchorId="34808069" wp14:editId="579C20FF">
            <wp:extent cx="6179820" cy="2647950"/>
            <wp:effectExtent l="0" t="0" r="11430" b="0"/>
            <wp:docPr id="529885606" name="Γράφημα 1">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5BB916D" w14:textId="6861A9E8" w:rsidR="00A1379D" w:rsidRPr="00A1379D" w:rsidRDefault="00A1379D" w:rsidP="00A1379D">
      <w:pPr>
        <w:jc w:val="both"/>
        <w:rPr>
          <w:rFonts w:eastAsia="Times New Roman" w:cstheme="minorHAnsi"/>
        </w:rPr>
      </w:pPr>
      <w:r w:rsidRPr="00A1379D">
        <w:rPr>
          <w:rFonts w:eastAsia="Times New Roman" w:cstheme="minorHAnsi" w:hint="eastAsia"/>
          <w:b/>
          <w:bCs/>
          <w:i/>
          <w:iCs/>
        </w:rPr>
        <w:t>* Βάση: όσοι είπαν ότι έχουν ενοίκιο, αμειβόμενο προσωπικό και δάνειο αντίστοιχα</w:t>
      </w:r>
    </w:p>
    <w:p w14:paraId="01AAE2AE" w14:textId="77777777" w:rsidR="00A1379D" w:rsidRPr="00A1379D" w:rsidRDefault="00A1379D" w:rsidP="00A1379D">
      <w:pPr>
        <w:spacing w:after="0" w:line="360" w:lineRule="auto"/>
        <w:jc w:val="both"/>
        <w:rPr>
          <w:sz w:val="24"/>
          <w:szCs w:val="24"/>
        </w:rPr>
      </w:pPr>
    </w:p>
    <w:p w14:paraId="4EB906FA" w14:textId="77777777" w:rsidR="00D268F0" w:rsidRPr="00843886" w:rsidRDefault="00D268F0" w:rsidP="00700BFC">
      <w:pPr>
        <w:numPr>
          <w:ilvl w:val="0"/>
          <w:numId w:val="5"/>
        </w:numPr>
        <w:spacing w:after="0" w:line="360" w:lineRule="auto"/>
        <w:contextualSpacing/>
        <w:jc w:val="both"/>
        <w:rPr>
          <w:rFonts w:eastAsia="Times New Roman" w:cstheme="minorHAnsi"/>
          <w:sz w:val="24"/>
          <w:szCs w:val="24"/>
          <w:u w:val="single"/>
        </w:rPr>
      </w:pPr>
      <w:r w:rsidRPr="00843886">
        <w:rPr>
          <w:rFonts w:eastAsia="Times New Roman" w:cstheme="minorHAnsi"/>
          <w:b/>
          <w:bCs/>
          <w:sz w:val="24"/>
          <w:szCs w:val="24"/>
          <w:u w:val="single"/>
        </w:rPr>
        <w:t xml:space="preserve">Δείκτες αβεβαιότητας και βιωσιμότητας </w:t>
      </w:r>
    </w:p>
    <w:p w14:paraId="2B4D7871" w14:textId="0C39E4DB" w:rsidR="004E366C" w:rsidRPr="00660191" w:rsidRDefault="00D12010" w:rsidP="00700BFC">
      <w:pPr>
        <w:spacing w:after="0" w:line="360" w:lineRule="auto"/>
        <w:jc w:val="both"/>
        <w:rPr>
          <w:rFonts w:eastAsia="Times New Roman" w:cstheme="minorHAnsi"/>
          <w:sz w:val="24"/>
          <w:szCs w:val="24"/>
        </w:rPr>
      </w:pPr>
      <w:r>
        <w:rPr>
          <w:rFonts w:eastAsia="Times New Roman" w:cstheme="minorHAnsi"/>
          <w:sz w:val="24"/>
          <w:szCs w:val="24"/>
        </w:rPr>
        <w:t>Οριακά ενισχύθηκε η απαισιοδοξία στις</w:t>
      </w:r>
      <w:r w:rsidR="00612E62" w:rsidRPr="00660191">
        <w:rPr>
          <w:rFonts w:eastAsia="Times New Roman" w:cstheme="minorHAnsi"/>
          <w:sz w:val="24"/>
          <w:szCs w:val="24"/>
        </w:rPr>
        <w:t xml:space="preserve"> μικρές και πολύ μικρές επιχειρήσεις σχετικά με τη μελλοντική τους βιωσιμότητα</w:t>
      </w:r>
      <w:r w:rsidR="00AD1647">
        <w:rPr>
          <w:rFonts w:eastAsia="Times New Roman" w:cstheme="minorHAnsi"/>
          <w:sz w:val="24"/>
          <w:szCs w:val="24"/>
        </w:rPr>
        <w:t>,</w:t>
      </w:r>
      <w:r w:rsidR="00612E62" w:rsidRPr="00660191">
        <w:rPr>
          <w:rFonts w:eastAsia="Times New Roman" w:cstheme="minorHAnsi"/>
          <w:sz w:val="24"/>
          <w:szCs w:val="24"/>
        </w:rPr>
        <w:t xml:space="preserve"> καθώς ο δείκτης αβεβαιότητας</w:t>
      </w:r>
      <w:r w:rsidR="00612E62" w:rsidRPr="00660191">
        <w:rPr>
          <w:rFonts w:eastAsia="Times New Roman" w:cstheme="minorHAnsi"/>
          <w:sz w:val="24"/>
          <w:szCs w:val="24"/>
          <w:vertAlign w:val="superscript"/>
        </w:rPr>
        <w:footnoteReference w:id="12"/>
      </w:r>
      <w:r w:rsidR="00612E62" w:rsidRPr="00660191">
        <w:rPr>
          <w:rFonts w:eastAsia="Times New Roman" w:cstheme="minorHAnsi"/>
          <w:sz w:val="24"/>
          <w:szCs w:val="24"/>
        </w:rPr>
        <w:t xml:space="preserve"> ανήλθε στις</w:t>
      </w:r>
      <w:r w:rsidR="00660191">
        <w:rPr>
          <w:rFonts w:eastAsia="Times New Roman" w:cstheme="minorHAnsi"/>
          <w:sz w:val="24"/>
          <w:szCs w:val="24"/>
        </w:rPr>
        <w:t xml:space="preserve"> </w:t>
      </w:r>
      <w:r>
        <w:rPr>
          <w:rFonts w:eastAsia="Times New Roman" w:cstheme="minorHAnsi"/>
          <w:sz w:val="24"/>
          <w:szCs w:val="24"/>
        </w:rPr>
        <w:t>36,6</w:t>
      </w:r>
      <w:r w:rsidR="00660191">
        <w:rPr>
          <w:rFonts w:eastAsia="Times New Roman" w:cstheme="minorHAnsi"/>
          <w:sz w:val="24"/>
          <w:szCs w:val="24"/>
        </w:rPr>
        <w:t xml:space="preserve"> μονάδες</w:t>
      </w:r>
      <w:r w:rsidR="00537C1A">
        <w:rPr>
          <w:rFonts w:eastAsia="Times New Roman" w:cstheme="minorHAnsi"/>
          <w:sz w:val="24"/>
          <w:szCs w:val="24"/>
        </w:rPr>
        <w:t>,</w:t>
      </w:r>
      <w:r w:rsidR="00660191">
        <w:rPr>
          <w:rFonts w:eastAsia="Times New Roman" w:cstheme="minorHAnsi"/>
          <w:sz w:val="24"/>
          <w:szCs w:val="24"/>
        </w:rPr>
        <w:t xml:space="preserve"> καταγράφοντας </w:t>
      </w:r>
      <w:r w:rsidR="00612E62" w:rsidRPr="00660191">
        <w:rPr>
          <w:rFonts w:eastAsia="Times New Roman" w:cstheme="minorHAnsi"/>
          <w:sz w:val="24"/>
          <w:szCs w:val="24"/>
        </w:rPr>
        <w:t xml:space="preserve">αύξηση </w:t>
      </w:r>
      <w:r>
        <w:rPr>
          <w:rFonts w:eastAsia="Times New Roman" w:cstheme="minorHAnsi"/>
          <w:sz w:val="24"/>
          <w:szCs w:val="24"/>
        </w:rPr>
        <w:t>0,9</w:t>
      </w:r>
      <w:r w:rsidR="00612E62" w:rsidRPr="00660191">
        <w:rPr>
          <w:rFonts w:eastAsia="Times New Roman" w:cstheme="minorHAnsi"/>
          <w:sz w:val="24"/>
          <w:szCs w:val="24"/>
        </w:rPr>
        <w:t xml:space="preserve"> μονάδων σε σχέση με το προηγούμενο εξάμηνο.</w:t>
      </w:r>
      <w:r w:rsidR="00EE3DCA">
        <w:rPr>
          <w:rFonts w:eastAsia="Times New Roman" w:cstheme="minorHAnsi"/>
          <w:sz w:val="24"/>
          <w:szCs w:val="24"/>
        </w:rPr>
        <w:t xml:space="preserve"> </w:t>
      </w:r>
      <w:r w:rsidR="00660191">
        <w:rPr>
          <w:rFonts w:eastAsia="Times New Roman" w:cstheme="minorHAnsi"/>
          <w:sz w:val="24"/>
          <w:szCs w:val="24"/>
        </w:rPr>
        <w:t>Ειδικότερα, το 1</w:t>
      </w:r>
      <w:r>
        <w:rPr>
          <w:rFonts w:eastAsia="Times New Roman" w:cstheme="minorHAnsi"/>
          <w:sz w:val="24"/>
          <w:szCs w:val="24"/>
        </w:rPr>
        <w:t>8</w:t>
      </w:r>
      <w:r w:rsidR="00660191">
        <w:rPr>
          <w:rFonts w:eastAsia="Times New Roman" w:cstheme="minorHAnsi"/>
          <w:sz w:val="24"/>
          <w:szCs w:val="24"/>
        </w:rPr>
        <w:t>,</w:t>
      </w:r>
      <w:r>
        <w:rPr>
          <w:rFonts w:eastAsia="Times New Roman" w:cstheme="minorHAnsi"/>
          <w:sz w:val="24"/>
          <w:szCs w:val="24"/>
        </w:rPr>
        <w:t>7</w:t>
      </w:r>
      <w:r w:rsidR="00660191">
        <w:rPr>
          <w:rFonts w:eastAsia="Times New Roman" w:cstheme="minorHAnsi"/>
          <w:sz w:val="24"/>
          <w:szCs w:val="24"/>
        </w:rPr>
        <w:t xml:space="preserve">% των επιχειρήσεων δήλωσε ότι είναι πολύ πιθανό να διακόψει τη λειτουργία του το επόμενο διάστημα, ενώ το </w:t>
      </w:r>
      <w:r>
        <w:rPr>
          <w:rFonts w:eastAsia="Times New Roman" w:cstheme="minorHAnsi"/>
          <w:sz w:val="24"/>
          <w:szCs w:val="24"/>
        </w:rPr>
        <w:t>17,9</w:t>
      </w:r>
      <w:r w:rsidR="00660191">
        <w:rPr>
          <w:rFonts w:eastAsia="Times New Roman" w:cstheme="minorHAnsi"/>
          <w:sz w:val="24"/>
          <w:szCs w:val="24"/>
        </w:rPr>
        <w:t xml:space="preserve">% των επιχειρήσεων </w:t>
      </w:r>
      <w:r w:rsidR="00660191" w:rsidRPr="00660191">
        <w:rPr>
          <w:rFonts w:eastAsia="Times New Roman" w:cstheme="minorHAnsi"/>
          <w:sz w:val="24"/>
          <w:szCs w:val="24"/>
        </w:rPr>
        <w:t xml:space="preserve">δήλωσε ότι είναι </w:t>
      </w:r>
      <w:r w:rsidR="00660191">
        <w:rPr>
          <w:rFonts w:eastAsia="Times New Roman" w:cstheme="minorHAnsi"/>
          <w:sz w:val="24"/>
          <w:szCs w:val="24"/>
        </w:rPr>
        <w:t>αρκετά</w:t>
      </w:r>
      <w:r w:rsidR="00660191" w:rsidRPr="00660191">
        <w:rPr>
          <w:rFonts w:eastAsia="Times New Roman" w:cstheme="minorHAnsi"/>
          <w:sz w:val="24"/>
          <w:szCs w:val="24"/>
        </w:rPr>
        <w:t xml:space="preserve"> πιθανό να διακόψει τη λειτουργία του το επόμενο διάστημα</w:t>
      </w:r>
      <w:r w:rsidR="00660191">
        <w:rPr>
          <w:rFonts w:eastAsia="Times New Roman" w:cstheme="minorHAnsi"/>
          <w:sz w:val="24"/>
          <w:szCs w:val="24"/>
        </w:rPr>
        <w:t>.</w:t>
      </w:r>
    </w:p>
    <w:p w14:paraId="2528AD1F" w14:textId="0E84BFBB" w:rsidR="001E5692" w:rsidRPr="00660191" w:rsidRDefault="00D12010" w:rsidP="00700BFC">
      <w:pPr>
        <w:spacing w:after="0" w:line="360" w:lineRule="auto"/>
        <w:jc w:val="both"/>
        <w:rPr>
          <w:rFonts w:eastAsia="Times New Roman" w:cstheme="minorHAnsi"/>
          <w:sz w:val="24"/>
          <w:szCs w:val="24"/>
        </w:rPr>
      </w:pPr>
      <w:r>
        <w:rPr>
          <w:rFonts w:eastAsia="Times New Roman" w:cstheme="minorHAnsi"/>
          <w:sz w:val="24"/>
          <w:szCs w:val="24"/>
        </w:rPr>
        <w:t>Αντίστοιχη ε</w:t>
      </w:r>
      <w:r w:rsidR="00843886" w:rsidRPr="00660191">
        <w:rPr>
          <w:rFonts w:eastAsia="Times New Roman" w:cstheme="minorHAnsi"/>
          <w:sz w:val="24"/>
          <w:szCs w:val="24"/>
        </w:rPr>
        <w:t xml:space="preserve">ίναι η εικόνα </w:t>
      </w:r>
      <w:r>
        <w:rPr>
          <w:rFonts w:eastAsia="Times New Roman" w:cstheme="minorHAnsi"/>
          <w:sz w:val="24"/>
          <w:szCs w:val="24"/>
        </w:rPr>
        <w:t xml:space="preserve">και </w:t>
      </w:r>
      <w:r w:rsidR="00843886" w:rsidRPr="00660191">
        <w:rPr>
          <w:rFonts w:eastAsia="Times New Roman" w:cstheme="minorHAnsi"/>
          <w:sz w:val="24"/>
          <w:szCs w:val="24"/>
        </w:rPr>
        <w:t>ως προς</w:t>
      </w:r>
      <w:r w:rsidR="001E5692" w:rsidRPr="00660191">
        <w:rPr>
          <w:rFonts w:eastAsia="Times New Roman" w:cstheme="minorHAnsi"/>
          <w:sz w:val="24"/>
          <w:szCs w:val="24"/>
        </w:rPr>
        <w:t xml:space="preserve"> </w:t>
      </w:r>
      <w:r w:rsidR="00843886" w:rsidRPr="00660191">
        <w:rPr>
          <w:rFonts w:eastAsia="Times New Roman" w:cstheme="minorHAnsi"/>
          <w:sz w:val="24"/>
          <w:szCs w:val="24"/>
        </w:rPr>
        <w:t>τ</w:t>
      </w:r>
      <w:r w:rsidR="001E5692" w:rsidRPr="00660191">
        <w:rPr>
          <w:rFonts w:eastAsia="Times New Roman" w:cstheme="minorHAnsi"/>
          <w:sz w:val="24"/>
          <w:szCs w:val="24"/>
        </w:rPr>
        <w:t>ο</w:t>
      </w:r>
      <w:r w:rsidR="00843886" w:rsidRPr="00660191">
        <w:rPr>
          <w:rFonts w:eastAsia="Times New Roman" w:cstheme="minorHAnsi"/>
          <w:sz w:val="24"/>
          <w:szCs w:val="24"/>
        </w:rPr>
        <w:t>ν δείκτη</w:t>
      </w:r>
      <w:r w:rsidR="001E5692" w:rsidRPr="00660191">
        <w:rPr>
          <w:rFonts w:eastAsia="Times New Roman" w:cstheme="minorHAnsi"/>
          <w:sz w:val="24"/>
          <w:szCs w:val="24"/>
        </w:rPr>
        <w:t xml:space="preserve"> βιωσιμότητας</w:t>
      </w:r>
      <w:r w:rsidR="00AD1647">
        <w:rPr>
          <w:rFonts w:eastAsia="Times New Roman" w:cstheme="minorHAnsi"/>
          <w:sz w:val="24"/>
          <w:szCs w:val="24"/>
        </w:rPr>
        <w:t>,</w:t>
      </w:r>
      <w:r w:rsidR="001E5692" w:rsidRPr="00660191">
        <w:rPr>
          <w:rFonts w:eastAsia="Times New Roman" w:cstheme="minorHAnsi"/>
          <w:sz w:val="24"/>
          <w:szCs w:val="24"/>
        </w:rPr>
        <w:t xml:space="preserve"> καθώς </w:t>
      </w:r>
      <w:r w:rsidR="00660191">
        <w:rPr>
          <w:rFonts w:eastAsia="Times New Roman" w:cstheme="minorHAnsi"/>
          <w:sz w:val="24"/>
          <w:szCs w:val="24"/>
        </w:rPr>
        <w:t xml:space="preserve">το </w:t>
      </w:r>
      <w:r>
        <w:rPr>
          <w:rFonts w:eastAsia="Times New Roman" w:cstheme="minorHAnsi"/>
          <w:sz w:val="24"/>
          <w:szCs w:val="24"/>
        </w:rPr>
        <w:t>3</w:t>
      </w:r>
      <w:r w:rsidR="00660191" w:rsidRPr="00660191">
        <w:rPr>
          <w:rFonts w:eastAsia="Times New Roman" w:cstheme="minorHAnsi"/>
          <w:sz w:val="24"/>
          <w:szCs w:val="24"/>
        </w:rPr>
        <w:t>,2</w:t>
      </w:r>
      <w:r w:rsidR="007E0B5C" w:rsidRPr="00660191">
        <w:rPr>
          <w:rFonts w:eastAsia="Times New Roman" w:cstheme="minorHAnsi"/>
          <w:sz w:val="24"/>
          <w:szCs w:val="24"/>
        </w:rPr>
        <w:t xml:space="preserve">% των επιχειρήσεων </w:t>
      </w:r>
      <w:r w:rsidR="00843886" w:rsidRPr="00660191">
        <w:rPr>
          <w:rFonts w:eastAsia="Times New Roman" w:cstheme="minorHAnsi"/>
          <w:sz w:val="24"/>
          <w:szCs w:val="24"/>
        </w:rPr>
        <w:t>εκφράζει το</w:t>
      </w:r>
      <w:r w:rsidR="00537C1A">
        <w:rPr>
          <w:rFonts w:eastAsia="Times New Roman" w:cstheme="minorHAnsi"/>
          <w:sz w:val="24"/>
          <w:szCs w:val="24"/>
        </w:rPr>
        <w:t>ν</w:t>
      </w:r>
      <w:r w:rsidR="00843886" w:rsidRPr="00660191">
        <w:rPr>
          <w:rFonts w:eastAsia="Times New Roman" w:cstheme="minorHAnsi"/>
          <w:sz w:val="24"/>
          <w:szCs w:val="24"/>
        </w:rPr>
        <w:t xml:space="preserve"> φόβο για διακοπή της δραστηριότητ</w:t>
      </w:r>
      <w:r w:rsidR="00AD1647">
        <w:rPr>
          <w:rFonts w:eastAsia="Times New Roman" w:cstheme="minorHAnsi"/>
          <w:sz w:val="24"/>
          <w:szCs w:val="24"/>
        </w:rPr>
        <w:t>ά</w:t>
      </w:r>
      <w:r w:rsidR="00843886" w:rsidRPr="00660191">
        <w:rPr>
          <w:rFonts w:eastAsia="Times New Roman" w:cstheme="minorHAnsi"/>
          <w:sz w:val="24"/>
          <w:szCs w:val="24"/>
        </w:rPr>
        <w:t xml:space="preserve">ς του το </w:t>
      </w:r>
      <w:r w:rsidR="00382337" w:rsidRPr="00660191">
        <w:rPr>
          <w:rFonts w:eastAsia="Times New Roman" w:cstheme="minorHAnsi"/>
          <w:sz w:val="24"/>
          <w:szCs w:val="24"/>
        </w:rPr>
        <w:t>αμέσως</w:t>
      </w:r>
      <w:r w:rsidR="00843886" w:rsidRPr="00660191">
        <w:rPr>
          <w:rFonts w:eastAsia="Times New Roman" w:cstheme="minorHAnsi"/>
          <w:sz w:val="24"/>
          <w:szCs w:val="24"/>
        </w:rPr>
        <w:t xml:space="preserve"> επόμενο χρονικό διάστημα</w:t>
      </w:r>
      <w:r w:rsidR="00646CC1" w:rsidRPr="00660191">
        <w:rPr>
          <w:rFonts w:eastAsia="Times New Roman" w:cstheme="minorHAnsi"/>
          <w:sz w:val="24"/>
          <w:szCs w:val="24"/>
        </w:rPr>
        <w:t>,</w:t>
      </w:r>
      <w:r w:rsidR="00843886" w:rsidRPr="00660191">
        <w:rPr>
          <w:rFonts w:eastAsia="Times New Roman" w:cstheme="minorHAnsi"/>
          <w:sz w:val="24"/>
          <w:szCs w:val="24"/>
        </w:rPr>
        <w:t xml:space="preserve"> έναντι </w:t>
      </w:r>
      <w:r w:rsidR="00537C1A">
        <w:rPr>
          <w:rFonts w:eastAsia="Times New Roman" w:cstheme="minorHAnsi"/>
          <w:sz w:val="24"/>
          <w:szCs w:val="24"/>
        </w:rPr>
        <w:t xml:space="preserve">του </w:t>
      </w:r>
      <w:r>
        <w:rPr>
          <w:rFonts w:eastAsia="Times New Roman" w:cstheme="minorHAnsi"/>
          <w:sz w:val="24"/>
          <w:szCs w:val="24"/>
        </w:rPr>
        <w:t>2,2</w:t>
      </w:r>
      <w:r w:rsidR="00843886" w:rsidRPr="00660191">
        <w:rPr>
          <w:rFonts w:eastAsia="Times New Roman" w:cstheme="minorHAnsi"/>
          <w:sz w:val="24"/>
          <w:szCs w:val="24"/>
        </w:rPr>
        <w:t xml:space="preserve">% που ήταν τον </w:t>
      </w:r>
      <w:r>
        <w:rPr>
          <w:rFonts w:eastAsia="Times New Roman" w:cstheme="minorHAnsi"/>
          <w:sz w:val="24"/>
          <w:szCs w:val="24"/>
        </w:rPr>
        <w:t>Φεβρουάριο</w:t>
      </w:r>
      <w:r w:rsidR="00843886" w:rsidRPr="00660191">
        <w:rPr>
          <w:rFonts w:eastAsia="Times New Roman" w:cstheme="minorHAnsi"/>
          <w:sz w:val="24"/>
          <w:szCs w:val="24"/>
        </w:rPr>
        <w:t xml:space="preserve"> του 202</w:t>
      </w:r>
      <w:r>
        <w:rPr>
          <w:rFonts w:eastAsia="Times New Roman" w:cstheme="minorHAnsi"/>
          <w:sz w:val="24"/>
          <w:szCs w:val="24"/>
        </w:rPr>
        <w:t>4</w:t>
      </w:r>
      <w:r w:rsidR="007E0B5C" w:rsidRPr="00660191">
        <w:rPr>
          <w:rFonts w:eastAsia="Times New Roman" w:cstheme="minorHAnsi"/>
          <w:sz w:val="24"/>
          <w:szCs w:val="24"/>
        </w:rPr>
        <w:t>.</w:t>
      </w:r>
      <w:r w:rsidR="00843886" w:rsidRPr="00660191">
        <w:rPr>
          <w:rFonts w:eastAsia="Times New Roman" w:cstheme="minorHAnsi"/>
          <w:sz w:val="24"/>
          <w:szCs w:val="24"/>
        </w:rPr>
        <w:t xml:space="preserve"> </w:t>
      </w:r>
    </w:p>
    <w:p w14:paraId="6B9CB547" w14:textId="3A3F48D9" w:rsidR="007E0B5C" w:rsidRDefault="007E0B5C" w:rsidP="00700BFC">
      <w:pPr>
        <w:spacing w:after="0" w:line="360" w:lineRule="auto"/>
        <w:jc w:val="both"/>
        <w:rPr>
          <w:rFonts w:eastAsia="Times New Roman" w:cstheme="minorHAnsi"/>
          <w:sz w:val="24"/>
          <w:szCs w:val="24"/>
        </w:rPr>
      </w:pPr>
      <w:r w:rsidRPr="00A71472">
        <w:rPr>
          <w:rFonts w:eastAsia="Times New Roman" w:cstheme="minorHAnsi"/>
          <w:sz w:val="24"/>
          <w:szCs w:val="24"/>
        </w:rPr>
        <w:t>Τέλος</w:t>
      </w:r>
      <w:r w:rsidR="00646CC1" w:rsidRPr="00A71472">
        <w:rPr>
          <w:rFonts w:eastAsia="Times New Roman" w:cstheme="minorHAnsi"/>
          <w:sz w:val="24"/>
          <w:szCs w:val="24"/>
        </w:rPr>
        <w:t>,</w:t>
      </w:r>
      <w:r w:rsidRPr="00A71472">
        <w:rPr>
          <w:rFonts w:eastAsia="Times New Roman" w:cstheme="minorHAnsi"/>
          <w:sz w:val="24"/>
          <w:szCs w:val="24"/>
        </w:rPr>
        <w:t xml:space="preserve"> οι επιχειρήσεις που κυρίως αντιμετωπίζουν σοβαρές δυσκολίες</w:t>
      </w:r>
      <w:r w:rsidR="00A71472" w:rsidRPr="00A71472">
        <w:rPr>
          <w:rFonts w:eastAsia="Times New Roman" w:cstheme="minorHAnsi"/>
          <w:sz w:val="24"/>
          <w:szCs w:val="24"/>
        </w:rPr>
        <w:t xml:space="preserve"> και κινδυνεύουν άμεσα με λουκέτο</w:t>
      </w:r>
      <w:r w:rsidRPr="00A71472">
        <w:rPr>
          <w:rFonts w:eastAsia="Times New Roman" w:cstheme="minorHAnsi"/>
          <w:sz w:val="24"/>
          <w:szCs w:val="24"/>
        </w:rPr>
        <w:t xml:space="preserve"> είναι οι </w:t>
      </w:r>
      <w:r w:rsidR="00646CC1" w:rsidRPr="00A71472">
        <w:rPr>
          <w:rFonts w:eastAsia="Times New Roman" w:cstheme="minorHAnsi"/>
          <w:sz w:val="24"/>
          <w:szCs w:val="24"/>
        </w:rPr>
        <w:t>επιχειρήσεις με καθυστερημένες υποχρεώσεις</w:t>
      </w:r>
      <w:r w:rsidR="00660191" w:rsidRPr="00A71472">
        <w:rPr>
          <w:rFonts w:eastAsia="Times New Roman" w:cstheme="minorHAnsi"/>
          <w:sz w:val="24"/>
          <w:szCs w:val="24"/>
        </w:rPr>
        <w:t>, ιδίως εκείνες που είναι υπερχρεωμένες προς το Δημόσιο,</w:t>
      </w:r>
      <w:r w:rsidR="00646CC1" w:rsidRPr="00A71472">
        <w:rPr>
          <w:rFonts w:eastAsia="Times New Roman" w:cstheme="minorHAnsi"/>
          <w:sz w:val="24"/>
          <w:szCs w:val="24"/>
        </w:rPr>
        <w:t xml:space="preserve"> οι </w:t>
      </w:r>
      <w:r w:rsidR="00A71472" w:rsidRPr="00A71472">
        <w:rPr>
          <w:rFonts w:eastAsia="Times New Roman" w:cstheme="minorHAnsi"/>
          <w:sz w:val="24"/>
          <w:szCs w:val="24"/>
        </w:rPr>
        <w:t>επιχειρήσεις χωρίς προσωπικό</w:t>
      </w:r>
      <w:r w:rsidR="00EE3DCA">
        <w:rPr>
          <w:rFonts w:eastAsia="Times New Roman" w:cstheme="minorHAnsi"/>
          <w:sz w:val="24"/>
          <w:szCs w:val="24"/>
        </w:rPr>
        <w:t xml:space="preserve"> </w:t>
      </w:r>
      <w:r w:rsidR="00A71472" w:rsidRPr="00A71472">
        <w:rPr>
          <w:rFonts w:eastAsia="Times New Roman" w:cstheme="minorHAnsi"/>
          <w:sz w:val="24"/>
          <w:szCs w:val="24"/>
        </w:rPr>
        <w:t>και οι επιχειρήσεις με κύκλο εργασιών έως 50.000 €</w:t>
      </w:r>
      <w:r w:rsidR="004B51EC">
        <w:rPr>
          <w:rFonts w:eastAsia="Times New Roman" w:cstheme="minorHAnsi"/>
          <w:sz w:val="24"/>
          <w:szCs w:val="24"/>
        </w:rPr>
        <w:t>,</w:t>
      </w:r>
      <w:r w:rsidR="00C72C0B">
        <w:rPr>
          <w:rFonts w:eastAsia="Times New Roman" w:cstheme="minorHAnsi"/>
          <w:sz w:val="24"/>
          <w:szCs w:val="24"/>
        </w:rPr>
        <w:t xml:space="preserve"> καθώς και οι ατομικές επιχειρήσεις</w:t>
      </w:r>
      <w:r w:rsidR="00646CC1" w:rsidRPr="00A71472">
        <w:rPr>
          <w:rFonts w:eastAsia="Times New Roman" w:cstheme="minorHAnsi"/>
          <w:sz w:val="24"/>
          <w:szCs w:val="24"/>
        </w:rPr>
        <w:t>.</w:t>
      </w:r>
      <w:r w:rsidR="00F7091F">
        <w:rPr>
          <w:rFonts w:eastAsia="Times New Roman" w:cstheme="minorHAnsi"/>
          <w:sz w:val="24"/>
          <w:szCs w:val="24"/>
        </w:rPr>
        <w:t xml:space="preserve"> </w:t>
      </w:r>
    </w:p>
    <w:p w14:paraId="7931BC11" w14:textId="6ECF4532" w:rsidR="00D268F0" w:rsidRPr="006043B9" w:rsidRDefault="007B7F0A" w:rsidP="00700BFC">
      <w:pPr>
        <w:spacing w:after="0" w:line="360" w:lineRule="auto"/>
        <w:jc w:val="both"/>
        <w:rPr>
          <w:rFonts w:eastAsia="Times New Roman" w:cstheme="minorHAnsi"/>
          <w:sz w:val="24"/>
          <w:szCs w:val="24"/>
          <w:highlight w:val="yellow"/>
        </w:rPr>
      </w:pPr>
      <w:r>
        <w:rPr>
          <w:noProof/>
        </w:rPr>
        <w:lastRenderedPageBreak/>
        <w:drawing>
          <wp:inline distT="0" distB="0" distL="0" distR="0" wp14:anchorId="209E90B8" wp14:editId="361ABDF6">
            <wp:extent cx="6454140" cy="2743200"/>
            <wp:effectExtent l="0" t="0" r="3810" b="0"/>
            <wp:docPr id="2033178727" name="Γράφημα 1">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08E20C" w14:textId="00B55365" w:rsidR="00D268F0" w:rsidRDefault="00D268F0" w:rsidP="00700BFC">
      <w:pPr>
        <w:spacing w:after="0" w:line="360" w:lineRule="auto"/>
        <w:jc w:val="both"/>
        <w:rPr>
          <w:b/>
          <w:sz w:val="24"/>
          <w:szCs w:val="24"/>
          <w:u w:val="single"/>
        </w:rPr>
      </w:pPr>
    </w:p>
    <w:p w14:paraId="63D4A23A" w14:textId="77777777" w:rsidR="007A3A82" w:rsidRDefault="007A3A82" w:rsidP="00700BFC">
      <w:pPr>
        <w:spacing w:after="0" w:line="360" w:lineRule="auto"/>
        <w:jc w:val="both"/>
        <w:rPr>
          <w:b/>
          <w:sz w:val="24"/>
          <w:szCs w:val="24"/>
          <w:u w:val="single"/>
        </w:rPr>
      </w:pPr>
    </w:p>
    <w:p w14:paraId="7CEF0B89" w14:textId="0DF70FDB" w:rsidR="00DE77D0" w:rsidRDefault="00DE77D0" w:rsidP="00700BFC">
      <w:pPr>
        <w:spacing w:after="0" w:line="360" w:lineRule="auto"/>
        <w:jc w:val="both"/>
        <w:rPr>
          <w:b/>
          <w:sz w:val="24"/>
          <w:szCs w:val="24"/>
          <w:u w:val="single"/>
        </w:rPr>
      </w:pPr>
    </w:p>
    <w:p w14:paraId="5A27ED65" w14:textId="48CB154E" w:rsidR="00E90916" w:rsidRDefault="00E90916" w:rsidP="00700BFC">
      <w:pPr>
        <w:spacing w:after="0" w:line="360" w:lineRule="auto"/>
        <w:jc w:val="both"/>
        <w:rPr>
          <w:b/>
          <w:sz w:val="24"/>
          <w:szCs w:val="24"/>
          <w:u w:val="single"/>
        </w:rPr>
      </w:pPr>
    </w:p>
    <w:p w14:paraId="31FD3478" w14:textId="59D29EFB" w:rsidR="00E90916" w:rsidRDefault="00E90916" w:rsidP="00700BFC">
      <w:pPr>
        <w:spacing w:after="0" w:line="360" w:lineRule="auto"/>
        <w:jc w:val="both"/>
        <w:rPr>
          <w:b/>
          <w:sz w:val="24"/>
          <w:szCs w:val="24"/>
          <w:u w:val="single"/>
        </w:rPr>
      </w:pPr>
    </w:p>
    <w:p w14:paraId="0029F6A7" w14:textId="77777777" w:rsidR="00E90916" w:rsidRDefault="00E90916" w:rsidP="00700BFC">
      <w:pPr>
        <w:spacing w:after="0" w:line="360" w:lineRule="auto"/>
        <w:jc w:val="both"/>
        <w:rPr>
          <w:b/>
          <w:sz w:val="24"/>
          <w:szCs w:val="24"/>
          <w:u w:val="single"/>
        </w:rPr>
      </w:pPr>
    </w:p>
    <w:p w14:paraId="4DB98D1C" w14:textId="492415C9" w:rsidR="00B36044" w:rsidRPr="005D0CB1" w:rsidRDefault="005D0CB1" w:rsidP="005D0CB1">
      <w:pPr>
        <w:spacing w:after="0" w:line="360" w:lineRule="auto"/>
        <w:jc w:val="center"/>
        <w:rPr>
          <w:b/>
          <w:sz w:val="32"/>
          <w:szCs w:val="32"/>
        </w:rPr>
      </w:pPr>
      <w:r w:rsidRPr="005D0CB1">
        <w:rPr>
          <w:b/>
          <w:sz w:val="32"/>
          <w:szCs w:val="32"/>
        </w:rPr>
        <w:t>ΠΑΡΑΡΤΗΜΑ 1</w:t>
      </w:r>
    </w:p>
    <w:tbl>
      <w:tblPr>
        <w:tblW w:w="5000" w:type="pct"/>
        <w:tblLook w:val="04A0" w:firstRow="1" w:lastRow="0" w:firstColumn="1" w:lastColumn="0" w:noHBand="0" w:noVBand="1"/>
      </w:tblPr>
      <w:tblGrid>
        <w:gridCol w:w="5158"/>
        <w:gridCol w:w="3533"/>
        <w:gridCol w:w="1768"/>
      </w:tblGrid>
      <w:tr w:rsidR="007A3A82" w:rsidRPr="007A3A82" w14:paraId="3216B000" w14:textId="77777777" w:rsidTr="007A3A82">
        <w:trPr>
          <w:trHeight w:val="300"/>
        </w:trPr>
        <w:tc>
          <w:tcPr>
            <w:tcW w:w="5000" w:type="pct"/>
            <w:gridSpan w:val="3"/>
            <w:tcBorders>
              <w:top w:val="single" w:sz="12" w:space="0" w:color="auto"/>
              <w:left w:val="single" w:sz="12" w:space="0" w:color="auto"/>
              <w:bottom w:val="single" w:sz="4" w:space="0" w:color="auto"/>
              <w:right w:val="single" w:sz="12" w:space="0" w:color="000000"/>
            </w:tcBorders>
            <w:shd w:val="clear" w:color="D9E1F2" w:fill="D9E1F2"/>
            <w:noWrap/>
            <w:vAlign w:val="bottom"/>
            <w:hideMark/>
          </w:tcPr>
          <w:p w14:paraId="62675AE3" w14:textId="77777777" w:rsidR="007A3A82" w:rsidRPr="00336DCC" w:rsidRDefault="007A3A82" w:rsidP="00700BFC">
            <w:pPr>
              <w:spacing w:after="0" w:line="240" w:lineRule="auto"/>
              <w:jc w:val="center"/>
              <w:rPr>
                <w:rFonts w:eastAsia="Times New Roman" w:cstheme="minorHAnsi"/>
                <w:b/>
                <w:bCs/>
                <w:color w:val="000000"/>
                <w:sz w:val="28"/>
                <w:szCs w:val="28"/>
              </w:rPr>
            </w:pPr>
            <w:r w:rsidRPr="00336DCC">
              <w:rPr>
                <w:rFonts w:eastAsia="Times New Roman" w:cstheme="minorHAnsi"/>
                <w:b/>
                <w:bCs/>
                <w:color w:val="000000"/>
                <w:sz w:val="28"/>
                <w:szCs w:val="28"/>
              </w:rPr>
              <w:t>ΣΥΝΘΕΣΗ ΔΕΙΓΜΑΤΟΣ</w:t>
            </w:r>
          </w:p>
        </w:tc>
      </w:tr>
      <w:tr w:rsidR="007A3A82" w:rsidRPr="007A3A82" w14:paraId="0D535D77"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2B6ABB4E" w14:textId="77777777" w:rsidR="007A3A82" w:rsidRPr="00336DCC" w:rsidRDefault="007A3A82" w:rsidP="00700BFC">
            <w:pPr>
              <w:spacing w:after="0" w:line="240" w:lineRule="auto"/>
              <w:jc w:val="center"/>
              <w:rPr>
                <w:rFonts w:eastAsia="Times New Roman" w:cstheme="minorHAnsi"/>
                <w:b/>
                <w:bCs/>
                <w:color w:val="000000"/>
                <w:sz w:val="24"/>
                <w:szCs w:val="24"/>
              </w:rPr>
            </w:pPr>
            <w:r w:rsidRPr="00336DCC">
              <w:rPr>
                <w:rFonts w:eastAsia="Times New Roman" w:cstheme="minorHAnsi"/>
                <w:b/>
                <w:bCs/>
                <w:color w:val="000000"/>
                <w:sz w:val="24"/>
                <w:szCs w:val="24"/>
              </w:rPr>
              <w:t>ΚΛΑΔΟΣ</w:t>
            </w:r>
          </w:p>
        </w:tc>
        <w:tc>
          <w:tcPr>
            <w:tcW w:w="1689" w:type="pct"/>
            <w:tcBorders>
              <w:top w:val="nil"/>
              <w:left w:val="nil"/>
              <w:bottom w:val="single" w:sz="4" w:space="0" w:color="auto"/>
              <w:right w:val="single" w:sz="4" w:space="0" w:color="auto"/>
            </w:tcBorders>
            <w:shd w:val="clear" w:color="auto" w:fill="auto"/>
            <w:noWrap/>
            <w:vAlign w:val="bottom"/>
            <w:hideMark/>
          </w:tcPr>
          <w:p w14:paraId="38A067DE" w14:textId="77777777" w:rsidR="007A3A82" w:rsidRPr="00336DCC" w:rsidRDefault="007A3A82" w:rsidP="00700BFC">
            <w:pPr>
              <w:spacing w:after="0" w:line="240" w:lineRule="auto"/>
              <w:rPr>
                <w:rFonts w:eastAsia="Times New Roman" w:cstheme="minorHAnsi"/>
                <w:color w:val="000000"/>
                <w:sz w:val="24"/>
                <w:szCs w:val="24"/>
              </w:rPr>
            </w:pPr>
            <w:r w:rsidRPr="00336DCC">
              <w:rPr>
                <w:rFonts w:eastAsia="Times New Roman" w:cstheme="minorHAnsi"/>
                <w:color w:val="000000"/>
                <w:sz w:val="24"/>
                <w:szCs w:val="24"/>
              </w:rPr>
              <w:t>Εμπόριο</w:t>
            </w:r>
          </w:p>
        </w:tc>
        <w:tc>
          <w:tcPr>
            <w:tcW w:w="844" w:type="pct"/>
            <w:tcBorders>
              <w:top w:val="nil"/>
              <w:left w:val="nil"/>
              <w:bottom w:val="single" w:sz="4" w:space="0" w:color="auto"/>
              <w:right w:val="single" w:sz="12" w:space="0" w:color="auto"/>
            </w:tcBorders>
            <w:shd w:val="clear" w:color="auto" w:fill="auto"/>
            <w:noWrap/>
            <w:vAlign w:val="bottom"/>
            <w:hideMark/>
          </w:tcPr>
          <w:p w14:paraId="7CBD82E4" w14:textId="4A3C9101" w:rsidR="007A3A82" w:rsidRPr="00336DCC" w:rsidRDefault="007E0B5C" w:rsidP="000B2B5B">
            <w:pPr>
              <w:spacing w:after="0" w:line="240" w:lineRule="auto"/>
              <w:jc w:val="center"/>
              <w:rPr>
                <w:rFonts w:eastAsia="Times New Roman" w:cstheme="minorHAnsi"/>
                <w:color w:val="000000"/>
                <w:sz w:val="24"/>
                <w:szCs w:val="24"/>
              </w:rPr>
            </w:pPr>
            <w:r w:rsidRPr="00336DCC">
              <w:rPr>
                <w:rFonts w:eastAsia="Times New Roman" w:cstheme="minorHAnsi"/>
                <w:color w:val="000000"/>
                <w:sz w:val="24"/>
                <w:szCs w:val="24"/>
              </w:rPr>
              <w:t>37,</w:t>
            </w:r>
            <w:r w:rsidR="00C72C0B">
              <w:rPr>
                <w:rFonts w:eastAsia="Times New Roman" w:cstheme="minorHAnsi"/>
                <w:color w:val="000000"/>
                <w:sz w:val="24"/>
                <w:szCs w:val="24"/>
              </w:rPr>
              <w:t>2</w:t>
            </w:r>
            <w:r w:rsidR="007A3A82" w:rsidRPr="00336DCC">
              <w:rPr>
                <w:rFonts w:eastAsia="Times New Roman" w:cstheme="minorHAnsi"/>
                <w:color w:val="000000"/>
                <w:sz w:val="24"/>
                <w:szCs w:val="24"/>
              </w:rPr>
              <w:t>%</w:t>
            </w:r>
          </w:p>
        </w:tc>
      </w:tr>
      <w:tr w:rsidR="007A3A82" w:rsidRPr="007A3A82" w14:paraId="5D33AA5D"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523562CA" w14:textId="77777777" w:rsidR="007A3A82" w:rsidRPr="00336DCC"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651BC0F0" w14:textId="77777777" w:rsidR="007A3A82" w:rsidRPr="00336DCC" w:rsidRDefault="007A3A82" w:rsidP="00700BFC">
            <w:pPr>
              <w:spacing w:after="0" w:line="240" w:lineRule="auto"/>
              <w:rPr>
                <w:rFonts w:eastAsia="Times New Roman" w:cstheme="minorHAnsi"/>
                <w:color w:val="000000"/>
                <w:sz w:val="24"/>
                <w:szCs w:val="24"/>
              </w:rPr>
            </w:pPr>
            <w:r w:rsidRPr="00336DCC">
              <w:rPr>
                <w:rFonts w:eastAsia="Times New Roman" w:cstheme="minorHAnsi"/>
                <w:color w:val="000000"/>
                <w:sz w:val="24"/>
                <w:szCs w:val="24"/>
              </w:rPr>
              <w:t>Μεταποίηση</w:t>
            </w:r>
          </w:p>
        </w:tc>
        <w:tc>
          <w:tcPr>
            <w:tcW w:w="844" w:type="pct"/>
            <w:tcBorders>
              <w:top w:val="nil"/>
              <w:left w:val="nil"/>
              <w:bottom w:val="single" w:sz="4" w:space="0" w:color="auto"/>
              <w:right w:val="single" w:sz="12" w:space="0" w:color="auto"/>
            </w:tcBorders>
            <w:shd w:val="clear" w:color="auto" w:fill="auto"/>
            <w:noWrap/>
            <w:vAlign w:val="bottom"/>
            <w:hideMark/>
          </w:tcPr>
          <w:p w14:paraId="74C5A40E" w14:textId="0BA7DE3B" w:rsidR="007A3A82" w:rsidRPr="00336DCC" w:rsidRDefault="00A30A12" w:rsidP="000B2B5B">
            <w:pPr>
              <w:spacing w:after="0" w:line="240" w:lineRule="auto"/>
              <w:jc w:val="center"/>
              <w:rPr>
                <w:rFonts w:eastAsia="Times New Roman" w:cstheme="minorHAnsi"/>
                <w:color w:val="000000"/>
                <w:sz w:val="24"/>
                <w:szCs w:val="24"/>
              </w:rPr>
            </w:pPr>
            <w:r>
              <w:rPr>
                <w:rFonts w:eastAsia="Times New Roman" w:cstheme="minorHAnsi"/>
                <w:color w:val="000000"/>
                <w:sz w:val="24"/>
                <w:szCs w:val="24"/>
              </w:rPr>
              <w:t>23</w:t>
            </w:r>
            <w:r w:rsidR="007E0B5C" w:rsidRPr="00336DCC">
              <w:rPr>
                <w:rFonts w:eastAsia="Times New Roman" w:cstheme="minorHAnsi"/>
                <w:color w:val="000000"/>
                <w:sz w:val="24"/>
                <w:szCs w:val="24"/>
              </w:rPr>
              <w:t>,</w:t>
            </w:r>
            <w:r w:rsidR="00C72C0B">
              <w:rPr>
                <w:rFonts w:eastAsia="Times New Roman" w:cstheme="minorHAnsi"/>
                <w:color w:val="000000"/>
                <w:sz w:val="24"/>
                <w:szCs w:val="24"/>
              </w:rPr>
              <w:t>9</w:t>
            </w:r>
            <w:r w:rsidR="007A3A82" w:rsidRPr="00336DCC">
              <w:rPr>
                <w:rFonts w:eastAsia="Times New Roman" w:cstheme="minorHAnsi"/>
                <w:color w:val="000000"/>
                <w:sz w:val="24"/>
                <w:szCs w:val="24"/>
              </w:rPr>
              <w:t>%</w:t>
            </w:r>
          </w:p>
        </w:tc>
      </w:tr>
      <w:tr w:rsidR="007A3A82" w:rsidRPr="007A3A82" w14:paraId="3DFCBEB9"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221BA69A" w14:textId="77777777" w:rsidR="007A3A82" w:rsidRPr="00336DCC"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19D31C3E" w14:textId="77777777" w:rsidR="007A3A82" w:rsidRPr="00336DCC" w:rsidRDefault="007A3A82" w:rsidP="00700BFC">
            <w:pPr>
              <w:spacing w:after="0" w:line="240" w:lineRule="auto"/>
              <w:rPr>
                <w:rFonts w:eastAsia="Times New Roman" w:cstheme="minorHAnsi"/>
                <w:color w:val="000000"/>
                <w:sz w:val="24"/>
                <w:szCs w:val="24"/>
              </w:rPr>
            </w:pPr>
            <w:r w:rsidRPr="00336DCC">
              <w:rPr>
                <w:rFonts w:eastAsia="Times New Roman" w:cstheme="minorHAnsi"/>
                <w:color w:val="000000"/>
                <w:sz w:val="24"/>
                <w:szCs w:val="24"/>
              </w:rPr>
              <w:t>Υπηρεσίες</w:t>
            </w:r>
          </w:p>
        </w:tc>
        <w:tc>
          <w:tcPr>
            <w:tcW w:w="844" w:type="pct"/>
            <w:tcBorders>
              <w:top w:val="nil"/>
              <w:left w:val="nil"/>
              <w:bottom w:val="single" w:sz="4" w:space="0" w:color="auto"/>
              <w:right w:val="single" w:sz="12" w:space="0" w:color="auto"/>
            </w:tcBorders>
            <w:shd w:val="clear" w:color="auto" w:fill="auto"/>
            <w:noWrap/>
            <w:vAlign w:val="bottom"/>
            <w:hideMark/>
          </w:tcPr>
          <w:p w14:paraId="52EF3623" w14:textId="11690CB3" w:rsidR="007A3A82" w:rsidRPr="00336DCC" w:rsidRDefault="00A30A12"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3</w:t>
            </w:r>
            <w:r w:rsidR="00C72C0B">
              <w:rPr>
                <w:rFonts w:eastAsia="Times New Roman" w:cstheme="minorHAnsi"/>
                <w:color w:val="000000"/>
                <w:sz w:val="24"/>
                <w:szCs w:val="24"/>
              </w:rPr>
              <w:t>8,9</w:t>
            </w:r>
            <w:r w:rsidR="007A3A82" w:rsidRPr="00336DCC">
              <w:rPr>
                <w:rFonts w:eastAsia="Times New Roman" w:cstheme="minorHAnsi"/>
                <w:color w:val="000000"/>
                <w:sz w:val="24"/>
                <w:szCs w:val="24"/>
              </w:rPr>
              <w:t>%</w:t>
            </w:r>
          </w:p>
        </w:tc>
      </w:tr>
      <w:tr w:rsidR="007A3A82" w:rsidRPr="007A3A82" w14:paraId="24542DDA"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242D892A" w14:textId="77777777" w:rsidR="007A3A82" w:rsidRPr="00336DCC" w:rsidRDefault="007A3A82" w:rsidP="00700BFC">
            <w:pPr>
              <w:spacing w:after="0" w:line="240" w:lineRule="auto"/>
              <w:jc w:val="center"/>
              <w:rPr>
                <w:rFonts w:eastAsia="Times New Roman" w:cstheme="minorHAnsi"/>
                <w:b/>
                <w:bCs/>
                <w:color w:val="000000"/>
                <w:sz w:val="24"/>
                <w:szCs w:val="24"/>
              </w:rPr>
            </w:pPr>
            <w:r w:rsidRPr="00336DCC">
              <w:rPr>
                <w:rFonts w:eastAsia="Times New Roman" w:cstheme="minorHAnsi"/>
                <w:b/>
                <w:bCs/>
                <w:color w:val="000000"/>
                <w:sz w:val="24"/>
                <w:szCs w:val="24"/>
              </w:rPr>
              <w:t>ΝΟΜΙΚΗ ΜΟΡΦΗ</w:t>
            </w:r>
          </w:p>
        </w:tc>
        <w:tc>
          <w:tcPr>
            <w:tcW w:w="1689" w:type="pct"/>
            <w:tcBorders>
              <w:top w:val="nil"/>
              <w:left w:val="nil"/>
              <w:bottom w:val="single" w:sz="4" w:space="0" w:color="auto"/>
              <w:right w:val="single" w:sz="4" w:space="0" w:color="auto"/>
            </w:tcBorders>
            <w:shd w:val="clear" w:color="auto" w:fill="auto"/>
            <w:noWrap/>
            <w:vAlign w:val="bottom"/>
            <w:hideMark/>
          </w:tcPr>
          <w:p w14:paraId="01F3CE74" w14:textId="77777777" w:rsidR="007A3A82" w:rsidRPr="0065621A" w:rsidRDefault="007A3A82" w:rsidP="00700BFC">
            <w:pPr>
              <w:spacing w:after="0" w:line="240" w:lineRule="auto"/>
              <w:rPr>
                <w:rFonts w:eastAsia="Times New Roman" w:cstheme="minorHAnsi"/>
                <w:color w:val="000000"/>
                <w:sz w:val="24"/>
                <w:szCs w:val="24"/>
              </w:rPr>
            </w:pPr>
            <w:r w:rsidRPr="00336DCC">
              <w:rPr>
                <w:rFonts w:eastAsia="Times New Roman" w:cstheme="minorHAnsi"/>
                <w:color w:val="000000"/>
                <w:sz w:val="24"/>
                <w:szCs w:val="24"/>
              </w:rPr>
              <w:t>Ατομ</w:t>
            </w:r>
            <w:r w:rsidRPr="0065621A">
              <w:rPr>
                <w:rFonts w:eastAsia="Times New Roman" w:cstheme="minorHAnsi"/>
                <w:color w:val="000000"/>
                <w:sz w:val="24"/>
                <w:szCs w:val="24"/>
              </w:rPr>
              <w:t>ική</w:t>
            </w:r>
          </w:p>
        </w:tc>
        <w:tc>
          <w:tcPr>
            <w:tcW w:w="844" w:type="pct"/>
            <w:tcBorders>
              <w:top w:val="nil"/>
              <w:left w:val="nil"/>
              <w:bottom w:val="single" w:sz="4" w:space="0" w:color="auto"/>
              <w:right w:val="single" w:sz="12" w:space="0" w:color="auto"/>
            </w:tcBorders>
            <w:shd w:val="clear" w:color="auto" w:fill="auto"/>
            <w:noWrap/>
            <w:vAlign w:val="bottom"/>
            <w:hideMark/>
          </w:tcPr>
          <w:p w14:paraId="0143E27B" w14:textId="475A1812" w:rsidR="007A3A82" w:rsidRPr="0065621A" w:rsidRDefault="00D03572" w:rsidP="000B2B5B">
            <w:pPr>
              <w:spacing w:after="0" w:line="240" w:lineRule="auto"/>
              <w:jc w:val="center"/>
              <w:rPr>
                <w:rFonts w:eastAsia="Times New Roman" w:cstheme="minorHAnsi"/>
                <w:color w:val="000000"/>
                <w:sz w:val="24"/>
                <w:szCs w:val="24"/>
              </w:rPr>
            </w:pPr>
            <w:r>
              <w:rPr>
                <w:rFonts w:eastAsia="Times New Roman" w:cstheme="minorHAnsi"/>
                <w:color w:val="000000"/>
                <w:sz w:val="24"/>
                <w:szCs w:val="24"/>
              </w:rPr>
              <w:t>6</w:t>
            </w:r>
            <w:r w:rsidR="00C72C0B">
              <w:rPr>
                <w:rFonts w:eastAsia="Times New Roman" w:cstheme="minorHAnsi"/>
                <w:color w:val="000000"/>
                <w:sz w:val="24"/>
                <w:szCs w:val="24"/>
              </w:rPr>
              <w:t>6,4</w:t>
            </w:r>
            <w:r w:rsidR="007A3A82" w:rsidRPr="0065621A">
              <w:rPr>
                <w:rFonts w:eastAsia="Times New Roman" w:cstheme="minorHAnsi"/>
                <w:color w:val="000000"/>
                <w:sz w:val="24"/>
                <w:szCs w:val="24"/>
              </w:rPr>
              <w:t>%</w:t>
            </w:r>
          </w:p>
        </w:tc>
      </w:tr>
      <w:tr w:rsidR="007A3A82" w:rsidRPr="007A3A82" w14:paraId="05558313"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4C6FD244" w14:textId="77777777" w:rsidR="007A3A82" w:rsidRPr="0065621A"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78E24BBC" w14:textId="77777777" w:rsidR="007A3A82" w:rsidRPr="007A3A82" w:rsidRDefault="007A3A82" w:rsidP="00700BFC">
            <w:pPr>
              <w:spacing w:after="0" w:line="240" w:lineRule="auto"/>
              <w:rPr>
                <w:rFonts w:eastAsia="Times New Roman" w:cstheme="minorHAnsi"/>
                <w:color w:val="000000"/>
                <w:sz w:val="24"/>
                <w:szCs w:val="24"/>
                <w:lang w:val="en-US"/>
              </w:rPr>
            </w:pPr>
            <w:r w:rsidRPr="0065621A">
              <w:rPr>
                <w:rFonts w:eastAsia="Times New Roman" w:cstheme="minorHAnsi"/>
                <w:color w:val="000000"/>
                <w:sz w:val="24"/>
                <w:szCs w:val="24"/>
              </w:rPr>
              <w:t>Ο</w:t>
            </w:r>
            <w:r w:rsidRPr="007A3A82">
              <w:rPr>
                <w:rFonts w:eastAsia="Times New Roman" w:cstheme="minorHAnsi"/>
                <w:color w:val="000000"/>
                <w:sz w:val="24"/>
                <w:szCs w:val="24"/>
                <w:lang w:val="en-US"/>
              </w:rPr>
              <w:t>Ε-ΕΕ</w:t>
            </w:r>
          </w:p>
        </w:tc>
        <w:tc>
          <w:tcPr>
            <w:tcW w:w="844" w:type="pct"/>
            <w:tcBorders>
              <w:top w:val="nil"/>
              <w:left w:val="nil"/>
              <w:bottom w:val="single" w:sz="4" w:space="0" w:color="auto"/>
              <w:right w:val="single" w:sz="12" w:space="0" w:color="auto"/>
            </w:tcBorders>
            <w:shd w:val="clear" w:color="auto" w:fill="auto"/>
            <w:noWrap/>
            <w:vAlign w:val="bottom"/>
            <w:hideMark/>
          </w:tcPr>
          <w:p w14:paraId="1C806954" w14:textId="21A761A0"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lang w:val="en-US"/>
              </w:rPr>
              <w:t>2</w:t>
            </w:r>
            <w:r w:rsidR="00C72C0B">
              <w:rPr>
                <w:rFonts w:eastAsia="Times New Roman" w:cstheme="minorHAnsi"/>
                <w:color w:val="000000"/>
                <w:sz w:val="24"/>
                <w:szCs w:val="24"/>
              </w:rPr>
              <w:t>1,3</w:t>
            </w:r>
            <w:r w:rsidR="007A3A82" w:rsidRPr="007A3A82">
              <w:rPr>
                <w:rFonts w:eastAsia="Times New Roman" w:cstheme="minorHAnsi"/>
                <w:color w:val="000000"/>
                <w:sz w:val="24"/>
                <w:szCs w:val="24"/>
                <w:lang w:val="en-US"/>
              </w:rPr>
              <w:t>%</w:t>
            </w:r>
          </w:p>
        </w:tc>
      </w:tr>
      <w:tr w:rsidR="007A3A82" w:rsidRPr="007A3A82" w14:paraId="79DD94F4"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C923549"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50131300"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ΙΚΕ </w:t>
            </w:r>
          </w:p>
        </w:tc>
        <w:tc>
          <w:tcPr>
            <w:tcW w:w="844" w:type="pct"/>
            <w:tcBorders>
              <w:top w:val="nil"/>
              <w:left w:val="nil"/>
              <w:bottom w:val="single" w:sz="4" w:space="0" w:color="auto"/>
              <w:right w:val="single" w:sz="12" w:space="0" w:color="auto"/>
            </w:tcBorders>
            <w:shd w:val="clear" w:color="auto" w:fill="auto"/>
            <w:noWrap/>
            <w:vAlign w:val="bottom"/>
            <w:hideMark/>
          </w:tcPr>
          <w:p w14:paraId="06CCCCE8" w14:textId="55E77834"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5</w:t>
            </w:r>
            <w:r w:rsidR="00C72C0B">
              <w:rPr>
                <w:rFonts w:eastAsia="Times New Roman" w:cstheme="minorHAnsi"/>
                <w:color w:val="000000"/>
                <w:sz w:val="24"/>
                <w:szCs w:val="24"/>
              </w:rPr>
              <w:t>,1</w:t>
            </w:r>
            <w:r w:rsidR="007A3A82" w:rsidRPr="007A3A82">
              <w:rPr>
                <w:rFonts w:eastAsia="Times New Roman" w:cstheme="minorHAnsi"/>
                <w:color w:val="000000"/>
                <w:sz w:val="24"/>
                <w:szCs w:val="24"/>
                <w:lang w:val="en-US"/>
              </w:rPr>
              <w:t>%</w:t>
            </w:r>
          </w:p>
        </w:tc>
      </w:tr>
      <w:tr w:rsidR="007A3A82" w:rsidRPr="007A3A82" w14:paraId="148747C5"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44A84914"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07086899"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ΕΠΕ</w:t>
            </w:r>
          </w:p>
        </w:tc>
        <w:tc>
          <w:tcPr>
            <w:tcW w:w="844" w:type="pct"/>
            <w:tcBorders>
              <w:top w:val="nil"/>
              <w:left w:val="nil"/>
              <w:bottom w:val="single" w:sz="4" w:space="0" w:color="auto"/>
              <w:right w:val="single" w:sz="12" w:space="0" w:color="auto"/>
            </w:tcBorders>
            <w:shd w:val="clear" w:color="auto" w:fill="auto"/>
            <w:noWrap/>
            <w:vAlign w:val="bottom"/>
            <w:hideMark/>
          </w:tcPr>
          <w:p w14:paraId="68A1715F" w14:textId="4C06AFBF"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lang w:val="en-US"/>
              </w:rPr>
              <w:t>1</w:t>
            </w:r>
            <w:r>
              <w:rPr>
                <w:rFonts w:eastAsia="Times New Roman" w:cstheme="minorHAnsi"/>
                <w:color w:val="000000"/>
                <w:sz w:val="24"/>
                <w:szCs w:val="24"/>
              </w:rPr>
              <w:t>,</w:t>
            </w:r>
            <w:r w:rsidR="00C72C0B">
              <w:rPr>
                <w:rFonts w:eastAsia="Times New Roman" w:cstheme="minorHAnsi"/>
                <w:color w:val="000000"/>
                <w:sz w:val="24"/>
                <w:szCs w:val="24"/>
              </w:rPr>
              <w:t>2</w:t>
            </w:r>
            <w:r w:rsidR="007A3A82" w:rsidRPr="007A3A82">
              <w:rPr>
                <w:rFonts w:eastAsia="Times New Roman" w:cstheme="minorHAnsi"/>
                <w:color w:val="000000"/>
                <w:sz w:val="24"/>
                <w:szCs w:val="24"/>
                <w:lang w:val="en-US"/>
              </w:rPr>
              <w:t>%</w:t>
            </w:r>
          </w:p>
        </w:tc>
      </w:tr>
      <w:tr w:rsidR="007A3A82" w:rsidRPr="007A3A82" w14:paraId="5F7A3E81"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24D90684"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34DBC767"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ΑΕ</w:t>
            </w:r>
          </w:p>
        </w:tc>
        <w:tc>
          <w:tcPr>
            <w:tcW w:w="844" w:type="pct"/>
            <w:tcBorders>
              <w:top w:val="nil"/>
              <w:left w:val="nil"/>
              <w:bottom w:val="single" w:sz="4" w:space="0" w:color="auto"/>
              <w:right w:val="single" w:sz="12" w:space="0" w:color="auto"/>
            </w:tcBorders>
            <w:shd w:val="clear" w:color="auto" w:fill="auto"/>
            <w:noWrap/>
            <w:vAlign w:val="bottom"/>
            <w:hideMark/>
          </w:tcPr>
          <w:p w14:paraId="6E7D7EE6" w14:textId="72DB5F3F" w:rsidR="007A3A82" w:rsidRPr="007A3A82" w:rsidRDefault="00C72C0B" w:rsidP="000B2B5B">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5,5</w:t>
            </w:r>
            <w:r w:rsidR="007A3A82" w:rsidRPr="007A3A82">
              <w:rPr>
                <w:rFonts w:eastAsia="Times New Roman" w:cstheme="minorHAnsi"/>
                <w:color w:val="000000"/>
                <w:sz w:val="24"/>
                <w:szCs w:val="24"/>
                <w:lang w:val="en-US"/>
              </w:rPr>
              <w:t>%</w:t>
            </w:r>
          </w:p>
        </w:tc>
      </w:tr>
      <w:tr w:rsidR="007A3A82" w:rsidRPr="007A3A82" w14:paraId="50CE81F9"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6FBCCBED" w14:textId="77777777"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ΕΤΗ ΛΕΙΤΟΥΡΓΙΑΣ</w:t>
            </w:r>
          </w:p>
        </w:tc>
        <w:tc>
          <w:tcPr>
            <w:tcW w:w="1689" w:type="pct"/>
            <w:tcBorders>
              <w:top w:val="nil"/>
              <w:left w:val="nil"/>
              <w:bottom w:val="single" w:sz="4" w:space="0" w:color="auto"/>
              <w:right w:val="single" w:sz="4" w:space="0" w:color="auto"/>
            </w:tcBorders>
            <w:shd w:val="clear" w:color="auto" w:fill="auto"/>
            <w:noWrap/>
            <w:vAlign w:val="bottom"/>
            <w:hideMark/>
          </w:tcPr>
          <w:p w14:paraId="38E846F9" w14:textId="77777777" w:rsidR="007A3A82" w:rsidRPr="007A3A82" w:rsidRDefault="007A3A82" w:rsidP="00700BFC">
            <w:pPr>
              <w:spacing w:after="0" w:line="240" w:lineRule="auto"/>
              <w:rPr>
                <w:rFonts w:eastAsia="Times New Roman" w:cstheme="minorHAnsi"/>
                <w:color w:val="000000"/>
                <w:sz w:val="24"/>
                <w:szCs w:val="24"/>
                <w:lang w:val="en-US"/>
              </w:rPr>
            </w:pP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5 </w:t>
            </w:r>
            <w:proofErr w:type="spellStart"/>
            <w:r w:rsidRPr="007A3A82">
              <w:rPr>
                <w:rFonts w:eastAsia="Times New Roman" w:cstheme="minorHAnsi"/>
                <w:color w:val="000000"/>
                <w:sz w:val="24"/>
                <w:szCs w:val="24"/>
                <w:lang w:val="en-US"/>
              </w:rPr>
              <w:t>χρόνι</w:t>
            </w:r>
            <w:proofErr w:type="spellEnd"/>
            <w:r w:rsidRPr="007A3A82">
              <w:rPr>
                <w:rFonts w:eastAsia="Times New Roman" w:cstheme="minorHAnsi"/>
                <w:color w:val="000000"/>
                <w:sz w:val="24"/>
                <w:szCs w:val="24"/>
                <w:lang w:val="en-US"/>
              </w:rPr>
              <w:t>α</w:t>
            </w:r>
          </w:p>
        </w:tc>
        <w:tc>
          <w:tcPr>
            <w:tcW w:w="844" w:type="pct"/>
            <w:tcBorders>
              <w:top w:val="nil"/>
              <w:left w:val="nil"/>
              <w:bottom w:val="single" w:sz="4" w:space="0" w:color="auto"/>
              <w:right w:val="single" w:sz="12" w:space="0" w:color="auto"/>
            </w:tcBorders>
            <w:shd w:val="clear" w:color="auto" w:fill="auto"/>
            <w:noWrap/>
            <w:vAlign w:val="bottom"/>
            <w:hideMark/>
          </w:tcPr>
          <w:p w14:paraId="41F78C4F" w14:textId="5F1BD82B" w:rsidR="007A3A82" w:rsidRPr="007A3A82" w:rsidRDefault="00D03572" w:rsidP="000B2B5B">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w:t>
            </w:r>
            <w:r w:rsidR="00C72C0B">
              <w:rPr>
                <w:rFonts w:eastAsia="Times New Roman" w:cstheme="minorHAnsi"/>
                <w:color w:val="000000"/>
                <w:sz w:val="24"/>
                <w:szCs w:val="24"/>
              </w:rPr>
              <w:t>1,7</w:t>
            </w:r>
            <w:r w:rsidR="007A3A82" w:rsidRPr="007A3A82">
              <w:rPr>
                <w:rFonts w:eastAsia="Times New Roman" w:cstheme="minorHAnsi"/>
                <w:color w:val="000000"/>
                <w:sz w:val="24"/>
                <w:szCs w:val="24"/>
                <w:lang w:val="en-US"/>
              </w:rPr>
              <w:t>%</w:t>
            </w:r>
          </w:p>
        </w:tc>
      </w:tr>
      <w:tr w:rsidR="007A3A82" w:rsidRPr="007A3A82" w14:paraId="5329F255"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1D5D0E0B"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15F074A5"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5-10 </w:t>
            </w:r>
            <w:proofErr w:type="spellStart"/>
            <w:r w:rsidRPr="007A3A82">
              <w:rPr>
                <w:rFonts w:eastAsia="Times New Roman" w:cstheme="minorHAnsi"/>
                <w:color w:val="000000"/>
                <w:sz w:val="24"/>
                <w:szCs w:val="24"/>
                <w:lang w:val="en-US"/>
              </w:rPr>
              <w:t>χρόνι</w:t>
            </w:r>
            <w:proofErr w:type="spellEnd"/>
            <w:r w:rsidRPr="007A3A82">
              <w:rPr>
                <w:rFonts w:eastAsia="Times New Roman" w:cstheme="minorHAnsi"/>
                <w:color w:val="000000"/>
                <w:sz w:val="24"/>
                <w:szCs w:val="24"/>
                <w:lang w:val="en-US"/>
              </w:rPr>
              <w:t>α</w:t>
            </w:r>
          </w:p>
        </w:tc>
        <w:tc>
          <w:tcPr>
            <w:tcW w:w="844" w:type="pct"/>
            <w:tcBorders>
              <w:top w:val="nil"/>
              <w:left w:val="nil"/>
              <w:bottom w:val="single" w:sz="4" w:space="0" w:color="auto"/>
              <w:right w:val="single" w:sz="12" w:space="0" w:color="auto"/>
            </w:tcBorders>
            <w:shd w:val="clear" w:color="auto" w:fill="auto"/>
            <w:noWrap/>
            <w:vAlign w:val="bottom"/>
            <w:hideMark/>
          </w:tcPr>
          <w:p w14:paraId="44B79DB5" w14:textId="041E67A5"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w:t>
            </w:r>
            <w:r w:rsidR="00C72C0B">
              <w:rPr>
                <w:rFonts w:eastAsia="Times New Roman" w:cstheme="minorHAnsi"/>
                <w:color w:val="000000"/>
                <w:sz w:val="24"/>
                <w:szCs w:val="24"/>
              </w:rPr>
              <w:t>3,3</w:t>
            </w:r>
            <w:r w:rsidR="007A3A82" w:rsidRPr="007A3A82">
              <w:rPr>
                <w:rFonts w:eastAsia="Times New Roman" w:cstheme="minorHAnsi"/>
                <w:color w:val="000000"/>
                <w:sz w:val="24"/>
                <w:szCs w:val="24"/>
                <w:lang w:val="en-US"/>
              </w:rPr>
              <w:t>%</w:t>
            </w:r>
          </w:p>
        </w:tc>
      </w:tr>
      <w:tr w:rsidR="007A3A82" w:rsidRPr="007A3A82" w14:paraId="2D5505B9"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0B428EF5"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13730BF2"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10-15 </w:t>
            </w:r>
            <w:proofErr w:type="spellStart"/>
            <w:r w:rsidRPr="007A3A82">
              <w:rPr>
                <w:rFonts w:eastAsia="Times New Roman" w:cstheme="minorHAnsi"/>
                <w:color w:val="000000"/>
                <w:sz w:val="24"/>
                <w:szCs w:val="24"/>
                <w:lang w:val="en-US"/>
              </w:rPr>
              <w:t>χρόνι</w:t>
            </w:r>
            <w:proofErr w:type="spellEnd"/>
            <w:r w:rsidRPr="007A3A82">
              <w:rPr>
                <w:rFonts w:eastAsia="Times New Roman" w:cstheme="minorHAnsi"/>
                <w:color w:val="000000"/>
                <w:sz w:val="24"/>
                <w:szCs w:val="24"/>
                <w:lang w:val="en-US"/>
              </w:rPr>
              <w:t>α</w:t>
            </w:r>
          </w:p>
        </w:tc>
        <w:tc>
          <w:tcPr>
            <w:tcW w:w="844" w:type="pct"/>
            <w:tcBorders>
              <w:top w:val="nil"/>
              <w:left w:val="nil"/>
              <w:bottom w:val="single" w:sz="4" w:space="0" w:color="auto"/>
              <w:right w:val="single" w:sz="12" w:space="0" w:color="auto"/>
            </w:tcBorders>
            <w:shd w:val="clear" w:color="auto" w:fill="auto"/>
            <w:noWrap/>
            <w:vAlign w:val="bottom"/>
            <w:hideMark/>
          </w:tcPr>
          <w:p w14:paraId="3F9E0C92" w14:textId="5D3286DB"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w:t>
            </w:r>
            <w:r w:rsidR="00C72C0B">
              <w:rPr>
                <w:rFonts w:eastAsia="Times New Roman" w:cstheme="minorHAnsi"/>
                <w:color w:val="000000"/>
                <w:sz w:val="24"/>
                <w:szCs w:val="24"/>
              </w:rPr>
              <w:t>1,1</w:t>
            </w:r>
            <w:r w:rsidR="007A3A82" w:rsidRPr="007A3A82">
              <w:rPr>
                <w:rFonts w:eastAsia="Times New Roman" w:cstheme="minorHAnsi"/>
                <w:color w:val="000000"/>
                <w:sz w:val="24"/>
                <w:szCs w:val="24"/>
                <w:lang w:val="en-US"/>
              </w:rPr>
              <w:t>%</w:t>
            </w:r>
          </w:p>
        </w:tc>
      </w:tr>
      <w:tr w:rsidR="007A3A82" w:rsidRPr="007A3A82" w14:paraId="55BFDBE3"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1C94507"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1169E793"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 xml:space="preserve">15 και </w:t>
            </w:r>
            <w:proofErr w:type="spellStart"/>
            <w:r w:rsidRPr="007A3A82">
              <w:rPr>
                <w:rFonts w:eastAsia="Times New Roman" w:cstheme="minorHAnsi"/>
                <w:color w:val="000000"/>
                <w:sz w:val="24"/>
                <w:szCs w:val="24"/>
                <w:lang w:val="en-US"/>
              </w:rPr>
              <w:t>άνω</w:t>
            </w:r>
            <w:proofErr w:type="spellEnd"/>
          </w:p>
        </w:tc>
        <w:tc>
          <w:tcPr>
            <w:tcW w:w="844" w:type="pct"/>
            <w:tcBorders>
              <w:top w:val="nil"/>
              <w:left w:val="nil"/>
              <w:bottom w:val="single" w:sz="4" w:space="0" w:color="auto"/>
              <w:right w:val="single" w:sz="12" w:space="0" w:color="auto"/>
            </w:tcBorders>
            <w:shd w:val="clear" w:color="auto" w:fill="auto"/>
            <w:noWrap/>
            <w:vAlign w:val="bottom"/>
            <w:hideMark/>
          </w:tcPr>
          <w:p w14:paraId="26E5B790" w14:textId="4E8E0E9B"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6</w:t>
            </w:r>
            <w:r w:rsidR="00C72C0B">
              <w:rPr>
                <w:rFonts w:eastAsia="Times New Roman" w:cstheme="minorHAnsi"/>
                <w:color w:val="000000"/>
                <w:sz w:val="24"/>
                <w:szCs w:val="24"/>
              </w:rPr>
              <w:t>3,7</w:t>
            </w:r>
            <w:r w:rsidR="007A3A82" w:rsidRPr="007A3A82">
              <w:rPr>
                <w:rFonts w:eastAsia="Times New Roman" w:cstheme="minorHAnsi"/>
                <w:color w:val="000000"/>
                <w:sz w:val="24"/>
                <w:szCs w:val="24"/>
                <w:lang w:val="en-US"/>
              </w:rPr>
              <w:t>%</w:t>
            </w:r>
          </w:p>
        </w:tc>
      </w:tr>
      <w:tr w:rsidR="007A3A82" w:rsidRPr="007A3A82" w14:paraId="23FB703A"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C6385BB"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510E30D9"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ΔΑ</w:t>
            </w:r>
          </w:p>
        </w:tc>
        <w:tc>
          <w:tcPr>
            <w:tcW w:w="844" w:type="pct"/>
            <w:tcBorders>
              <w:top w:val="nil"/>
              <w:left w:val="nil"/>
              <w:bottom w:val="single" w:sz="4" w:space="0" w:color="auto"/>
              <w:right w:val="single" w:sz="12" w:space="0" w:color="auto"/>
            </w:tcBorders>
            <w:shd w:val="clear" w:color="auto" w:fill="auto"/>
            <w:noWrap/>
            <w:vAlign w:val="bottom"/>
            <w:hideMark/>
          </w:tcPr>
          <w:p w14:paraId="2874CD79" w14:textId="07F56E96" w:rsidR="007A3A82" w:rsidRPr="007A3A82" w:rsidRDefault="00D03572" w:rsidP="000B2B5B">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lang w:val="en-US"/>
              </w:rPr>
              <w:t>0,</w:t>
            </w:r>
            <w:r w:rsidR="000B2B5B">
              <w:rPr>
                <w:rFonts w:eastAsia="Times New Roman" w:cstheme="minorHAnsi"/>
                <w:color w:val="000000"/>
                <w:sz w:val="24"/>
                <w:szCs w:val="24"/>
              </w:rPr>
              <w:t>1</w:t>
            </w:r>
            <w:r w:rsidR="007A3A82" w:rsidRPr="007A3A82">
              <w:rPr>
                <w:rFonts w:eastAsia="Times New Roman" w:cstheme="minorHAnsi"/>
                <w:color w:val="000000"/>
                <w:sz w:val="24"/>
                <w:szCs w:val="24"/>
                <w:lang w:val="en-US"/>
              </w:rPr>
              <w:t>%</w:t>
            </w:r>
          </w:p>
        </w:tc>
      </w:tr>
      <w:tr w:rsidR="007A3A82" w:rsidRPr="007A3A82" w14:paraId="37C97964"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000D2FAD" w14:textId="77777777"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ΑΡΙΘΜΟΣ ΕΡΓΑΖΟΜΕΝΩΝ</w:t>
            </w:r>
          </w:p>
        </w:tc>
        <w:tc>
          <w:tcPr>
            <w:tcW w:w="1689" w:type="pct"/>
            <w:tcBorders>
              <w:top w:val="nil"/>
              <w:left w:val="nil"/>
              <w:bottom w:val="single" w:sz="4" w:space="0" w:color="auto"/>
              <w:right w:val="single" w:sz="4" w:space="0" w:color="auto"/>
            </w:tcBorders>
            <w:shd w:val="clear" w:color="auto" w:fill="auto"/>
            <w:noWrap/>
            <w:vAlign w:val="bottom"/>
            <w:hideMark/>
          </w:tcPr>
          <w:p w14:paraId="14EAA1B8" w14:textId="77777777" w:rsidR="007A3A82" w:rsidRPr="007A3A82" w:rsidRDefault="007A3A82" w:rsidP="00700BFC">
            <w:pPr>
              <w:spacing w:after="0" w:line="240" w:lineRule="auto"/>
              <w:rPr>
                <w:rFonts w:eastAsia="Times New Roman" w:cstheme="minorHAnsi"/>
                <w:color w:val="000000"/>
                <w:sz w:val="24"/>
                <w:szCs w:val="24"/>
                <w:lang w:val="en-US"/>
              </w:rPr>
            </w:pPr>
            <w:proofErr w:type="spellStart"/>
            <w:r w:rsidRPr="007A3A82">
              <w:rPr>
                <w:rFonts w:eastAsia="Times New Roman" w:cstheme="minorHAnsi"/>
                <w:color w:val="000000"/>
                <w:sz w:val="24"/>
                <w:szCs w:val="24"/>
                <w:lang w:val="en-US"/>
              </w:rPr>
              <w:t>Χωρίς</w:t>
            </w:r>
            <w:proofErr w:type="spellEnd"/>
            <w:r w:rsidRPr="007A3A82">
              <w:rPr>
                <w:rFonts w:eastAsia="Times New Roman" w:cstheme="minorHAnsi"/>
                <w:color w:val="000000"/>
                <w:sz w:val="24"/>
                <w:szCs w:val="24"/>
                <w:lang w:val="en-US"/>
              </w:rPr>
              <w:t xml:space="preserve"> π</w:t>
            </w:r>
            <w:proofErr w:type="spellStart"/>
            <w:r w:rsidRPr="007A3A82">
              <w:rPr>
                <w:rFonts w:eastAsia="Times New Roman" w:cstheme="minorHAnsi"/>
                <w:color w:val="000000"/>
                <w:sz w:val="24"/>
                <w:szCs w:val="24"/>
                <w:lang w:val="en-US"/>
              </w:rPr>
              <w:t>ροσω</w:t>
            </w:r>
            <w:proofErr w:type="spellEnd"/>
            <w:r w:rsidRPr="007A3A82">
              <w:rPr>
                <w:rFonts w:eastAsia="Times New Roman" w:cstheme="minorHAnsi"/>
                <w:color w:val="000000"/>
                <w:sz w:val="24"/>
                <w:szCs w:val="24"/>
                <w:lang w:val="en-US"/>
              </w:rPr>
              <w:t>πικό</w:t>
            </w:r>
          </w:p>
        </w:tc>
        <w:tc>
          <w:tcPr>
            <w:tcW w:w="844" w:type="pct"/>
            <w:tcBorders>
              <w:top w:val="nil"/>
              <w:left w:val="nil"/>
              <w:bottom w:val="single" w:sz="4" w:space="0" w:color="auto"/>
              <w:right w:val="single" w:sz="12" w:space="0" w:color="auto"/>
            </w:tcBorders>
            <w:shd w:val="clear" w:color="auto" w:fill="auto"/>
            <w:noWrap/>
            <w:vAlign w:val="bottom"/>
            <w:hideMark/>
          </w:tcPr>
          <w:p w14:paraId="084AC739" w14:textId="50193B97"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35</w:t>
            </w:r>
            <w:r w:rsidR="00C72C0B">
              <w:rPr>
                <w:rFonts w:eastAsia="Times New Roman" w:cstheme="minorHAnsi"/>
                <w:color w:val="000000"/>
                <w:sz w:val="24"/>
                <w:szCs w:val="24"/>
              </w:rPr>
              <w:t>,4</w:t>
            </w:r>
            <w:r w:rsidR="007A3A82" w:rsidRPr="007A3A82">
              <w:rPr>
                <w:rFonts w:eastAsia="Times New Roman" w:cstheme="minorHAnsi"/>
                <w:color w:val="000000"/>
                <w:sz w:val="24"/>
                <w:szCs w:val="24"/>
                <w:lang w:val="en-US"/>
              </w:rPr>
              <w:t>%</w:t>
            </w:r>
          </w:p>
        </w:tc>
      </w:tr>
      <w:tr w:rsidR="007A3A82" w:rsidRPr="007A3A82" w14:paraId="16F44F95"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4742D500"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69F2494C" w14:textId="6AE5D5C2" w:rsidR="007A3A82" w:rsidRPr="00D03572" w:rsidRDefault="00D03572" w:rsidP="00700BFC">
            <w:pPr>
              <w:spacing w:after="0" w:line="240" w:lineRule="auto"/>
              <w:rPr>
                <w:rFonts w:eastAsia="Times New Roman" w:cstheme="minorHAnsi"/>
                <w:color w:val="000000"/>
                <w:sz w:val="24"/>
                <w:szCs w:val="24"/>
              </w:rPr>
            </w:pPr>
            <w:r>
              <w:rPr>
                <w:rFonts w:eastAsia="Times New Roman" w:cstheme="minorHAnsi"/>
                <w:color w:val="000000"/>
                <w:sz w:val="24"/>
                <w:szCs w:val="24"/>
              </w:rPr>
              <w:t>1 άτομο</w:t>
            </w:r>
          </w:p>
        </w:tc>
        <w:tc>
          <w:tcPr>
            <w:tcW w:w="844" w:type="pct"/>
            <w:tcBorders>
              <w:top w:val="nil"/>
              <w:left w:val="nil"/>
              <w:bottom w:val="single" w:sz="4" w:space="0" w:color="auto"/>
              <w:right w:val="single" w:sz="12" w:space="0" w:color="auto"/>
            </w:tcBorders>
            <w:shd w:val="clear" w:color="auto" w:fill="auto"/>
            <w:noWrap/>
            <w:vAlign w:val="bottom"/>
            <w:hideMark/>
          </w:tcPr>
          <w:p w14:paraId="0EF2E2D2" w14:textId="60182AE0"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w:t>
            </w:r>
            <w:r w:rsidR="00C72C0B">
              <w:rPr>
                <w:rFonts w:eastAsia="Times New Roman" w:cstheme="minorHAnsi"/>
                <w:color w:val="000000"/>
                <w:sz w:val="24"/>
                <w:szCs w:val="24"/>
              </w:rPr>
              <w:t>9,9</w:t>
            </w:r>
            <w:r w:rsidR="007A3A82" w:rsidRPr="007A3A82">
              <w:rPr>
                <w:rFonts w:eastAsia="Times New Roman" w:cstheme="minorHAnsi"/>
                <w:color w:val="000000"/>
                <w:sz w:val="24"/>
                <w:szCs w:val="24"/>
                <w:lang w:val="en-US"/>
              </w:rPr>
              <w:t>%</w:t>
            </w:r>
          </w:p>
        </w:tc>
      </w:tr>
      <w:tr w:rsidR="007A3A82" w:rsidRPr="007A3A82" w14:paraId="04A1550F"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59DD0EF"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02653772" w14:textId="2FD9C831" w:rsidR="007A3A82" w:rsidRPr="00D03572" w:rsidRDefault="00D03572" w:rsidP="00700BFC">
            <w:pPr>
              <w:spacing w:after="0" w:line="240" w:lineRule="auto"/>
              <w:rPr>
                <w:rFonts w:eastAsia="Times New Roman" w:cstheme="minorHAnsi"/>
                <w:color w:val="000000"/>
                <w:sz w:val="24"/>
                <w:szCs w:val="24"/>
              </w:rPr>
            </w:pPr>
            <w:r>
              <w:rPr>
                <w:rFonts w:eastAsia="Times New Roman" w:cstheme="minorHAnsi"/>
                <w:color w:val="000000"/>
                <w:sz w:val="24"/>
                <w:szCs w:val="24"/>
              </w:rPr>
              <w:t>2-3 άτομα</w:t>
            </w:r>
          </w:p>
        </w:tc>
        <w:tc>
          <w:tcPr>
            <w:tcW w:w="844" w:type="pct"/>
            <w:tcBorders>
              <w:top w:val="nil"/>
              <w:left w:val="nil"/>
              <w:bottom w:val="single" w:sz="4" w:space="0" w:color="auto"/>
              <w:right w:val="single" w:sz="12" w:space="0" w:color="auto"/>
            </w:tcBorders>
            <w:shd w:val="clear" w:color="auto" w:fill="auto"/>
            <w:noWrap/>
            <w:vAlign w:val="bottom"/>
            <w:hideMark/>
          </w:tcPr>
          <w:p w14:paraId="000CC2FF" w14:textId="2ECDC781" w:rsidR="007A3A82" w:rsidRPr="007A3A82" w:rsidRDefault="00D03572"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2</w:t>
            </w:r>
            <w:r w:rsidR="00C72C0B">
              <w:rPr>
                <w:rFonts w:eastAsia="Times New Roman" w:cstheme="minorHAnsi"/>
                <w:color w:val="000000"/>
                <w:sz w:val="24"/>
                <w:szCs w:val="24"/>
              </w:rPr>
              <w:t>2,4</w:t>
            </w:r>
            <w:r w:rsidR="007A3A82" w:rsidRPr="007A3A82">
              <w:rPr>
                <w:rFonts w:eastAsia="Times New Roman" w:cstheme="minorHAnsi"/>
                <w:color w:val="000000"/>
                <w:sz w:val="24"/>
                <w:szCs w:val="24"/>
                <w:lang w:val="en-US"/>
              </w:rPr>
              <w:t>%</w:t>
            </w:r>
          </w:p>
        </w:tc>
      </w:tr>
      <w:tr w:rsidR="007A3A82" w:rsidRPr="007A3A82" w14:paraId="439AC223"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C48CF33"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5041AD95" w14:textId="088B4819" w:rsidR="007A3A82" w:rsidRPr="00D03572" w:rsidRDefault="00D03572" w:rsidP="00700BFC">
            <w:pPr>
              <w:spacing w:after="0" w:line="240" w:lineRule="auto"/>
              <w:rPr>
                <w:rFonts w:eastAsia="Times New Roman" w:cstheme="minorHAnsi"/>
                <w:color w:val="000000"/>
                <w:sz w:val="24"/>
                <w:szCs w:val="24"/>
              </w:rPr>
            </w:pPr>
            <w:r>
              <w:rPr>
                <w:rFonts w:eastAsia="Times New Roman" w:cstheme="minorHAnsi"/>
                <w:color w:val="000000"/>
                <w:sz w:val="24"/>
                <w:szCs w:val="24"/>
              </w:rPr>
              <w:t>4-5 άτομα</w:t>
            </w:r>
          </w:p>
        </w:tc>
        <w:tc>
          <w:tcPr>
            <w:tcW w:w="844" w:type="pct"/>
            <w:tcBorders>
              <w:top w:val="nil"/>
              <w:left w:val="nil"/>
              <w:bottom w:val="single" w:sz="4" w:space="0" w:color="auto"/>
              <w:right w:val="single" w:sz="12" w:space="0" w:color="auto"/>
            </w:tcBorders>
            <w:shd w:val="clear" w:color="auto" w:fill="auto"/>
            <w:noWrap/>
            <w:vAlign w:val="bottom"/>
            <w:hideMark/>
          </w:tcPr>
          <w:p w14:paraId="02AD0B65" w14:textId="6469598A" w:rsidR="007A3A82" w:rsidRPr="007A3A82" w:rsidRDefault="00C72C0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7,6</w:t>
            </w:r>
            <w:r w:rsidR="007A3A82" w:rsidRPr="007A3A82">
              <w:rPr>
                <w:rFonts w:eastAsia="Times New Roman" w:cstheme="minorHAnsi"/>
                <w:color w:val="000000"/>
                <w:sz w:val="24"/>
                <w:szCs w:val="24"/>
                <w:lang w:val="en-US"/>
              </w:rPr>
              <w:t>%</w:t>
            </w:r>
          </w:p>
        </w:tc>
      </w:tr>
      <w:tr w:rsidR="007A3A82" w:rsidRPr="007A3A82" w14:paraId="0B3BF084"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23168525"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31FEB169" w14:textId="349B7782" w:rsidR="007A3A82" w:rsidRPr="00D03572" w:rsidRDefault="00D03572" w:rsidP="00700BFC">
            <w:pPr>
              <w:spacing w:after="0" w:line="240" w:lineRule="auto"/>
              <w:rPr>
                <w:rFonts w:eastAsia="Times New Roman" w:cstheme="minorHAnsi"/>
                <w:color w:val="000000"/>
                <w:sz w:val="24"/>
                <w:szCs w:val="24"/>
              </w:rPr>
            </w:pPr>
            <w:r>
              <w:rPr>
                <w:rFonts w:eastAsia="Times New Roman" w:cstheme="minorHAnsi"/>
                <w:color w:val="000000"/>
                <w:sz w:val="24"/>
                <w:szCs w:val="24"/>
              </w:rPr>
              <w:t>Πάνω από 5 άτομα</w:t>
            </w:r>
          </w:p>
        </w:tc>
        <w:tc>
          <w:tcPr>
            <w:tcW w:w="844" w:type="pct"/>
            <w:tcBorders>
              <w:top w:val="nil"/>
              <w:left w:val="nil"/>
              <w:bottom w:val="single" w:sz="4" w:space="0" w:color="auto"/>
              <w:right w:val="single" w:sz="12" w:space="0" w:color="auto"/>
            </w:tcBorders>
            <w:shd w:val="clear" w:color="auto" w:fill="auto"/>
            <w:noWrap/>
            <w:vAlign w:val="bottom"/>
            <w:hideMark/>
          </w:tcPr>
          <w:p w14:paraId="12E8E23D" w14:textId="31FA69B3"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w:t>
            </w:r>
            <w:r w:rsidR="00C72C0B">
              <w:rPr>
                <w:rFonts w:eastAsia="Times New Roman" w:cstheme="minorHAnsi"/>
                <w:color w:val="000000"/>
                <w:sz w:val="24"/>
                <w:szCs w:val="24"/>
              </w:rPr>
              <w:t>4,4</w:t>
            </w:r>
            <w:r w:rsidR="007A3A82" w:rsidRPr="007A3A82">
              <w:rPr>
                <w:rFonts w:eastAsia="Times New Roman" w:cstheme="minorHAnsi"/>
                <w:color w:val="000000"/>
                <w:sz w:val="24"/>
                <w:szCs w:val="24"/>
                <w:lang w:val="en-US"/>
              </w:rPr>
              <w:t>%</w:t>
            </w:r>
          </w:p>
        </w:tc>
      </w:tr>
      <w:tr w:rsidR="007A3A82" w:rsidRPr="007A3A82" w14:paraId="54F08B50" w14:textId="77777777" w:rsidTr="007A3A82">
        <w:trPr>
          <w:trHeight w:val="288"/>
        </w:trPr>
        <w:tc>
          <w:tcPr>
            <w:tcW w:w="2466" w:type="pct"/>
            <w:vMerge w:val="restart"/>
            <w:tcBorders>
              <w:top w:val="nil"/>
              <w:left w:val="single" w:sz="12" w:space="0" w:color="auto"/>
              <w:bottom w:val="single" w:sz="4" w:space="0" w:color="auto"/>
              <w:right w:val="single" w:sz="4" w:space="0" w:color="auto"/>
            </w:tcBorders>
            <w:shd w:val="clear" w:color="D9E1F2" w:fill="D9E1F2"/>
            <w:vAlign w:val="center"/>
            <w:hideMark/>
          </w:tcPr>
          <w:p w14:paraId="1586ADD4" w14:textId="77777777" w:rsidR="007A3A82" w:rsidRPr="007A3A82" w:rsidRDefault="007A3A82" w:rsidP="00700BFC">
            <w:pPr>
              <w:spacing w:after="0" w:line="240" w:lineRule="auto"/>
              <w:jc w:val="center"/>
              <w:rPr>
                <w:rFonts w:eastAsia="Times New Roman" w:cstheme="minorHAnsi"/>
                <w:b/>
                <w:bCs/>
                <w:color w:val="000000"/>
                <w:sz w:val="24"/>
                <w:szCs w:val="24"/>
                <w:lang w:val="en-US"/>
              </w:rPr>
            </w:pPr>
            <w:r w:rsidRPr="007A3A82">
              <w:rPr>
                <w:rFonts w:eastAsia="Times New Roman" w:cstheme="minorHAnsi"/>
                <w:b/>
                <w:bCs/>
                <w:color w:val="000000"/>
                <w:sz w:val="24"/>
                <w:szCs w:val="24"/>
                <w:lang w:val="en-US"/>
              </w:rPr>
              <w:t>ΕΤΗΣΙΟΣ ΚΥΚΛΟΣ ΕΡΓΑΣΙΩΝ</w:t>
            </w:r>
          </w:p>
        </w:tc>
        <w:tc>
          <w:tcPr>
            <w:tcW w:w="1689" w:type="pct"/>
            <w:tcBorders>
              <w:top w:val="nil"/>
              <w:left w:val="nil"/>
              <w:bottom w:val="single" w:sz="4" w:space="0" w:color="auto"/>
              <w:right w:val="single" w:sz="4" w:space="0" w:color="auto"/>
            </w:tcBorders>
            <w:shd w:val="clear" w:color="auto" w:fill="auto"/>
            <w:noWrap/>
            <w:vAlign w:val="bottom"/>
            <w:hideMark/>
          </w:tcPr>
          <w:p w14:paraId="6AC7687E" w14:textId="77777777" w:rsidR="007A3A82" w:rsidRPr="007A3A82" w:rsidRDefault="007A3A82" w:rsidP="00700BFC">
            <w:pPr>
              <w:spacing w:after="0" w:line="240" w:lineRule="auto"/>
              <w:rPr>
                <w:rFonts w:eastAsia="Times New Roman" w:cstheme="minorHAnsi"/>
                <w:color w:val="000000"/>
                <w:sz w:val="24"/>
                <w:szCs w:val="24"/>
              </w:rPr>
            </w:pP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50.000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7F0098BD" w14:textId="14F3B2BF" w:rsidR="007A3A82" w:rsidRPr="007A3A82" w:rsidRDefault="00C72C0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40,8</w:t>
            </w:r>
            <w:r w:rsidR="007A3A82" w:rsidRPr="007A3A82">
              <w:rPr>
                <w:rFonts w:eastAsia="Times New Roman" w:cstheme="minorHAnsi"/>
                <w:color w:val="000000"/>
                <w:sz w:val="24"/>
                <w:szCs w:val="24"/>
                <w:lang w:val="en-US"/>
              </w:rPr>
              <w:t>%</w:t>
            </w:r>
          </w:p>
        </w:tc>
      </w:tr>
      <w:tr w:rsidR="007A3A82" w:rsidRPr="007A3A82" w14:paraId="6DC5F48A"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2B1D5142"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1EC3189C" w14:textId="77777777" w:rsidR="007A3A82" w:rsidRPr="007A3A82" w:rsidRDefault="007A3A82" w:rsidP="00700BFC">
            <w:pPr>
              <w:spacing w:after="0" w:line="240" w:lineRule="auto"/>
              <w:rPr>
                <w:rFonts w:eastAsia="Times New Roman" w:cstheme="minorHAnsi"/>
                <w:color w:val="000000"/>
                <w:sz w:val="24"/>
                <w:szCs w:val="24"/>
              </w:rPr>
            </w:pPr>
            <w:r w:rsidRPr="007A3A82">
              <w:rPr>
                <w:rFonts w:eastAsia="Times New Roman" w:cstheme="minorHAnsi"/>
                <w:color w:val="000000"/>
                <w:sz w:val="24"/>
                <w:szCs w:val="24"/>
                <w:lang w:val="en-US"/>
              </w:rPr>
              <w:t>50</w:t>
            </w:r>
            <w:r w:rsidRPr="007A3A82">
              <w:rPr>
                <w:rFonts w:eastAsia="Times New Roman" w:cstheme="minorHAnsi"/>
                <w:color w:val="000000"/>
                <w:sz w:val="24"/>
                <w:szCs w:val="24"/>
              </w:rPr>
              <w:t>.001</w:t>
            </w:r>
            <w:r w:rsidRPr="007A3A82">
              <w:rPr>
                <w:rFonts w:eastAsia="Times New Roman" w:cstheme="minorHAnsi"/>
                <w:color w:val="000000"/>
                <w:sz w:val="24"/>
                <w:szCs w:val="24"/>
                <w:lang w:val="en-US"/>
              </w:rPr>
              <w:t xml:space="preserve"> </w:t>
            </w:r>
            <w:proofErr w:type="spellStart"/>
            <w:r w:rsidRPr="007A3A82">
              <w:rPr>
                <w:rFonts w:eastAsia="Times New Roman" w:cstheme="minorHAnsi"/>
                <w:color w:val="000000"/>
                <w:sz w:val="24"/>
                <w:szCs w:val="24"/>
                <w:lang w:val="en-US"/>
              </w:rPr>
              <w:t>έως</w:t>
            </w:r>
            <w:proofErr w:type="spellEnd"/>
            <w:r w:rsidRPr="007A3A82">
              <w:rPr>
                <w:rFonts w:eastAsia="Times New Roman" w:cstheme="minorHAnsi"/>
                <w:color w:val="000000"/>
                <w:sz w:val="24"/>
                <w:szCs w:val="24"/>
                <w:lang w:val="en-US"/>
              </w:rPr>
              <w:t xml:space="preserve"> 100.000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3D93E506" w14:textId="5A9A7063"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2</w:t>
            </w:r>
            <w:r w:rsidR="00C72C0B">
              <w:rPr>
                <w:rFonts w:eastAsia="Times New Roman" w:cstheme="minorHAnsi"/>
                <w:color w:val="000000"/>
                <w:sz w:val="24"/>
                <w:szCs w:val="24"/>
              </w:rPr>
              <w:t>1,7</w:t>
            </w:r>
            <w:r w:rsidR="007A3A82" w:rsidRPr="007A3A82">
              <w:rPr>
                <w:rFonts w:eastAsia="Times New Roman" w:cstheme="minorHAnsi"/>
                <w:color w:val="000000"/>
                <w:sz w:val="24"/>
                <w:szCs w:val="24"/>
                <w:lang w:val="en-US"/>
              </w:rPr>
              <w:t>%</w:t>
            </w:r>
          </w:p>
        </w:tc>
      </w:tr>
      <w:tr w:rsidR="007A3A82" w:rsidRPr="007A3A82" w14:paraId="23D50B04"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5E433869"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53D7EBBC" w14:textId="3243732A" w:rsidR="007A3A82" w:rsidRPr="007A3A82" w:rsidRDefault="007A3A82" w:rsidP="00700BFC">
            <w:pPr>
              <w:spacing w:after="0" w:line="240" w:lineRule="auto"/>
              <w:rPr>
                <w:rFonts w:eastAsia="Times New Roman" w:cstheme="minorHAnsi"/>
                <w:color w:val="000000"/>
                <w:sz w:val="24"/>
                <w:szCs w:val="24"/>
              </w:rPr>
            </w:pPr>
            <w:r w:rsidRPr="00ED4052">
              <w:rPr>
                <w:rFonts w:eastAsia="Times New Roman" w:cstheme="minorHAnsi"/>
                <w:color w:val="000000"/>
                <w:sz w:val="24"/>
                <w:szCs w:val="24"/>
              </w:rPr>
              <w:t>100</w:t>
            </w:r>
            <w:r w:rsidR="00E226B6">
              <w:rPr>
                <w:rFonts w:eastAsia="Times New Roman" w:cstheme="minorHAnsi"/>
                <w:color w:val="000000"/>
                <w:sz w:val="24"/>
                <w:szCs w:val="24"/>
              </w:rPr>
              <w:t>.</w:t>
            </w:r>
            <w:r w:rsidRPr="007A3A82">
              <w:rPr>
                <w:rFonts w:eastAsia="Times New Roman" w:cstheme="minorHAnsi"/>
                <w:color w:val="000000"/>
                <w:sz w:val="24"/>
                <w:szCs w:val="24"/>
              </w:rPr>
              <w:t>001</w:t>
            </w:r>
            <w:r w:rsidRPr="00ED4052">
              <w:rPr>
                <w:rFonts w:eastAsia="Times New Roman" w:cstheme="minorHAnsi"/>
                <w:color w:val="000000"/>
                <w:sz w:val="24"/>
                <w:szCs w:val="24"/>
              </w:rPr>
              <w:t>-300.000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1D7B721A" w14:textId="6D8C68AB" w:rsidR="007A3A82" w:rsidRPr="00ED4052" w:rsidRDefault="00D03572"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1</w:t>
            </w:r>
            <w:r w:rsidR="00C72C0B">
              <w:rPr>
                <w:rFonts w:eastAsia="Times New Roman" w:cstheme="minorHAnsi"/>
                <w:color w:val="000000"/>
                <w:sz w:val="24"/>
                <w:szCs w:val="24"/>
              </w:rPr>
              <w:t>6,2</w:t>
            </w:r>
            <w:r w:rsidR="007A3A82" w:rsidRPr="00ED4052">
              <w:rPr>
                <w:rFonts w:eastAsia="Times New Roman" w:cstheme="minorHAnsi"/>
                <w:color w:val="000000"/>
                <w:sz w:val="24"/>
                <w:szCs w:val="24"/>
              </w:rPr>
              <w:t>%</w:t>
            </w:r>
          </w:p>
        </w:tc>
      </w:tr>
      <w:tr w:rsidR="007A3A82" w:rsidRPr="007A3A82" w14:paraId="54C38138"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3F145B70" w14:textId="77777777" w:rsidR="007A3A82" w:rsidRPr="00ED4052"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0B04C05E" w14:textId="77777777" w:rsidR="007A3A82" w:rsidRPr="007A3A82" w:rsidRDefault="007A3A82" w:rsidP="00700BFC">
            <w:pPr>
              <w:spacing w:after="0" w:line="240" w:lineRule="auto"/>
              <w:rPr>
                <w:rFonts w:eastAsia="Times New Roman" w:cstheme="minorHAnsi"/>
                <w:color w:val="000000"/>
                <w:sz w:val="24"/>
                <w:szCs w:val="24"/>
              </w:rPr>
            </w:pPr>
            <w:r w:rsidRPr="00ED4052">
              <w:rPr>
                <w:rFonts w:eastAsia="Times New Roman" w:cstheme="minorHAnsi"/>
                <w:color w:val="000000"/>
                <w:sz w:val="24"/>
                <w:szCs w:val="24"/>
              </w:rPr>
              <w:t>300</w:t>
            </w:r>
            <w:r w:rsidRPr="007A3A82">
              <w:rPr>
                <w:rFonts w:eastAsia="Times New Roman" w:cstheme="minorHAnsi"/>
                <w:color w:val="000000"/>
                <w:sz w:val="24"/>
                <w:szCs w:val="24"/>
              </w:rPr>
              <w:t>.001</w:t>
            </w:r>
            <w:r w:rsidRPr="00ED4052">
              <w:rPr>
                <w:rFonts w:eastAsia="Times New Roman" w:cstheme="minorHAnsi"/>
                <w:color w:val="000000"/>
                <w:sz w:val="24"/>
                <w:szCs w:val="24"/>
              </w:rPr>
              <w:t>-500.000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5054801C" w14:textId="3D6E928F" w:rsidR="007A3A82" w:rsidRPr="00ED4052" w:rsidRDefault="000B2B5B"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6,</w:t>
            </w:r>
            <w:r w:rsidR="00885D23">
              <w:rPr>
                <w:rFonts w:eastAsia="Times New Roman" w:cstheme="minorHAnsi"/>
                <w:color w:val="000000"/>
                <w:sz w:val="24"/>
                <w:szCs w:val="24"/>
              </w:rPr>
              <w:t>6</w:t>
            </w:r>
            <w:r w:rsidR="007A3A82" w:rsidRPr="00ED4052">
              <w:rPr>
                <w:rFonts w:eastAsia="Times New Roman" w:cstheme="minorHAnsi"/>
                <w:color w:val="000000"/>
                <w:sz w:val="24"/>
                <w:szCs w:val="24"/>
              </w:rPr>
              <w:t>%</w:t>
            </w:r>
          </w:p>
        </w:tc>
      </w:tr>
      <w:tr w:rsidR="007A3A82" w:rsidRPr="007A3A82" w14:paraId="10B88CE3"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6B413362" w14:textId="77777777" w:rsidR="007A3A82" w:rsidRPr="00ED4052"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3F5D21F9" w14:textId="77777777" w:rsidR="007A3A82" w:rsidRPr="007A3A82" w:rsidRDefault="007A3A82" w:rsidP="00700BFC">
            <w:pPr>
              <w:spacing w:after="0" w:line="240" w:lineRule="auto"/>
              <w:rPr>
                <w:rFonts w:eastAsia="Times New Roman" w:cstheme="minorHAnsi"/>
                <w:color w:val="000000"/>
                <w:sz w:val="24"/>
                <w:szCs w:val="24"/>
              </w:rPr>
            </w:pPr>
            <w:r w:rsidRPr="00ED4052">
              <w:rPr>
                <w:rFonts w:eastAsia="Times New Roman" w:cstheme="minorHAnsi"/>
                <w:color w:val="000000"/>
                <w:sz w:val="24"/>
                <w:szCs w:val="24"/>
              </w:rPr>
              <w:t>500.00</w:t>
            </w:r>
            <w:r w:rsidRPr="007A3A82">
              <w:rPr>
                <w:rFonts w:eastAsia="Times New Roman" w:cstheme="minorHAnsi"/>
                <w:color w:val="000000"/>
                <w:sz w:val="24"/>
                <w:szCs w:val="24"/>
              </w:rPr>
              <w:t>1-</w:t>
            </w:r>
            <w:r w:rsidRPr="00ED4052">
              <w:rPr>
                <w:rFonts w:eastAsia="Times New Roman" w:cstheme="minorHAnsi"/>
                <w:color w:val="000000"/>
                <w:sz w:val="24"/>
                <w:szCs w:val="24"/>
              </w:rPr>
              <w:t>1.000.000</w:t>
            </w:r>
            <w:r w:rsidRPr="007A3A82">
              <w:rPr>
                <w:rFonts w:eastAsia="Times New Roman" w:cstheme="minorHAnsi"/>
                <w:color w:val="000000"/>
                <w:sz w:val="24"/>
                <w:szCs w:val="24"/>
              </w:rPr>
              <w:t xml:space="preserve"> €</w:t>
            </w:r>
          </w:p>
        </w:tc>
        <w:tc>
          <w:tcPr>
            <w:tcW w:w="844" w:type="pct"/>
            <w:tcBorders>
              <w:top w:val="nil"/>
              <w:left w:val="nil"/>
              <w:bottom w:val="single" w:sz="4" w:space="0" w:color="auto"/>
              <w:right w:val="single" w:sz="12" w:space="0" w:color="auto"/>
            </w:tcBorders>
            <w:shd w:val="clear" w:color="auto" w:fill="auto"/>
            <w:noWrap/>
            <w:vAlign w:val="bottom"/>
            <w:hideMark/>
          </w:tcPr>
          <w:p w14:paraId="72ED3288" w14:textId="5A1F5468" w:rsidR="007A3A82" w:rsidRPr="00ED4052" w:rsidRDefault="000B2B5B"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4</w:t>
            </w:r>
            <w:r w:rsidR="00D03572">
              <w:rPr>
                <w:rFonts w:eastAsia="Times New Roman" w:cstheme="minorHAnsi"/>
                <w:color w:val="000000"/>
                <w:sz w:val="24"/>
                <w:szCs w:val="24"/>
              </w:rPr>
              <w:t>,</w:t>
            </w:r>
            <w:r w:rsidR="00885D23">
              <w:rPr>
                <w:rFonts w:eastAsia="Times New Roman" w:cstheme="minorHAnsi"/>
                <w:color w:val="000000"/>
                <w:sz w:val="24"/>
                <w:szCs w:val="24"/>
              </w:rPr>
              <w:t>5</w:t>
            </w:r>
            <w:r w:rsidR="007A3A82" w:rsidRPr="00ED4052">
              <w:rPr>
                <w:rFonts w:eastAsia="Times New Roman" w:cstheme="minorHAnsi"/>
                <w:color w:val="000000"/>
                <w:sz w:val="24"/>
                <w:szCs w:val="24"/>
              </w:rPr>
              <w:t>%</w:t>
            </w:r>
          </w:p>
        </w:tc>
      </w:tr>
      <w:tr w:rsidR="007A3A82" w:rsidRPr="007A3A82" w14:paraId="59585A54"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13018F26" w14:textId="77777777" w:rsidR="007A3A82" w:rsidRPr="00ED4052"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3DDD5E80" w14:textId="606324BF" w:rsidR="007A3A82" w:rsidRPr="007A3A82" w:rsidRDefault="007A3A82" w:rsidP="007E0B5C">
            <w:pPr>
              <w:spacing w:after="0" w:line="240" w:lineRule="auto"/>
              <w:rPr>
                <w:rFonts w:eastAsia="Times New Roman" w:cstheme="minorHAnsi"/>
                <w:color w:val="000000"/>
                <w:sz w:val="24"/>
                <w:szCs w:val="24"/>
              </w:rPr>
            </w:pPr>
            <w:r w:rsidRPr="00ED4052">
              <w:rPr>
                <w:rFonts w:eastAsia="Times New Roman" w:cstheme="minorHAnsi"/>
                <w:color w:val="000000"/>
                <w:sz w:val="24"/>
                <w:szCs w:val="24"/>
              </w:rPr>
              <w:t>Πάνω από 1.000.000</w:t>
            </w:r>
            <w:r w:rsidRPr="007A3A82">
              <w:rPr>
                <w:rFonts w:eastAsia="Times New Roman" w:cstheme="minorHAnsi"/>
                <w:color w:val="000000"/>
                <w:sz w:val="24"/>
                <w:szCs w:val="24"/>
              </w:rPr>
              <w:t xml:space="preserve"> </w:t>
            </w:r>
            <w:r w:rsidR="00E226B6">
              <w:rPr>
                <w:rFonts w:eastAsia="Times New Roman" w:cstheme="minorHAnsi"/>
                <w:color w:val="000000"/>
                <w:sz w:val="24"/>
                <w:szCs w:val="24"/>
              </w:rPr>
              <w:t>€</w:t>
            </w:r>
          </w:p>
        </w:tc>
        <w:tc>
          <w:tcPr>
            <w:tcW w:w="844" w:type="pct"/>
            <w:tcBorders>
              <w:top w:val="nil"/>
              <w:left w:val="nil"/>
              <w:bottom w:val="single" w:sz="4" w:space="0" w:color="auto"/>
              <w:right w:val="single" w:sz="12" w:space="0" w:color="auto"/>
            </w:tcBorders>
            <w:shd w:val="clear" w:color="auto" w:fill="auto"/>
            <w:noWrap/>
            <w:vAlign w:val="bottom"/>
            <w:hideMark/>
          </w:tcPr>
          <w:p w14:paraId="707F2917" w14:textId="145644E1" w:rsidR="007A3A82" w:rsidRPr="00ED4052" w:rsidRDefault="00885D23"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4,7</w:t>
            </w:r>
            <w:r w:rsidR="007A3A82" w:rsidRPr="00ED4052">
              <w:rPr>
                <w:rFonts w:eastAsia="Times New Roman" w:cstheme="minorHAnsi"/>
                <w:color w:val="000000"/>
                <w:sz w:val="24"/>
                <w:szCs w:val="24"/>
              </w:rPr>
              <w:t>%</w:t>
            </w:r>
          </w:p>
        </w:tc>
      </w:tr>
      <w:tr w:rsidR="007A3A82" w:rsidRPr="007A3A82" w14:paraId="334D7419" w14:textId="77777777" w:rsidTr="007A3A82">
        <w:trPr>
          <w:trHeight w:val="288"/>
        </w:trPr>
        <w:tc>
          <w:tcPr>
            <w:tcW w:w="2466" w:type="pct"/>
            <w:vMerge/>
            <w:tcBorders>
              <w:top w:val="nil"/>
              <w:left w:val="single" w:sz="12" w:space="0" w:color="auto"/>
              <w:bottom w:val="single" w:sz="4" w:space="0" w:color="auto"/>
              <w:right w:val="single" w:sz="4" w:space="0" w:color="auto"/>
            </w:tcBorders>
            <w:vAlign w:val="center"/>
            <w:hideMark/>
          </w:tcPr>
          <w:p w14:paraId="2D8E35D6" w14:textId="77777777" w:rsidR="007A3A82" w:rsidRPr="00ED4052" w:rsidRDefault="007A3A82" w:rsidP="00700BFC">
            <w:pPr>
              <w:spacing w:after="0" w:line="240" w:lineRule="auto"/>
              <w:rPr>
                <w:rFonts w:eastAsia="Times New Roman" w:cstheme="minorHAnsi"/>
                <w:b/>
                <w:bCs/>
                <w:color w:val="000000"/>
                <w:sz w:val="24"/>
                <w:szCs w:val="24"/>
              </w:rPr>
            </w:pPr>
          </w:p>
        </w:tc>
        <w:tc>
          <w:tcPr>
            <w:tcW w:w="1689" w:type="pct"/>
            <w:tcBorders>
              <w:top w:val="nil"/>
              <w:left w:val="nil"/>
              <w:bottom w:val="single" w:sz="4" w:space="0" w:color="auto"/>
              <w:right w:val="single" w:sz="4" w:space="0" w:color="auto"/>
            </w:tcBorders>
            <w:shd w:val="clear" w:color="auto" w:fill="auto"/>
            <w:noWrap/>
            <w:vAlign w:val="bottom"/>
            <w:hideMark/>
          </w:tcPr>
          <w:p w14:paraId="43B42D1B" w14:textId="60A5D4B8" w:rsidR="007A3A82" w:rsidRPr="00ED4052" w:rsidRDefault="007A3A82" w:rsidP="00700BFC">
            <w:pPr>
              <w:spacing w:after="0" w:line="240" w:lineRule="auto"/>
              <w:rPr>
                <w:rFonts w:eastAsia="Times New Roman" w:cstheme="minorHAnsi"/>
                <w:color w:val="000000"/>
                <w:sz w:val="24"/>
                <w:szCs w:val="24"/>
              </w:rPr>
            </w:pPr>
            <w:r w:rsidRPr="00ED4052">
              <w:rPr>
                <w:rFonts w:eastAsia="Times New Roman" w:cstheme="minorHAnsi"/>
                <w:color w:val="000000"/>
                <w:sz w:val="24"/>
                <w:szCs w:val="24"/>
              </w:rPr>
              <w:t>ΔΑ</w:t>
            </w:r>
          </w:p>
        </w:tc>
        <w:tc>
          <w:tcPr>
            <w:tcW w:w="844" w:type="pct"/>
            <w:tcBorders>
              <w:top w:val="nil"/>
              <w:left w:val="nil"/>
              <w:bottom w:val="single" w:sz="4" w:space="0" w:color="auto"/>
              <w:right w:val="single" w:sz="12" w:space="0" w:color="auto"/>
            </w:tcBorders>
            <w:shd w:val="clear" w:color="auto" w:fill="auto"/>
            <w:noWrap/>
            <w:vAlign w:val="bottom"/>
            <w:hideMark/>
          </w:tcPr>
          <w:p w14:paraId="723340E5" w14:textId="62B65FDB" w:rsidR="007A3A82" w:rsidRPr="00ED4052" w:rsidRDefault="00885D23" w:rsidP="00700BFC">
            <w:pPr>
              <w:spacing w:after="0" w:line="240" w:lineRule="auto"/>
              <w:jc w:val="center"/>
              <w:rPr>
                <w:rFonts w:eastAsia="Times New Roman" w:cstheme="minorHAnsi"/>
                <w:color w:val="000000"/>
                <w:sz w:val="24"/>
                <w:szCs w:val="24"/>
              </w:rPr>
            </w:pPr>
            <w:r>
              <w:rPr>
                <w:rFonts w:eastAsia="Times New Roman" w:cstheme="minorHAnsi"/>
                <w:color w:val="000000"/>
                <w:sz w:val="24"/>
                <w:szCs w:val="24"/>
              </w:rPr>
              <w:t>5,5</w:t>
            </w:r>
            <w:r w:rsidR="007A3A82" w:rsidRPr="00ED4052">
              <w:rPr>
                <w:rFonts w:eastAsia="Times New Roman" w:cstheme="minorHAnsi"/>
                <w:color w:val="000000"/>
                <w:sz w:val="24"/>
                <w:szCs w:val="24"/>
              </w:rPr>
              <w:t>%</w:t>
            </w:r>
          </w:p>
        </w:tc>
      </w:tr>
      <w:tr w:rsidR="007A3A82" w:rsidRPr="007A3A82" w14:paraId="6F9EB3E0" w14:textId="77777777" w:rsidTr="007A3A82">
        <w:trPr>
          <w:trHeight w:val="288"/>
        </w:trPr>
        <w:tc>
          <w:tcPr>
            <w:tcW w:w="2466" w:type="pct"/>
            <w:vMerge w:val="restart"/>
            <w:tcBorders>
              <w:top w:val="nil"/>
              <w:left w:val="single" w:sz="12" w:space="0" w:color="auto"/>
              <w:bottom w:val="single" w:sz="12" w:space="0" w:color="000000"/>
              <w:right w:val="single" w:sz="4" w:space="0" w:color="auto"/>
            </w:tcBorders>
            <w:shd w:val="clear" w:color="D9E1F2" w:fill="D9E1F2"/>
            <w:vAlign w:val="center"/>
            <w:hideMark/>
          </w:tcPr>
          <w:p w14:paraId="3D6BB3EE" w14:textId="77777777" w:rsidR="007A3A82" w:rsidRPr="00ED4052" w:rsidRDefault="007A3A82" w:rsidP="00700BFC">
            <w:pPr>
              <w:spacing w:after="0" w:line="240" w:lineRule="auto"/>
              <w:jc w:val="center"/>
              <w:rPr>
                <w:rFonts w:eastAsia="Times New Roman" w:cstheme="minorHAnsi"/>
                <w:b/>
                <w:bCs/>
                <w:color w:val="000000"/>
                <w:sz w:val="24"/>
                <w:szCs w:val="24"/>
              </w:rPr>
            </w:pPr>
            <w:r w:rsidRPr="00ED4052">
              <w:rPr>
                <w:rFonts w:eastAsia="Times New Roman" w:cstheme="minorHAnsi"/>
                <w:b/>
                <w:bCs/>
                <w:color w:val="000000"/>
                <w:sz w:val="24"/>
                <w:szCs w:val="24"/>
              </w:rPr>
              <w:t>ΓΕΩΓΡΑΦΙΚΗ ΠΕΡΙΟΧΗ</w:t>
            </w:r>
          </w:p>
        </w:tc>
        <w:tc>
          <w:tcPr>
            <w:tcW w:w="1689" w:type="pct"/>
            <w:tcBorders>
              <w:top w:val="nil"/>
              <w:left w:val="nil"/>
              <w:bottom w:val="single" w:sz="4" w:space="0" w:color="auto"/>
              <w:right w:val="single" w:sz="4" w:space="0" w:color="auto"/>
            </w:tcBorders>
            <w:shd w:val="clear" w:color="auto" w:fill="auto"/>
            <w:noWrap/>
            <w:vAlign w:val="bottom"/>
            <w:hideMark/>
          </w:tcPr>
          <w:p w14:paraId="67E28AEC" w14:textId="77777777" w:rsidR="007A3A82" w:rsidRPr="00ED4052" w:rsidRDefault="007A3A82" w:rsidP="00700BFC">
            <w:pPr>
              <w:spacing w:after="0" w:line="240" w:lineRule="auto"/>
              <w:rPr>
                <w:rFonts w:eastAsia="Times New Roman" w:cstheme="minorHAnsi"/>
                <w:color w:val="000000"/>
                <w:sz w:val="24"/>
                <w:szCs w:val="24"/>
              </w:rPr>
            </w:pPr>
            <w:r w:rsidRPr="007A3A82">
              <w:rPr>
                <w:rFonts w:eastAsia="Times New Roman" w:cstheme="minorHAnsi"/>
                <w:color w:val="000000"/>
                <w:sz w:val="24"/>
                <w:szCs w:val="24"/>
                <w:lang w:val="en-US"/>
              </w:rPr>
              <w:t>EL</w:t>
            </w:r>
            <w:r w:rsidRPr="00ED4052">
              <w:rPr>
                <w:rFonts w:eastAsia="Times New Roman" w:cstheme="minorHAnsi"/>
                <w:color w:val="000000"/>
                <w:sz w:val="24"/>
                <w:szCs w:val="24"/>
              </w:rPr>
              <w:t>3 ΑΤΤΙΚΗ</w:t>
            </w:r>
          </w:p>
        </w:tc>
        <w:tc>
          <w:tcPr>
            <w:tcW w:w="844" w:type="pct"/>
            <w:tcBorders>
              <w:top w:val="nil"/>
              <w:left w:val="nil"/>
              <w:bottom w:val="single" w:sz="4" w:space="0" w:color="auto"/>
              <w:right w:val="single" w:sz="12" w:space="0" w:color="auto"/>
            </w:tcBorders>
            <w:shd w:val="clear" w:color="auto" w:fill="auto"/>
            <w:noWrap/>
            <w:vAlign w:val="bottom"/>
            <w:hideMark/>
          </w:tcPr>
          <w:p w14:paraId="78F87B4A" w14:textId="69CA6F33" w:rsidR="007A3A82" w:rsidRPr="007A3A82" w:rsidRDefault="007E0B5C"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lang w:val="en-US"/>
              </w:rPr>
              <w:t>36,</w:t>
            </w:r>
            <w:r w:rsidR="000B2B5B">
              <w:rPr>
                <w:rFonts w:eastAsia="Times New Roman" w:cstheme="minorHAnsi"/>
                <w:color w:val="000000"/>
                <w:sz w:val="24"/>
                <w:szCs w:val="24"/>
              </w:rPr>
              <w:t>6</w:t>
            </w:r>
            <w:r w:rsidR="007A3A82" w:rsidRPr="007A3A82">
              <w:rPr>
                <w:rFonts w:eastAsia="Times New Roman" w:cstheme="minorHAnsi"/>
                <w:color w:val="000000"/>
                <w:sz w:val="24"/>
                <w:szCs w:val="24"/>
                <w:lang w:val="en-US"/>
              </w:rPr>
              <w:t>%</w:t>
            </w:r>
          </w:p>
        </w:tc>
      </w:tr>
      <w:tr w:rsidR="007A3A82" w:rsidRPr="007A3A82" w14:paraId="2400DBE3" w14:textId="77777777" w:rsidTr="007A3A82">
        <w:trPr>
          <w:trHeight w:val="288"/>
        </w:trPr>
        <w:tc>
          <w:tcPr>
            <w:tcW w:w="2466" w:type="pct"/>
            <w:vMerge/>
            <w:tcBorders>
              <w:top w:val="nil"/>
              <w:left w:val="single" w:sz="12" w:space="0" w:color="auto"/>
              <w:bottom w:val="single" w:sz="12" w:space="0" w:color="000000"/>
              <w:right w:val="single" w:sz="4" w:space="0" w:color="auto"/>
            </w:tcBorders>
            <w:vAlign w:val="center"/>
            <w:hideMark/>
          </w:tcPr>
          <w:p w14:paraId="36678B17"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3D4FCECB"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EL5 ΒΟΡΕΙΑ ΕΛΛΑΔΑ</w:t>
            </w:r>
          </w:p>
        </w:tc>
        <w:tc>
          <w:tcPr>
            <w:tcW w:w="844" w:type="pct"/>
            <w:tcBorders>
              <w:top w:val="nil"/>
              <w:left w:val="nil"/>
              <w:bottom w:val="single" w:sz="4" w:space="0" w:color="auto"/>
              <w:right w:val="single" w:sz="12" w:space="0" w:color="auto"/>
            </w:tcBorders>
            <w:shd w:val="clear" w:color="auto" w:fill="auto"/>
            <w:noWrap/>
            <w:vAlign w:val="bottom"/>
            <w:hideMark/>
          </w:tcPr>
          <w:p w14:paraId="39BD08A1" w14:textId="5EB974F7"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27,2</w:t>
            </w:r>
            <w:r w:rsidR="007A3A82" w:rsidRPr="007A3A82">
              <w:rPr>
                <w:rFonts w:eastAsia="Times New Roman" w:cstheme="minorHAnsi"/>
                <w:color w:val="000000"/>
                <w:sz w:val="24"/>
                <w:szCs w:val="24"/>
                <w:lang w:val="en-US"/>
              </w:rPr>
              <w:t>%</w:t>
            </w:r>
          </w:p>
        </w:tc>
      </w:tr>
      <w:tr w:rsidR="007A3A82" w:rsidRPr="007A3A82" w14:paraId="7A94878A" w14:textId="77777777" w:rsidTr="007A3A82">
        <w:trPr>
          <w:trHeight w:val="288"/>
        </w:trPr>
        <w:tc>
          <w:tcPr>
            <w:tcW w:w="2466" w:type="pct"/>
            <w:vMerge/>
            <w:tcBorders>
              <w:top w:val="nil"/>
              <w:left w:val="single" w:sz="12" w:space="0" w:color="auto"/>
              <w:bottom w:val="single" w:sz="12" w:space="0" w:color="000000"/>
              <w:right w:val="single" w:sz="4" w:space="0" w:color="auto"/>
            </w:tcBorders>
            <w:vAlign w:val="center"/>
            <w:hideMark/>
          </w:tcPr>
          <w:p w14:paraId="50004D4F"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4" w:space="0" w:color="auto"/>
              <w:right w:val="single" w:sz="4" w:space="0" w:color="auto"/>
            </w:tcBorders>
            <w:shd w:val="clear" w:color="auto" w:fill="auto"/>
            <w:noWrap/>
            <w:vAlign w:val="bottom"/>
            <w:hideMark/>
          </w:tcPr>
          <w:p w14:paraId="36A2B23B"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EL6 ΚΕΝΤΡΙΚΗ ΕΛΛΑΔΑ</w:t>
            </w:r>
          </w:p>
        </w:tc>
        <w:tc>
          <w:tcPr>
            <w:tcW w:w="844" w:type="pct"/>
            <w:tcBorders>
              <w:top w:val="nil"/>
              <w:left w:val="nil"/>
              <w:bottom w:val="single" w:sz="4" w:space="0" w:color="auto"/>
              <w:right w:val="single" w:sz="12" w:space="0" w:color="auto"/>
            </w:tcBorders>
            <w:shd w:val="clear" w:color="auto" w:fill="auto"/>
            <w:noWrap/>
            <w:vAlign w:val="bottom"/>
            <w:hideMark/>
          </w:tcPr>
          <w:p w14:paraId="1A9C55CE" w14:textId="38F7D397" w:rsidR="007A3A82" w:rsidRPr="007A3A82" w:rsidRDefault="00D03572"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lang w:val="en-US"/>
              </w:rPr>
              <w:t>23,</w:t>
            </w:r>
            <w:r w:rsidR="000B2B5B">
              <w:rPr>
                <w:rFonts w:eastAsia="Times New Roman" w:cstheme="minorHAnsi"/>
                <w:color w:val="000000"/>
                <w:sz w:val="24"/>
                <w:szCs w:val="24"/>
              </w:rPr>
              <w:t>2</w:t>
            </w:r>
            <w:r w:rsidR="007A3A82" w:rsidRPr="007A3A82">
              <w:rPr>
                <w:rFonts w:eastAsia="Times New Roman" w:cstheme="minorHAnsi"/>
                <w:color w:val="000000"/>
                <w:sz w:val="24"/>
                <w:szCs w:val="24"/>
                <w:lang w:val="en-US"/>
              </w:rPr>
              <w:t>%</w:t>
            </w:r>
          </w:p>
        </w:tc>
      </w:tr>
      <w:tr w:rsidR="007A3A82" w:rsidRPr="007A3A82" w14:paraId="7D8EC8A3" w14:textId="77777777" w:rsidTr="007A3A82">
        <w:trPr>
          <w:trHeight w:val="300"/>
        </w:trPr>
        <w:tc>
          <w:tcPr>
            <w:tcW w:w="2466" w:type="pct"/>
            <w:vMerge/>
            <w:tcBorders>
              <w:top w:val="nil"/>
              <w:left w:val="single" w:sz="12" w:space="0" w:color="auto"/>
              <w:bottom w:val="single" w:sz="12" w:space="0" w:color="000000"/>
              <w:right w:val="single" w:sz="4" w:space="0" w:color="auto"/>
            </w:tcBorders>
            <w:vAlign w:val="center"/>
            <w:hideMark/>
          </w:tcPr>
          <w:p w14:paraId="2F20B2D1" w14:textId="77777777" w:rsidR="007A3A82" w:rsidRPr="007A3A82" w:rsidRDefault="007A3A82" w:rsidP="00700BFC">
            <w:pPr>
              <w:spacing w:after="0" w:line="240" w:lineRule="auto"/>
              <w:rPr>
                <w:rFonts w:eastAsia="Times New Roman" w:cstheme="minorHAnsi"/>
                <w:b/>
                <w:bCs/>
                <w:color w:val="000000"/>
                <w:sz w:val="24"/>
                <w:szCs w:val="24"/>
                <w:lang w:val="en-US"/>
              </w:rPr>
            </w:pPr>
          </w:p>
        </w:tc>
        <w:tc>
          <w:tcPr>
            <w:tcW w:w="1689" w:type="pct"/>
            <w:tcBorders>
              <w:top w:val="nil"/>
              <w:left w:val="nil"/>
              <w:bottom w:val="single" w:sz="12" w:space="0" w:color="auto"/>
              <w:right w:val="single" w:sz="4" w:space="0" w:color="auto"/>
            </w:tcBorders>
            <w:shd w:val="clear" w:color="auto" w:fill="auto"/>
            <w:noWrap/>
            <w:vAlign w:val="bottom"/>
            <w:hideMark/>
          </w:tcPr>
          <w:p w14:paraId="1478D52B" w14:textId="77777777" w:rsidR="007A3A82" w:rsidRPr="007A3A82" w:rsidRDefault="007A3A82" w:rsidP="00700BFC">
            <w:pPr>
              <w:spacing w:after="0" w:line="240" w:lineRule="auto"/>
              <w:rPr>
                <w:rFonts w:eastAsia="Times New Roman" w:cstheme="minorHAnsi"/>
                <w:color w:val="000000"/>
                <w:sz w:val="24"/>
                <w:szCs w:val="24"/>
                <w:lang w:val="en-US"/>
              </w:rPr>
            </w:pPr>
            <w:r w:rsidRPr="007A3A82">
              <w:rPr>
                <w:rFonts w:eastAsia="Times New Roman" w:cstheme="minorHAnsi"/>
                <w:color w:val="000000"/>
                <w:sz w:val="24"/>
                <w:szCs w:val="24"/>
                <w:lang w:val="en-US"/>
              </w:rPr>
              <w:t>EL4 ΝΗΣΙΑ ΑΙΓΑΙΟΥ &amp; ΚΡΗΤΗ</w:t>
            </w:r>
          </w:p>
        </w:tc>
        <w:tc>
          <w:tcPr>
            <w:tcW w:w="844" w:type="pct"/>
            <w:tcBorders>
              <w:top w:val="nil"/>
              <w:left w:val="nil"/>
              <w:bottom w:val="single" w:sz="12" w:space="0" w:color="auto"/>
              <w:right w:val="single" w:sz="12" w:space="0" w:color="auto"/>
            </w:tcBorders>
            <w:shd w:val="clear" w:color="auto" w:fill="auto"/>
            <w:noWrap/>
            <w:vAlign w:val="bottom"/>
            <w:hideMark/>
          </w:tcPr>
          <w:p w14:paraId="7A9692E8" w14:textId="0AD9C9FB" w:rsidR="007A3A82" w:rsidRPr="007A3A82" w:rsidRDefault="000B2B5B" w:rsidP="00700BFC">
            <w:pPr>
              <w:spacing w:after="0" w:line="240" w:lineRule="auto"/>
              <w:jc w:val="center"/>
              <w:rPr>
                <w:rFonts w:eastAsia="Times New Roman" w:cstheme="minorHAnsi"/>
                <w:color w:val="000000"/>
                <w:sz w:val="24"/>
                <w:szCs w:val="24"/>
                <w:lang w:val="en-US"/>
              </w:rPr>
            </w:pPr>
            <w:r>
              <w:rPr>
                <w:rFonts w:eastAsia="Times New Roman" w:cstheme="minorHAnsi"/>
                <w:color w:val="000000"/>
                <w:sz w:val="24"/>
                <w:szCs w:val="24"/>
              </w:rPr>
              <w:t>13</w:t>
            </w:r>
            <w:r w:rsidR="007A3A82" w:rsidRPr="007A3A82">
              <w:rPr>
                <w:rFonts w:eastAsia="Times New Roman" w:cstheme="minorHAnsi"/>
                <w:color w:val="000000"/>
                <w:sz w:val="24"/>
                <w:szCs w:val="24"/>
                <w:lang w:val="en-US"/>
              </w:rPr>
              <w:t>%</w:t>
            </w:r>
          </w:p>
        </w:tc>
      </w:tr>
    </w:tbl>
    <w:p w14:paraId="69B406E1" w14:textId="77777777" w:rsidR="007A3A82" w:rsidRPr="007A3A82" w:rsidRDefault="007A3A82" w:rsidP="00700BFC">
      <w:pPr>
        <w:spacing w:after="0" w:line="360" w:lineRule="auto"/>
        <w:jc w:val="both"/>
        <w:rPr>
          <w:rFonts w:cstheme="minorHAnsi"/>
          <w:b/>
          <w:sz w:val="24"/>
          <w:szCs w:val="24"/>
          <w:u w:val="single"/>
        </w:rPr>
      </w:pPr>
    </w:p>
    <w:sectPr w:rsidR="007A3A82" w:rsidRPr="007A3A82" w:rsidSect="007A04DD">
      <w:headerReference w:type="default" r:id="rId31"/>
      <w:footerReference w:type="default" r:id="rId32"/>
      <w:pgSz w:w="11906" w:h="16838"/>
      <w:pgMar w:top="1745" w:right="566" w:bottom="993"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199F84" w14:textId="77777777" w:rsidR="00FC2D4D" w:rsidRDefault="00FC2D4D" w:rsidP="00F23403">
      <w:pPr>
        <w:spacing w:after="0" w:line="240" w:lineRule="auto"/>
      </w:pPr>
      <w:r>
        <w:separator/>
      </w:r>
    </w:p>
  </w:endnote>
  <w:endnote w:type="continuationSeparator" w:id="0">
    <w:p w14:paraId="76DE33F7" w14:textId="77777777" w:rsidR="00FC2D4D" w:rsidRDefault="00FC2D4D" w:rsidP="00F23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1"/>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9752160"/>
      <w:docPartObj>
        <w:docPartGallery w:val="Page Numbers (Bottom of Page)"/>
        <w:docPartUnique/>
      </w:docPartObj>
    </w:sdtPr>
    <w:sdtContent>
      <w:p w14:paraId="5A4FE5C6" w14:textId="4E251404" w:rsidR="00973ABE" w:rsidRDefault="00973ABE">
        <w:pPr>
          <w:pStyle w:val="a6"/>
          <w:jc w:val="right"/>
        </w:pPr>
        <w:r>
          <w:fldChar w:fldCharType="begin"/>
        </w:r>
        <w:r>
          <w:instrText>PAGE   \* MERGEFORMAT</w:instrText>
        </w:r>
        <w:r>
          <w:fldChar w:fldCharType="separate"/>
        </w:r>
        <w:r w:rsidR="00EC03B6">
          <w:rPr>
            <w:noProof/>
          </w:rPr>
          <w:t>2</w:t>
        </w:r>
        <w:r>
          <w:fldChar w:fldCharType="end"/>
        </w:r>
      </w:p>
    </w:sdtContent>
  </w:sdt>
  <w:p w14:paraId="462EC6A7" w14:textId="77777777" w:rsidR="00973ABE" w:rsidRDefault="00973AB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5E4115" w14:textId="77777777" w:rsidR="00FC2D4D" w:rsidRDefault="00FC2D4D" w:rsidP="00F23403">
      <w:pPr>
        <w:spacing w:after="0" w:line="240" w:lineRule="auto"/>
      </w:pPr>
      <w:r>
        <w:separator/>
      </w:r>
    </w:p>
  </w:footnote>
  <w:footnote w:type="continuationSeparator" w:id="0">
    <w:p w14:paraId="2670942B" w14:textId="77777777" w:rsidR="00FC2D4D" w:rsidRDefault="00FC2D4D" w:rsidP="00F23403">
      <w:pPr>
        <w:spacing w:after="0" w:line="240" w:lineRule="auto"/>
      </w:pPr>
      <w:r>
        <w:continuationSeparator/>
      </w:r>
    </w:p>
  </w:footnote>
  <w:footnote w:id="1">
    <w:p w14:paraId="58693D8C" w14:textId="496C7BA2" w:rsidR="00973ABE" w:rsidRPr="001E0D9A" w:rsidRDefault="00973ABE" w:rsidP="00CC6E2A">
      <w:pPr>
        <w:spacing w:after="0" w:line="360" w:lineRule="auto"/>
        <w:jc w:val="both"/>
        <w:rPr>
          <w:rFonts w:ascii="Times New Roman" w:hAnsi="Times New Roman" w:cs="Times New Roman"/>
          <w:sz w:val="16"/>
          <w:szCs w:val="16"/>
        </w:rPr>
      </w:pPr>
      <w:r w:rsidRPr="00B841AC">
        <w:rPr>
          <w:rStyle w:val="a9"/>
        </w:rPr>
        <w:footnoteRef/>
      </w:r>
      <w:r w:rsidRPr="00B841AC">
        <w:t xml:space="preserve"> </w:t>
      </w:r>
      <w:r w:rsidRPr="001E0D9A">
        <w:rPr>
          <w:sz w:val="16"/>
          <w:szCs w:val="16"/>
        </w:rPr>
        <w:t xml:space="preserve">Οι </w:t>
      </w:r>
      <w:r w:rsidR="007B7F0A">
        <w:rPr>
          <w:sz w:val="16"/>
          <w:szCs w:val="16"/>
        </w:rPr>
        <w:t>εξαμηνιαίες</w:t>
      </w:r>
      <w:r w:rsidRPr="001E0D9A">
        <w:rPr>
          <w:sz w:val="16"/>
          <w:szCs w:val="16"/>
        </w:rPr>
        <w:t xml:space="preserve"> έρευνες του ΙΜΕ ΓΣΕΒΕΕ έχουν ως βασικό στόχο την αποτύπωση του οικονομικού κλίματος στις πολύ μικρές και μικρές επιχειρήσεις, στους κλάδους της μεταποίησης, του εμπορίου και των υπηρεσιών, που αποτελούν το 99,6% των επιχειρήσεων στην Ελλάδα. Τα ευρήματα της έρευνας μπορούν να συγκριθούν με τα αντίστοιχα των προηγούμενων ερευνών </w:t>
      </w:r>
      <w:r w:rsidRPr="00C6281E">
        <w:rPr>
          <w:sz w:val="16"/>
          <w:szCs w:val="16"/>
        </w:rPr>
        <w:t xml:space="preserve">(Μάιος 2009 – </w:t>
      </w:r>
      <w:r w:rsidR="007B7F0A">
        <w:rPr>
          <w:sz w:val="16"/>
          <w:szCs w:val="16"/>
        </w:rPr>
        <w:t>Ιούλιος 2024</w:t>
      </w:r>
      <w:r w:rsidRPr="00C6281E">
        <w:rPr>
          <w:sz w:val="16"/>
          <w:szCs w:val="16"/>
        </w:rPr>
        <w:t>). Οι</w:t>
      </w:r>
      <w:r w:rsidRPr="001E0D9A">
        <w:rPr>
          <w:sz w:val="16"/>
          <w:szCs w:val="16"/>
        </w:rPr>
        <w:t xml:space="preserve"> έρευνες αυτές αποτελούν</w:t>
      </w:r>
      <w:r w:rsidRPr="005A25E4">
        <w:rPr>
          <w:sz w:val="16"/>
          <w:szCs w:val="16"/>
        </w:rPr>
        <w:t xml:space="preserve"> </w:t>
      </w:r>
      <w:r w:rsidRPr="001E0D9A">
        <w:rPr>
          <w:sz w:val="16"/>
          <w:szCs w:val="16"/>
        </w:rPr>
        <w:t xml:space="preserve">το μοναδικό εργαλείο, σε πανελλαδικό επίπεδο, για την καταγραφή της κατάστασης και της πορείας του μεγαλύτερου τμήματος της πραγματικής οικονομίας στην Ελλάδα. Τα πρωτογενή δεδομένα </w:t>
      </w:r>
      <w:r>
        <w:rPr>
          <w:sz w:val="16"/>
          <w:szCs w:val="16"/>
        </w:rPr>
        <w:t>των ερευνών</w:t>
      </w:r>
      <w:r w:rsidRPr="001E0D9A">
        <w:rPr>
          <w:sz w:val="16"/>
          <w:szCs w:val="16"/>
        </w:rPr>
        <w:t xml:space="preserve"> χρησιμοποιούνται από την Ευρωπαϊκή Συνομοσπονδία</w:t>
      </w:r>
      <w:r w:rsidRPr="00E15AAA">
        <w:rPr>
          <w:sz w:val="16"/>
          <w:szCs w:val="16"/>
        </w:rPr>
        <w:t xml:space="preserve"> </w:t>
      </w:r>
      <w:r>
        <w:rPr>
          <w:sz w:val="16"/>
          <w:szCs w:val="16"/>
        </w:rPr>
        <w:t>Βιοτεχνικών και</w:t>
      </w:r>
      <w:r w:rsidRPr="001E0D9A">
        <w:rPr>
          <w:sz w:val="16"/>
          <w:szCs w:val="16"/>
        </w:rPr>
        <w:t xml:space="preserve"> Μικρομεσαί</w:t>
      </w:r>
      <w:r>
        <w:rPr>
          <w:sz w:val="16"/>
          <w:szCs w:val="16"/>
        </w:rPr>
        <w:t>ων Επιχειρήσεων (SME</w:t>
      </w:r>
      <w:r>
        <w:rPr>
          <w:sz w:val="16"/>
          <w:szCs w:val="16"/>
          <w:lang w:val="en-US"/>
        </w:rPr>
        <w:t>u</w:t>
      </w:r>
      <w:proofErr w:type="spellStart"/>
      <w:r w:rsidRPr="001E0D9A">
        <w:rPr>
          <w:sz w:val="16"/>
          <w:szCs w:val="16"/>
        </w:rPr>
        <w:t>nited</w:t>
      </w:r>
      <w:proofErr w:type="spellEnd"/>
      <w:r w:rsidRPr="001E0D9A">
        <w:rPr>
          <w:sz w:val="16"/>
          <w:szCs w:val="16"/>
        </w:rPr>
        <w:t xml:space="preserve">) για την κατασκευή των δεικτών ευρωπαϊκού οικονομικού κλίματος και είναι συγκρίσιμα με τα στοιχεία άλλων χωρών της ΕΕ.  </w:t>
      </w:r>
    </w:p>
    <w:p w14:paraId="586B123A" w14:textId="77777777" w:rsidR="00973ABE" w:rsidRDefault="00973ABE" w:rsidP="00CC6E2A">
      <w:pPr>
        <w:pStyle w:val="a8"/>
      </w:pPr>
    </w:p>
  </w:footnote>
  <w:footnote w:id="2">
    <w:p w14:paraId="505D1D90" w14:textId="77777777" w:rsidR="00973ABE" w:rsidRPr="007B6667" w:rsidRDefault="00973ABE" w:rsidP="009815A2">
      <w:pPr>
        <w:pStyle w:val="a8"/>
        <w:jc w:val="both"/>
        <w:rPr>
          <w:rFonts w:ascii="Calibri Light" w:hAnsi="Calibri Light" w:cs="Calibri Light"/>
          <w:sz w:val="18"/>
          <w:szCs w:val="18"/>
        </w:rPr>
      </w:pPr>
      <w:r w:rsidRPr="007B6667">
        <w:rPr>
          <w:rStyle w:val="a9"/>
          <w:rFonts w:ascii="Calibri Light" w:hAnsi="Calibri Light" w:cs="Calibri Light"/>
          <w:sz w:val="18"/>
          <w:szCs w:val="18"/>
        </w:rPr>
        <w:footnoteRef/>
      </w:r>
      <w:r w:rsidRPr="007B6667">
        <w:rPr>
          <w:rFonts w:ascii="Calibri Light" w:hAnsi="Calibri Light" w:cs="Calibri Light"/>
          <w:sz w:val="18"/>
          <w:szCs w:val="18"/>
        </w:rPr>
        <w:t xml:space="preserve"> Σύμφωνα με τις εποχικά προσαρμοσμένες εκτιμήσεις απασχόλησης και ανεργίας για τον Ιούνιο 2024, το εποχικά διορθωμένο ποσοστό ανεργίας κυμάνθηκε στο 9,6%, έναντι του αναθεωρημένου προς τα άνω 11,4% τον Ιούνιο του 2023 και του αναθεωρημένου προς τα κάτω 10,3% τον Μάιο του 2024 </w:t>
      </w:r>
      <w:hyperlink r:id="rId1" w:history="1">
        <w:r w:rsidRPr="007B6667">
          <w:rPr>
            <w:rStyle w:val="-"/>
            <w:rFonts w:ascii="Calibri Light" w:hAnsi="Calibri Light" w:cs="Calibri Light"/>
            <w:sz w:val="18"/>
            <w:szCs w:val="18"/>
          </w:rPr>
          <w:t>https://www.statistics.gr/documents/20181/797e8512-c457-092e-87f4-453d2f823643</w:t>
        </w:r>
      </w:hyperlink>
      <w:r w:rsidRPr="007B6667">
        <w:rPr>
          <w:rStyle w:val="-"/>
          <w:rFonts w:ascii="Calibri Light" w:hAnsi="Calibri Light" w:cs="Calibri Light"/>
          <w:sz w:val="18"/>
          <w:szCs w:val="18"/>
        </w:rPr>
        <w:t xml:space="preserve"> </w:t>
      </w:r>
    </w:p>
  </w:footnote>
  <w:footnote w:id="3">
    <w:p w14:paraId="1F43FECC" w14:textId="77777777" w:rsidR="00973ABE" w:rsidRPr="007B6667" w:rsidRDefault="00973ABE" w:rsidP="009815A2">
      <w:pPr>
        <w:pStyle w:val="a8"/>
        <w:jc w:val="both"/>
        <w:rPr>
          <w:rFonts w:ascii="Calibri Light" w:hAnsi="Calibri Light" w:cs="Calibri Light"/>
          <w:sz w:val="18"/>
          <w:szCs w:val="18"/>
        </w:rPr>
      </w:pPr>
      <w:r w:rsidRPr="007B6667">
        <w:rPr>
          <w:rStyle w:val="a9"/>
          <w:rFonts w:ascii="Calibri Light" w:hAnsi="Calibri Light" w:cs="Calibri Light"/>
          <w:sz w:val="18"/>
          <w:szCs w:val="18"/>
        </w:rPr>
        <w:footnoteRef/>
      </w:r>
      <w:r w:rsidRPr="007B6667">
        <w:rPr>
          <w:rFonts w:ascii="Calibri Light" w:hAnsi="Calibri Light" w:cs="Calibri Light"/>
          <w:sz w:val="18"/>
          <w:szCs w:val="18"/>
        </w:rPr>
        <w:t xml:space="preserve"> Ο αριθμός των απασχολουμένων αυξήθηκε κατά 1,9% σε σχέση με τον Ιούνιο του 2023 και κατά 1,0% σε σχέση με τον Μάιο του 2024, έναντι μείωσης των ανέργων κατά  15,8% και 6,3% σε σύγκριση με τα αντίστοιχα χρονικά διαστήματα </w:t>
      </w:r>
      <w:hyperlink r:id="rId2" w:history="1">
        <w:r w:rsidRPr="007B6667">
          <w:rPr>
            <w:rStyle w:val="-"/>
            <w:rFonts w:ascii="Calibri Light" w:hAnsi="Calibri Light" w:cs="Calibri Light"/>
            <w:sz w:val="18"/>
            <w:szCs w:val="18"/>
          </w:rPr>
          <w:t>https://www.statistics.gr/documents/20181/797e8512-c457-092e-87f4-453d2f823643</w:t>
        </w:r>
      </w:hyperlink>
    </w:p>
  </w:footnote>
  <w:footnote w:id="4">
    <w:p w14:paraId="0E9297A7" w14:textId="77777777" w:rsidR="00973ABE" w:rsidRPr="007B6667" w:rsidRDefault="00973ABE" w:rsidP="009815A2">
      <w:pPr>
        <w:pStyle w:val="a8"/>
        <w:jc w:val="both"/>
        <w:rPr>
          <w:rFonts w:ascii="Calibri Light" w:hAnsi="Calibri Light" w:cs="Calibri Light"/>
          <w:sz w:val="18"/>
          <w:szCs w:val="18"/>
        </w:rPr>
      </w:pPr>
      <w:r w:rsidRPr="007B6667">
        <w:rPr>
          <w:rStyle w:val="a9"/>
          <w:rFonts w:ascii="Calibri Light" w:hAnsi="Calibri Light" w:cs="Calibri Light"/>
          <w:sz w:val="18"/>
          <w:szCs w:val="18"/>
        </w:rPr>
        <w:footnoteRef/>
      </w:r>
      <w:r w:rsidRPr="007B6667">
        <w:rPr>
          <w:rFonts w:ascii="Calibri Light" w:hAnsi="Calibri Light" w:cs="Calibri Light"/>
          <w:sz w:val="18"/>
          <w:szCs w:val="18"/>
        </w:rPr>
        <w:t xml:space="preserve"> </w:t>
      </w:r>
      <w:hyperlink r:id="rId3" w:history="1">
        <w:r w:rsidRPr="007B6667">
          <w:rPr>
            <w:rStyle w:val="-"/>
            <w:rFonts w:ascii="Calibri Light" w:hAnsi="Calibri Light" w:cs="Calibri Light"/>
            <w:sz w:val="18"/>
            <w:szCs w:val="18"/>
          </w:rPr>
          <w:t>https://www.statistics.gr/documents/20181/797e8512-c457-092e-87f4-453d2f823643</w:t>
        </w:r>
      </w:hyperlink>
    </w:p>
  </w:footnote>
  <w:footnote w:id="5">
    <w:p w14:paraId="65247C0B" w14:textId="77777777" w:rsidR="00973ABE" w:rsidRPr="007B6667" w:rsidRDefault="00973ABE" w:rsidP="009815A2">
      <w:pPr>
        <w:pStyle w:val="a8"/>
        <w:jc w:val="both"/>
        <w:rPr>
          <w:rFonts w:ascii="Calibri Light" w:hAnsi="Calibri Light" w:cs="Calibri Light"/>
          <w:b/>
          <w:bCs/>
          <w:sz w:val="18"/>
          <w:szCs w:val="18"/>
        </w:rPr>
      </w:pPr>
      <w:r w:rsidRPr="007B6667">
        <w:rPr>
          <w:rStyle w:val="af1"/>
          <w:rFonts w:ascii="Calibri Light" w:hAnsi="Calibri Light" w:cs="Calibri Light"/>
          <w:sz w:val="18"/>
          <w:szCs w:val="18"/>
        </w:rPr>
        <w:footnoteRef/>
      </w:r>
      <w:r w:rsidRPr="007B6667">
        <w:rPr>
          <w:rStyle w:val="af1"/>
          <w:rFonts w:ascii="Calibri Light" w:hAnsi="Calibri Light" w:cs="Calibri Light"/>
          <w:sz w:val="18"/>
          <w:szCs w:val="18"/>
        </w:rPr>
        <w:t xml:space="preserve"> Σύμφωνα με τα τελευταία στοιχεία της έρευνας από την S&amp;P </w:t>
      </w:r>
      <w:proofErr w:type="spellStart"/>
      <w:r w:rsidRPr="007B6667">
        <w:rPr>
          <w:rStyle w:val="af1"/>
          <w:rFonts w:ascii="Calibri Light" w:hAnsi="Calibri Light" w:cs="Calibri Light"/>
          <w:sz w:val="18"/>
          <w:szCs w:val="18"/>
        </w:rPr>
        <w:t>Global</w:t>
      </w:r>
      <w:proofErr w:type="spellEnd"/>
      <w:r w:rsidRPr="007B6667">
        <w:rPr>
          <w:rStyle w:val="af1"/>
          <w:rFonts w:ascii="Calibri Light" w:hAnsi="Calibri Light" w:cs="Calibri Light"/>
          <w:sz w:val="18"/>
          <w:szCs w:val="18"/>
        </w:rPr>
        <w:t>, αν και ο δείκτης PMI για την μεταποίηση σημείωσε κάμψη τον Ιούλιο 2024 από το 54 στο 53,2, παραμένει για μεγάλη χρονική περίοδο πάνω από το 50, υποδεικνύοντας ότι η μεταποίηση βρίσκεται σε επεκτατική τροχιά, με τις</w:t>
      </w:r>
      <w:r w:rsidRPr="007B6667">
        <w:rPr>
          <w:rFonts w:ascii="Calibri Light" w:hAnsi="Calibri Light" w:cs="Calibri Light"/>
          <w:sz w:val="18"/>
          <w:szCs w:val="18"/>
        </w:rPr>
        <w:t xml:space="preserve"> αυξήσεις της παραγωγής και των νέων παραγγελιών, αν και ελαφρώς ηπιότερες, να παραμένουν </w:t>
      </w:r>
      <w:r w:rsidRPr="007B6667">
        <w:rPr>
          <w:rStyle w:val="af0"/>
          <w:rFonts w:ascii="Calibri Light" w:eastAsiaTheme="majorEastAsia" w:hAnsi="Calibri Light" w:cs="Calibri Light"/>
          <w:sz w:val="18"/>
          <w:szCs w:val="18"/>
        </w:rPr>
        <w:t>ισχυρές και έντονες,</w:t>
      </w:r>
      <w:r w:rsidRPr="007B6667">
        <w:rPr>
          <w:rFonts w:ascii="Calibri Light" w:hAnsi="Calibri Light" w:cs="Calibri Light"/>
          <w:sz w:val="18"/>
          <w:szCs w:val="18"/>
        </w:rPr>
        <w:t> με βάση τα ιστορικά δεδομένα</w:t>
      </w:r>
      <w:r w:rsidRPr="007B6667">
        <w:rPr>
          <w:rStyle w:val="af1"/>
          <w:rFonts w:ascii="Calibri Light" w:hAnsi="Calibri Light" w:cs="Calibri Light"/>
          <w:sz w:val="18"/>
          <w:szCs w:val="18"/>
        </w:rPr>
        <w:t>. Έτσι, αν και η βραδύτερη αύξηση των νέων παραγγελιών ώθησε τις εταιρείες να μετριάσουν τον ρυθμό δημιουργίας θέσεων εργασίας τον Ιούλιο, καθώς τα επίπεδα απασχόλησης αυξήθηκαν με τον ασθενέστερο ρυθμό που έχει καταγραφεί από τον Φεβρουάριο, ωστόσο, οι κατασκευαστές εξακολούθησαν να επισημαίνουν την πρόσληψη προσωπικού πλήρους απασχόλησης</w:t>
      </w:r>
      <w:r w:rsidRPr="007B6667">
        <w:rPr>
          <w:rStyle w:val="af0"/>
          <w:rFonts w:ascii="Calibri Light" w:hAnsi="Calibri Light" w:cs="Calibri Light"/>
          <w:color w:val="333333"/>
          <w:sz w:val="18"/>
          <w:szCs w:val="18"/>
          <w:shd w:val="clear" w:color="auto" w:fill="FFFFFF"/>
        </w:rPr>
        <w:t xml:space="preserve"> </w:t>
      </w:r>
      <w:hyperlink r:id="rId4" w:history="1">
        <w:r w:rsidRPr="007B6667">
          <w:rPr>
            <w:rStyle w:val="-"/>
            <w:rFonts w:ascii="Calibri Light" w:hAnsi="Calibri Light" w:cs="Calibri Light"/>
            <w:sz w:val="18"/>
            <w:szCs w:val="18"/>
            <w:shd w:val="clear" w:color="auto" w:fill="FFFFFF"/>
          </w:rPr>
          <w:t>https://www.pmi.spglobal.com/Public/Home/PressRelease/5f5691b69d274f3692dab99ff05fb14e</w:t>
        </w:r>
      </w:hyperlink>
      <w:r w:rsidRPr="007B6667">
        <w:rPr>
          <w:rStyle w:val="af0"/>
          <w:rFonts w:ascii="Calibri Light" w:hAnsi="Calibri Light" w:cs="Calibri Light"/>
          <w:color w:val="333333"/>
          <w:sz w:val="18"/>
          <w:szCs w:val="18"/>
          <w:shd w:val="clear" w:color="auto" w:fill="FFFFFF"/>
        </w:rPr>
        <w:t xml:space="preserve"> </w:t>
      </w:r>
    </w:p>
    <w:p w14:paraId="43B7962D" w14:textId="77777777" w:rsidR="00973ABE" w:rsidRPr="007B6667" w:rsidRDefault="00973ABE" w:rsidP="009815A2">
      <w:pPr>
        <w:pStyle w:val="a8"/>
        <w:jc w:val="both"/>
        <w:rPr>
          <w:rStyle w:val="af1"/>
          <w:rFonts w:ascii="Calibri Light" w:hAnsi="Calibri Light" w:cs="Calibri Light"/>
          <w:i w:val="0"/>
          <w:iCs w:val="0"/>
          <w:sz w:val="18"/>
          <w:szCs w:val="18"/>
        </w:rPr>
      </w:pPr>
    </w:p>
  </w:footnote>
  <w:footnote w:id="6">
    <w:p w14:paraId="75091090" w14:textId="77777777" w:rsidR="00973ABE" w:rsidRPr="007B6667" w:rsidRDefault="00973ABE" w:rsidP="009815A2">
      <w:pPr>
        <w:pStyle w:val="a8"/>
        <w:jc w:val="both"/>
        <w:rPr>
          <w:rFonts w:ascii="Calibri Light" w:hAnsi="Calibri Light" w:cs="Calibri Light"/>
          <w:b/>
          <w:bCs/>
          <w:sz w:val="18"/>
          <w:szCs w:val="18"/>
        </w:rPr>
      </w:pPr>
      <w:r w:rsidRPr="007B6667">
        <w:rPr>
          <w:rStyle w:val="a9"/>
          <w:rFonts w:ascii="Calibri Light" w:hAnsi="Calibri Light" w:cs="Calibri Light"/>
          <w:sz w:val="18"/>
          <w:szCs w:val="18"/>
        </w:rPr>
        <w:footnoteRef/>
      </w:r>
      <w:r w:rsidRPr="007B6667">
        <w:rPr>
          <w:rFonts w:ascii="Calibri Light" w:hAnsi="Calibri Light" w:cs="Calibri Light"/>
          <w:sz w:val="18"/>
          <w:szCs w:val="18"/>
        </w:rPr>
        <w:t xml:space="preserve"> Ο εποχικά προσαρμοσμένος Δείκτης Υπευθύνων Προμηθειών της S&amp;P </w:t>
      </w:r>
      <w:proofErr w:type="spellStart"/>
      <w:r w:rsidRPr="007B6667">
        <w:rPr>
          <w:rFonts w:ascii="Calibri Light" w:hAnsi="Calibri Light" w:cs="Calibri Light"/>
          <w:sz w:val="18"/>
          <w:szCs w:val="18"/>
        </w:rPr>
        <w:t>Global</w:t>
      </w:r>
      <w:proofErr w:type="spellEnd"/>
      <w:r w:rsidRPr="007B6667">
        <w:rPr>
          <w:rFonts w:ascii="Calibri Light" w:hAnsi="Calibri Light" w:cs="Calibri Light"/>
          <w:sz w:val="18"/>
          <w:szCs w:val="18"/>
        </w:rPr>
        <w:t xml:space="preserve"> για τον τομέα μεταποίησης στην Ελλάδα (</w:t>
      </w:r>
      <w:proofErr w:type="spellStart"/>
      <w:r w:rsidRPr="007B6667">
        <w:rPr>
          <w:rFonts w:ascii="Calibri Light" w:hAnsi="Calibri Light" w:cs="Calibri Light"/>
          <w:sz w:val="18"/>
          <w:szCs w:val="18"/>
        </w:rPr>
        <w:t>Purchasing</w:t>
      </w:r>
      <w:proofErr w:type="spellEnd"/>
      <w:r w:rsidRPr="007B6667">
        <w:rPr>
          <w:rFonts w:ascii="Calibri Light" w:hAnsi="Calibri Light" w:cs="Calibri Light"/>
          <w:sz w:val="18"/>
          <w:szCs w:val="18"/>
        </w:rPr>
        <w:t xml:space="preserve"> </w:t>
      </w:r>
      <w:proofErr w:type="spellStart"/>
      <w:r w:rsidRPr="007B6667">
        <w:rPr>
          <w:rFonts w:ascii="Calibri Light" w:hAnsi="Calibri Light" w:cs="Calibri Light"/>
          <w:sz w:val="18"/>
          <w:szCs w:val="18"/>
        </w:rPr>
        <w:t>Managers</w:t>
      </w:r>
      <w:proofErr w:type="spellEnd"/>
      <w:r w:rsidRPr="007B6667">
        <w:rPr>
          <w:rFonts w:ascii="Calibri Light" w:hAnsi="Calibri Light" w:cs="Calibri Light"/>
          <w:sz w:val="18"/>
          <w:szCs w:val="18"/>
        </w:rPr>
        <w:t xml:space="preserve">’ </w:t>
      </w:r>
      <w:proofErr w:type="spellStart"/>
      <w:r w:rsidRPr="007B6667">
        <w:rPr>
          <w:rFonts w:ascii="Calibri Light" w:hAnsi="Calibri Light" w:cs="Calibri Light"/>
          <w:sz w:val="18"/>
          <w:szCs w:val="18"/>
        </w:rPr>
        <w:t>Index</w:t>
      </w:r>
      <w:proofErr w:type="spellEnd"/>
      <w:r w:rsidRPr="007B6667">
        <w:rPr>
          <w:rFonts w:ascii="Calibri Light" w:hAnsi="Calibri Light" w:cs="Calibri Light"/>
          <w:sz w:val="18"/>
          <w:szCs w:val="18"/>
        </w:rPr>
        <w:t>™ – PMI) έκλεισε στις 54.0 μονάδες τον Ιούνιο. Ωστόσο, ο ρυθμός βελτίωσης εξασθένησε για τρίτο συνεχή μήνα και ήταν ο βραδύτερος που έχει καταγραφεί από το τέλος του 2023</w:t>
      </w:r>
      <w:r w:rsidRPr="007B6667">
        <w:rPr>
          <w:rStyle w:val="af0"/>
          <w:rFonts w:ascii="Calibri Light" w:hAnsi="Calibri Light" w:cs="Calibri Light"/>
          <w:color w:val="333333"/>
          <w:sz w:val="18"/>
          <w:szCs w:val="18"/>
          <w:shd w:val="clear" w:color="auto" w:fill="FFFFFF"/>
        </w:rPr>
        <w:t xml:space="preserve"> </w:t>
      </w:r>
      <w:hyperlink r:id="rId5" w:history="1">
        <w:r w:rsidRPr="007B6667">
          <w:rPr>
            <w:rStyle w:val="-"/>
            <w:rFonts w:ascii="Calibri Light" w:hAnsi="Calibri Light" w:cs="Calibri Light"/>
            <w:sz w:val="18"/>
            <w:szCs w:val="18"/>
            <w:shd w:val="clear" w:color="auto" w:fill="FFFFFF"/>
          </w:rPr>
          <w:t>https://www.pmi.spglobal.com/Public/Home/PressRelease/5f5691b69d274f3692dab99ff05fb14e</w:t>
        </w:r>
      </w:hyperlink>
      <w:r w:rsidRPr="007B6667">
        <w:rPr>
          <w:rStyle w:val="af0"/>
          <w:rFonts w:ascii="Calibri Light" w:hAnsi="Calibri Light" w:cs="Calibri Light"/>
          <w:color w:val="333333"/>
          <w:sz w:val="18"/>
          <w:szCs w:val="18"/>
          <w:shd w:val="clear" w:color="auto" w:fill="FFFFFF"/>
        </w:rPr>
        <w:t xml:space="preserve"> </w:t>
      </w:r>
    </w:p>
    <w:p w14:paraId="77CD6ACE" w14:textId="77777777" w:rsidR="00973ABE" w:rsidRPr="007B6667" w:rsidRDefault="00973ABE" w:rsidP="009815A2">
      <w:pPr>
        <w:pStyle w:val="a8"/>
        <w:rPr>
          <w:rFonts w:ascii="Calibri Light" w:hAnsi="Calibri Light" w:cs="Calibri Light"/>
          <w:sz w:val="18"/>
          <w:szCs w:val="18"/>
        </w:rPr>
      </w:pPr>
    </w:p>
  </w:footnote>
  <w:footnote w:id="7">
    <w:p w14:paraId="651307A1" w14:textId="2DE2960B" w:rsidR="00973ABE" w:rsidRDefault="00973ABE">
      <w:pPr>
        <w:pStyle w:val="a8"/>
      </w:pPr>
      <w:r>
        <w:rPr>
          <w:rStyle w:val="a9"/>
        </w:rPr>
        <w:footnoteRef/>
      </w:r>
      <w:r>
        <w:t xml:space="preserve"> Βλ</w:t>
      </w:r>
      <w:r w:rsidRPr="00E90916">
        <w:rPr>
          <w:rFonts w:ascii="Calibri Light" w:hAnsi="Calibri Light" w:cs="Calibri Light"/>
          <w:sz w:val="18"/>
          <w:szCs w:val="18"/>
        </w:rPr>
        <w:t xml:space="preserve">. </w:t>
      </w:r>
      <w:proofErr w:type="spellStart"/>
      <w:r w:rsidRPr="00E90916">
        <w:rPr>
          <w:rFonts w:ascii="Calibri Light" w:hAnsi="Calibri Light" w:cs="Calibri Light" w:hint="eastAsia"/>
          <w:sz w:val="18"/>
          <w:szCs w:val="18"/>
        </w:rPr>
        <w:t>Κοτζαμάνης</w:t>
      </w:r>
      <w:proofErr w:type="spellEnd"/>
      <w:r w:rsidRPr="00E90916">
        <w:rPr>
          <w:rFonts w:ascii="Calibri Light" w:hAnsi="Calibri Light" w:cs="Calibri Light"/>
          <w:sz w:val="18"/>
          <w:szCs w:val="18"/>
        </w:rPr>
        <w:t xml:space="preserve"> </w:t>
      </w:r>
      <w:r w:rsidRPr="00E90916">
        <w:rPr>
          <w:rFonts w:ascii="Calibri Light" w:hAnsi="Calibri Light" w:cs="Calibri Light" w:hint="eastAsia"/>
          <w:sz w:val="18"/>
          <w:szCs w:val="18"/>
        </w:rPr>
        <w:t>Β</w:t>
      </w:r>
      <w:r w:rsidRPr="00E90916">
        <w:rPr>
          <w:rFonts w:ascii="Calibri Light" w:hAnsi="Calibri Light" w:cs="Calibri Light"/>
          <w:sz w:val="18"/>
          <w:szCs w:val="18"/>
        </w:rPr>
        <w:t xml:space="preserve">. (2023), </w:t>
      </w:r>
      <w:r w:rsidRPr="00E90916">
        <w:rPr>
          <w:rFonts w:ascii="Calibri Light" w:hAnsi="Calibri Light" w:cs="Calibri Light" w:hint="eastAsia"/>
          <w:sz w:val="18"/>
          <w:szCs w:val="18"/>
        </w:rPr>
        <w:t>«</w:t>
      </w:r>
      <w:r w:rsidRPr="00E90916">
        <w:rPr>
          <w:rFonts w:ascii="Calibri Light" w:hAnsi="Calibri Light" w:cs="Calibri Light" w:hint="eastAsia"/>
          <w:sz w:val="18"/>
          <w:szCs w:val="18"/>
        </w:rPr>
        <w:t>Η</w:t>
      </w:r>
      <w:r w:rsidRPr="00E90916">
        <w:rPr>
          <w:rFonts w:ascii="Calibri Light" w:hAnsi="Calibri Light" w:cs="Calibri Light"/>
          <w:sz w:val="18"/>
          <w:szCs w:val="18"/>
        </w:rPr>
        <w:t xml:space="preserve"> </w:t>
      </w:r>
      <w:r w:rsidRPr="00E90916">
        <w:rPr>
          <w:rFonts w:ascii="Calibri Light" w:hAnsi="Calibri Light" w:cs="Calibri Light" w:hint="eastAsia"/>
          <w:sz w:val="18"/>
          <w:szCs w:val="18"/>
        </w:rPr>
        <w:t>δημογραφική</w:t>
      </w:r>
      <w:r w:rsidRPr="00E90916">
        <w:rPr>
          <w:rFonts w:ascii="Calibri Light" w:hAnsi="Calibri Light" w:cs="Calibri Light"/>
          <w:sz w:val="18"/>
          <w:szCs w:val="18"/>
        </w:rPr>
        <w:t xml:space="preserve"> </w:t>
      </w:r>
      <w:r w:rsidRPr="00E90916">
        <w:rPr>
          <w:rFonts w:ascii="Calibri Light" w:hAnsi="Calibri Light" w:cs="Calibri Light" w:hint="eastAsia"/>
          <w:sz w:val="18"/>
          <w:szCs w:val="18"/>
        </w:rPr>
        <w:t>ελληνική</w:t>
      </w:r>
      <w:r w:rsidRPr="00E90916">
        <w:rPr>
          <w:rFonts w:ascii="Calibri Light" w:hAnsi="Calibri Light" w:cs="Calibri Light"/>
          <w:sz w:val="18"/>
          <w:szCs w:val="18"/>
        </w:rPr>
        <w:t xml:space="preserve"> </w:t>
      </w:r>
      <w:r w:rsidRPr="00E90916">
        <w:rPr>
          <w:rFonts w:ascii="Calibri Light" w:hAnsi="Calibri Light" w:cs="Calibri Light" w:hint="eastAsia"/>
          <w:sz w:val="18"/>
          <w:szCs w:val="18"/>
        </w:rPr>
        <w:t>πραγματικότητα</w:t>
      </w:r>
      <w:r w:rsidRPr="00E90916">
        <w:rPr>
          <w:rFonts w:ascii="Calibri Light" w:hAnsi="Calibri Light" w:cs="Calibri Light" w:hint="eastAsia"/>
          <w:sz w:val="18"/>
          <w:szCs w:val="18"/>
        </w:rPr>
        <w:t>»</w:t>
      </w:r>
      <w:r w:rsidRPr="00E90916">
        <w:rPr>
          <w:rFonts w:ascii="Calibri Light" w:hAnsi="Calibri Light" w:cs="Calibri Light"/>
          <w:sz w:val="18"/>
          <w:szCs w:val="18"/>
        </w:rPr>
        <w:t xml:space="preserve">, DIRAP-FOCUS, </w:t>
      </w:r>
      <w:r w:rsidRPr="00E90916">
        <w:rPr>
          <w:rFonts w:ascii="Calibri Light" w:hAnsi="Calibri Light" w:cs="Calibri Light" w:hint="eastAsia"/>
          <w:sz w:val="18"/>
          <w:szCs w:val="18"/>
        </w:rPr>
        <w:t>τ</w:t>
      </w:r>
      <w:r w:rsidRPr="00E90916">
        <w:rPr>
          <w:rFonts w:ascii="Calibri Light" w:hAnsi="Calibri Light" w:cs="Calibri Light"/>
          <w:sz w:val="18"/>
          <w:szCs w:val="18"/>
        </w:rPr>
        <w:t xml:space="preserve">.04, </w:t>
      </w:r>
      <w:proofErr w:type="spellStart"/>
      <w:r w:rsidRPr="00E90916">
        <w:rPr>
          <w:rFonts w:ascii="Calibri Light" w:hAnsi="Calibri Light" w:cs="Calibri Light" w:hint="eastAsia"/>
          <w:sz w:val="18"/>
          <w:szCs w:val="18"/>
        </w:rPr>
        <w:t>σσ</w:t>
      </w:r>
      <w:proofErr w:type="spellEnd"/>
      <w:r w:rsidRPr="00E90916">
        <w:rPr>
          <w:rFonts w:ascii="Calibri Light" w:hAnsi="Calibri Light" w:cs="Calibri Light"/>
          <w:sz w:val="18"/>
          <w:szCs w:val="18"/>
        </w:rPr>
        <w:t>. 1-2 (</w:t>
      </w:r>
      <w:r w:rsidRPr="00E90916">
        <w:rPr>
          <w:rFonts w:ascii="Calibri Light" w:hAnsi="Calibri Light" w:cs="Calibri Light" w:hint="eastAsia"/>
          <w:sz w:val="18"/>
          <w:szCs w:val="18"/>
        </w:rPr>
        <w:t>Διατίθεται</w:t>
      </w:r>
      <w:r w:rsidRPr="00E90916">
        <w:rPr>
          <w:rFonts w:ascii="Calibri Light" w:hAnsi="Calibri Light" w:cs="Calibri Light"/>
          <w:sz w:val="18"/>
          <w:szCs w:val="18"/>
        </w:rPr>
        <w:t xml:space="preserve"> </w:t>
      </w:r>
      <w:r w:rsidRPr="00E90916">
        <w:rPr>
          <w:rFonts w:ascii="Calibri Light" w:hAnsi="Calibri Light" w:cs="Calibri Light" w:hint="eastAsia"/>
          <w:sz w:val="18"/>
          <w:szCs w:val="18"/>
        </w:rPr>
        <w:t>στο</w:t>
      </w:r>
      <w:r w:rsidRPr="00E90916">
        <w:rPr>
          <w:rFonts w:ascii="Calibri Light" w:hAnsi="Calibri Light" w:cs="Calibri Light"/>
          <w:sz w:val="18"/>
          <w:szCs w:val="18"/>
        </w:rPr>
        <w:t xml:space="preserve">: </w:t>
      </w:r>
      <w:hyperlink r:id="rId6" w:history="1">
        <w:r w:rsidRPr="00E90916">
          <w:rPr>
            <w:rStyle w:val="-"/>
            <w:rFonts w:ascii="Calibri Light" w:hAnsi="Calibri Light" w:cs="Calibri Light"/>
            <w:sz w:val="18"/>
            <w:szCs w:val="18"/>
          </w:rPr>
          <w:t>https://doi.org/10.6084/m9.figshare.24799764.v1</w:t>
        </w:r>
      </w:hyperlink>
      <w:r>
        <w:rPr>
          <w:rFonts w:ascii="Calibri Light" w:hAnsi="Calibri Light" w:cs="Calibri Light"/>
          <w:sz w:val="18"/>
          <w:szCs w:val="18"/>
        </w:rPr>
        <w:t xml:space="preserve"> </w:t>
      </w:r>
      <w:r w:rsidRPr="00E90916">
        <w:rPr>
          <w:rFonts w:ascii="Calibri Light" w:hAnsi="Calibri Light" w:cs="Calibri Light"/>
          <w:sz w:val="18"/>
          <w:szCs w:val="18"/>
        </w:rPr>
        <w:t>)</w:t>
      </w:r>
    </w:p>
  </w:footnote>
  <w:footnote w:id="8">
    <w:p w14:paraId="1E8762D7" w14:textId="77777777" w:rsidR="00973ABE" w:rsidRPr="007B6667" w:rsidRDefault="00973ABE" w:rsidP="009815A2">
      <w:pPr>
        <w:spacing w:after="0" w:line="240" w:lineRule="auto"/>
        <w:jc w:val="both"/>
        <w:rPr>
          <w:rFonts w:ascii="Calibri Light" w:hAnsi="Calibri Light" w:cs="Calibri Light"/>
          <w:color w:val="0A0A0A"/>
          <w:sz w:val="18"/>
          <w:szCs w:val="18"/>
          <w:shd w:val="clear" w:color="auto" w:fill="FFFFFF"/>
        </w:rPr>
      </w:pPr>
      <w:r w:rsidRPr="007B6667">
        <w:rPr>
          <w:rStyle w:val="a9"/>
          <w:rFonts w:ascii="Calibri Light" w:hAnsi="Calibri Light" w:cs="Calibri Light"/>
          <w:sz w:val="18"/>
          <w:szCs w:val="18"/>
        </w:rPr>
        <w:footnoteRef/>
      </w:r>
      <w:r w:rsidRPr="007B6667">
        <w:rPr>
          <w:rFonts w:ascii="Calibri Light" w:hAnsi="Calibri Light" w:cs="Calibri Light"/>
          <w:sz w:val="18"/>
          <w:szCs w:val="18"/>
        </w:rPr>
        <w:t xml:space="preserve"> Τα στοιχεία της έρευνας του </w:t>
      </w:r>
      <w:proofErr w:type="spellStart"/>
      <w:r w:rsidRPr="007B6667">
        <w:rPr>
          <w:rFonts w:ascii="Calibri Light" w:hAnsi="Calibri Light" w:cs="Calibri Light"/>
          <w:sz w:val="18"/>
          <w:szCs w:val="18"/>
        </w:rPr>
        <w:t>Ευρωβαρόμετρου</w:t>
      </w:r>
      <w:proofErr w:type="spellEnd"/>
      <w:r w:rsidRPr="007B6667">
        <w:rPr>
          <w:rFonts w:ascii="Calibri Light" w:hAnsi="Calibri Light" w:cs="Calibri Light"/>
          <w:color w:val="0A0A0A"/>
          <w:sz w:val="18"/>
          <w:szCs w:val="18"/>
          <w:shd w:val="clear" w:color="auto" w:fill="FFFFFF"/>
        </w:rPr>
        <w:t xml:space="preserve"> επιβεβαιώνουν την δυσκολία στελέχωσης των μικρομεσαίων επιχειρήσεων. Συγκεκριμένα, στην ΕΕ ως σύνολο, η συντριπτική πλειονότητα αυτών των επιχειρήσεων (78%) αναφέρουν ότι η εύρεση εργαζομένων με τις κατάλληλες δεξιότητες είναι «πολύ δύσκολη» (52%) ή «αρκετά δύσκολη» (26%)</w:t>
      </w:r>
      <w:r w:rsidRPr="007B6667">
        <w:rPr>
          <w:rFonts w:ascii="Calibri Light" w:hAnsi="Calibri Light" w:cs="Calibri Light"/>
          <w:sz w:val="18"/>
          <w:szCs w:val="18"/>
        </w:rPr>
        <w:t xml:space="preserve"> </w:t>
      </w:r>
      <w:hyperlink r:id="rId7" w:history="1">
        <w:r w:rsidRPr="007B6667">
          <w:rPr>
            <w:rStyle w:val="-"/>
            <w:rFonts w:ascii="Calibri Light" w:hAnsi="Calibri Light" w:cs="Calibri Light"/>
            <w:sz w:val="18"/>
            <w:szCs w:val="18"/>
            <w:shd w:val="clear" w:color="auto" w:fill="FFFFFF"/>
          </w:rPr>
          <w:t>https://europa.eu/eurobarometer/surveys/detail/2994</w:t>
        </w:r>
      </w:hyperlink>
    </w:p>
  </w:footnote>
  <w:footnote w:id="9">
    <w:p w14:paraId="4AE78B47" w14:textId="77777777" w:rsidR="00973ABE" w:rsidRPr="007B6667" w:rsidRDefault="00973ABE" w:rsidP="009815A2">
      <w:pPr>
        <w:shd w:val="clear" w:color="auto" w:fill="FFFFFF"/>
        <w:spacing w:after="0" w:line="240" w:lineRule="auto"/>
        <w:jc w:val="both"/>
        <w:rPr>
          <w:rFonts w:ascii="Calibri Light" w:eastAsia="Times New Roman" w:hAnsi="Calibri Light" w:cs="Calibri Light"/>
          <w:color w:val="0A0A0A"/>
          <w:sz w:val="18"/>
          <w:szCs w:val="18"/>
        </w:rPr>
      </w:pPr>
      <w:r w:rsidRPr="007B6667">
        <w:rPr>
          <w:rStyle w:val="a9"/>
          <w:rFonts w:ascii="Calibri Light" w:hAnsi="Calibri Light" w:cs="Calibri Light"/>
          <w:sz w:val="18"/>
          <w:szCs w:val="18"/>
        </w:rPr>
        <w:footnoteRef/>
      </w:r>
      <w:r w:rsidRPr="007B6667">
        <w:rPr>
          <w:rFonts w:ascii="Calibri Light" w:hAnsi="Calibri Light" w:cs="Calibri Light"/>
          <w:sz w:val="18"/>
          <w:szCs w:val="18"/>
        </w:rPr>
        <w:t xml:space="preserve"> Σύμφωνα με πρόσφατα </w:t>
      </w:r>
      <w:r w:rsidRPr="007B6667">
        <w:rPr>
          <w:rFonts w:ascii="Calibri Light" w:hAnsi="Calibri Light" w:cs="Calibri Light"/>
          <w:color w:val="0A0A0A"/>
          <w:sz w:val="18"/>
          <w:szCs w:val="18"/>
          <w:shd w:val="clear" w:color="auto" w:fill="FFFFFF"/>
        </w:rPr>
        <w:t>δεδομένα έρευνας του </w:t>
      </w:r>
      <w:proofErr w:type="spellStart"/>
      <w:r w:rsidRPr="007B6667">
        <w:rPr>
          <w:rFonts w:ascii="Calibri Light" w:hAnsi="Calibri Light" w:cs="Calibri Light"/>
          <w:sz w:val="18"/>
          <w:szCs w:val="18"/>
          <w:shd w:val="clear" w:color="auto" w:fill="FFFFFF"/>
        </w:rPr>
        <w:t>Eurofound</w:t>
      </w:r>
      <w:proofErr w:type="spellEnd"/>
      <w:r w:rsidRPr="007B6667">
        <w:rPr>
          <w:rFonts w:ascii="Calibri Light" w:hAnsi="Calibri Light" w:cs="Calibri Light"/>
          <w:sz w:val="18"/>
          <w:szCs w:val="18"/>
          <w:shd w:val="clear" w:color="auto" w:fill="FFFFFF"/>
        </w:rPr>
        <w:t xml:space="preserve">, </w:t>
      </w:r>
      <w:r w:rsidRPr="007B6667">
        <w:rPr>
          <w:rFonts w:ascii="Calibri Light" w:hAnsi="Calibri Light" w:cs="Calibri Light"/>
          <w:color w:val="0A0A0A"/>
          <w:sz w:val="18"/>
          <w:szCs w:val="18"/>
          <w:shd w:val="clear" w:color="auto" w:fill="FFFFFF"/>
        </w:rPr>
        <w:t xml:space="preserve"> η αντιστοίχιση των δεξιοτήτων η Ελλάδα απέχει σημαντικά από τον ευρωπαϊκό μέσο όρο</w:t>
      </w:r>
      <w:r w:rsidRPr="007B6667">
        <w:rPr>
          <w:rFonts w:ascii="Calibri Light" w:hAnsi="Calibri Light" w:cs="Calibri Light"/>
          <w:sz w:val="18"/>
          <w:szCs w:val="18"/>
        </w:rPr>
        <w:t xml:space="preserve"> (</w:t>
      </w:r>
      <w:hyperlink r:id="rId8" w:history="1">
        <w:r w:rsidRPr="007B6667">
          <w:rPr>
            <w:rStyle w:val="-"/>
            <w:rFonts w:ascii="Calibri Light" w:hAnsi="Calibri Light" w:cs="Calibri Light"/>
            <w:sz w:val="18"/>
            <w:szCs w:val="18"/>
            <w:shd w:val="clear" w:color="auto" w:fill="FFFFFF"/>
          </w:rPr>
          <w:t>https://www.eliamep.gr/publication/in-focus-%CE%B1%CE%BD%CF%84%CE%B9%CF%83%CF%84%CE%BF%CE%AF%CF%87%CE%B9%CF%83%CE%B7-%CE%B4%CE%B5%CE%BE%CE%B9%CE%BF%CF%84%CE%AE%CF%84%CF%89%CE%BD/</w:t>
        </w:r>
      </w:hyperlink>
      <w:r w:rsidRPr="007B6667">
        <w:rPr>
          <w:rFonts w:ascii="Calibri Light" w:hAnsi="Calibri Light" w:cs="Calibri Light"/>
          <w:color w:val="0A0A0A"/>
          <w:sz w:val="18"/>
          <w:szCs w:val="18"/>
          <w:shd w:val="clear" w:color="auto" w:fill="FFFFFF"/>
        </w:rPr>
        <w:t xml:space="preserve">). </w:t>
      </w:r>
      <w:r w:rsidRPr="007B6667">
        <w:rPr>
          <w:rFonts w:ascii="Calibri Light" w:eastAsia="Times New Roman" w:hAnsi="Calibri Light" w:cs="Calibri Light"/>
          <w:color w:val="0A0A0A"/>
          <w:sz w:val="18"/>
          <w:szCs w:val="18"/>
        </w:rPr>
        <w:t>Τα ευρήματα του </w:t>
      </w:r>
      <w:r w:rsidRPr="007B6667">
        <w:rPr>
          <w:rFonts w:ascii="Calibri Light" w:eastAsia="Times New Roman" w:hAnsi="Calibri Light" w:cs="Calibri Light"/>
          <w:sz w:val="18"/>
          <w:szCs w:val="18"/>
        </w:rPr>
        <w:t>Ευρωπαϊκού Δείκτη Δεξιοτήτων </w:t>
      </w:r>
      <w:r w:rsidRPr="007B6667">
        <w:rPr>
          <w:rFonts w:ascii="Calibri Light" w:eastAsia="Times New Roman" w:hAnsi="Calibri Light" w:cs="Calibri Light"/>
          <w:color w:val="0A0A0A"/>
          <w:sz w:val="18"/>
          <w:szCs w:val="18"/>
        </w:rPr>
        <w:t>του CEDEFOP επιβεβαιώνουν αυτή την εικόνα. Σύμφωνα με τα αποτελέσματα για το 2022, στο πεδίο της αντιστοίχισης δεξιοτήτων η χώρα μας κατατάσσεται στην 30</w:t>
      </w:r>
      <w:r w:rsidRPr="007B6667">
        <w:rPr>
          <w:rFonts w:ascii="Calibri Light" w:eastAsia="Times New Roman" w:hAnsi="Calibri Light" w:cs="Calibri Light"/>
          <w:color w:val="0A0A0A"/>
          <w:sz w:val="18"/>
          <w:szCs w:val="18"/>
          <w:vertAlign w:val="superscript"/>
        </w:rPr>
        <w:t>η</w:t>
      </w:r>
      <w:r w:rsidRPr="007B6667">
        <w:rPr>
          <w:rFonts w:ascii="Calibri Light" w:eastAsia="Times New Roman" w:hAnsi="Calibri Light" w:cs="Calibri Light"/>
          <w:color w:val="0A0A0A"/>
          <w:sz w:val="18"/>
          <w:szCs w:val="18"/>
        </w:rPr>
        <w:t> θέση, σε σύνολο 31 χωρών (</w:t>
      </w:r>
      <w:hyperlink r:id="rId9" w:history="1">
        <w:r w:rsidRPr="007B6667">
          <w:rPr>
            <w:rStyle w:val="-"/>
            <w:rFonts w:ascii="Calibri Light" w:eastAsia="Times New Roman" w:hAnsi="Calibri Light" w:cs="Calibri Light"/>
            <w:sz w:val="18"/>
            <w:szCs w:val="18"/>
          </w:rPr>
          <w:t>https://www.cedefop.europa.eu/en/tools/european-skills-index</w:t>
        </w:r>
      </w:hyperlink>
      <w:r w:rsidRPr="007B6667">
        <w:rPr>
          <w:rFonts w:ascii="Calibri Light" w:eastAsia="Times New Roman" w:hAnsi="Calibri Light" w:cs="Calibri Light"/>
          <w:color w:val="0A0A0A"/>
          <w:sz w:val="18"/>
          <w:szCs w:val="18"/>
        </w:rPr>
        <w:t>). Επίσης, στοιχεία από την τελευταία Έρευνα Δεξιοτήτων Ενηλίκων του ΟΟΣΑ (PIAAC) δείχνουν ότι το ποσοστό ατόμων ηλικίας 15 έως 64 με «σφαιρικές δεξιότητες» στην Ελλάδα (9,3%) είναι το χαμηλότερο μεταξύ όλων των χωρών που συμμετείχαν στην έρευνα εκτός από την Τουρκία και τη Χιλή.</w:t>
      </w:r>
    </w:p>
  </w:footnote>
  <w:footnote w:id="10">
    <w:p w14:paraId="2FD6ECF9" w14:textId="77777777" w:rsidR="00973ABE" w:rsidRPr="001310D8" w:rsidRDefault="00973ABE" w:rsidP="009815A2">
      <w:pPr>
        <w:pStyle w:val="a8"/>
        <w:jc w:val="both"/>
        <w:rPr>
          <w:rFonts w:ascii="Calibri Light" w:hAnsi="Calibri Light" w:cs="Calibri Light"/>
          <w:sz w:val="18"/>
          <w:szCs w:val="18"/>
        </w:rPr>
      </w:pPr>
      <w:r w:rsidRPr="007B6667">
        <w:rPr>
          <w:rStyle w:val="a9"/>
          <w:rFonts w:ascii="Calibri Light" w:hAnsi="Calibri Light" w:cs="Calibri Light"/>
          <w:sz w:val="18"/>
          <w:szCs w:val="18"/>
        </w:rPr>
        <w:footnoteRef/>
      </w:r>
      <w:r w:rsidRPr="007B6667">
        <w:rPr>
          <w:rFonts w:ascii="Calibri Light" w:hAnsi="Calibri Light" w:cs="Calibri Light"/>
          <w:sz w:val="18"/>
          <w:szCs w:val="18"/>
        </w:rPr>
        <w:t xml:space="preserve"> </w:t>
      </w:r>
      <w:r w:rsidRPr="001310D8">
        <w:rPr>
          <w:rFonts w:ascii="Calibri Light" w:hAnsi="Calibri Light" w:cs="Calibri Light"/>
          <w:color w:val="0A0A0A"/>
          <w:sz w:val="18"/>
          <w:szCs w:val="18"/>
          <w:shd w:val="clear" w:color="auto" w:fill="FFFFFF"/>
        </w:rPr>
        <w:t>Σύμφωνα με τα δεδομένα της Έρευνας Δεξιοτήτων Ενηλίκων (</w:t>
      </w:r>
      <w:hyperlink r:id="rId10" w:history="1">
        <w:r w:rsidRPr="001310D8">
          <w:rPr>
            <w:rFonts w:ascii="Calibri Light" w:hAnsi="Calibri Light" w:cs="Calibri Light"/>
            <w:b/>
            <w:bCs/>
            <w:color w:val="1685BF"/>
            <w:sz w:val="18"/>
            <w:szCs w:val="18"/>
            <w:u w:val="single"/>
            <w:shd w:val="clear" w:color="auto" w:fill="FFFFFF"/>
          </w:rPr>
          <w:t>PIAAC</w:t>
        </w:r>
      </w:hyperlink>
      <w:r w:rsidRPr="001310D8">
        <w:rPr>
          <w:rFonts w:ascii="Calibri Light" w:hAnsi="Calibri Light" w:cs="Calibri Light"/>
          <w:color w:val="0A0A0A"/>
          <w:sz w:val="18"/>
          <w:szCs w:val="18"/>
          <w:shd w:val="clear" w:color="auto" w:fill="FFFFFF"/>
        </w:rPr>
        <w:t>) του ΟΟΣΑ, το 18,70% των αποφοίτων τριτοβάθμιας εκπαίδευσης ηλικίας 20-34 ετών στην Ελλάδα «στερούνται βασικών δεξιοτήτων». Σύμφωνα με την ορολογία της έρευνας, αυτό σημαίνει ότι φτάνουν το πολύ στο χαμηλότερο επίπεδο γραφής-ανάγνωσης και αριθμητικής, ενώ βρίσκονται κάτω και από αυτό το επίπεδο στην κατηγορία «επίλυση προβλημάτων με τη χρήση τεχνολογίας»</w:t>
      </w:r>
      <w:r w:rsidRPr="001310D8">
        <w:rPr>
          <w:rFonts w:ascii="Calibri Light" w:hAnsi="Calibri Light" w:cs="Calibri Light"/>
          <w:sz w:val="18"/>
          <w:szCs w:val="18"/>
        </w:rPr>
        <w:t xml:space="preserve"> </w:t>
      </w:r>
      <w:hyperlink r:id="rId11" w:history="1">
        <w:r w:rsidRPr="001310D8">
          <w:rPr>
            <w:rStyle w:val="-"/>
            <w:rFonts w:ascii="Calibri Light" w:hAnsi="Calibri Light" w:cs="Calibri Light"/>
            <w:sz w:val="18"/>
            <w:szCs w:val="18"/>
            <w:shd w:val="clear" w:color="auto" w:fill="FFFFFF"/>
          </w:rPr>
          <w:t>https://www.eliamep.gr/publication/in-focus-%CE%BF%CE%B9-%CF%87%CE%B1%CE%BC%CE%B7%CE%BB%CE%AD%CF%82-%CE%B4%CE%B5%CE%BE%CE%B9%CF%8C%CF%84%CE%B7%CF%84%CE%B5%CF%82-%CF%84%CF%81%CE%BF%CF%87%CE%BF%CF%80%CE%AD%CE%B4%CE%B7-%CF%84%CE%B7/</w:t>
        </w:r>
      </w:hyperlink>
      <w:r w:rsidRPr="001310D8">
        <w:rPr>
          <w:rFonts w:ascii="Calibri Light" w:hAnsi="Calibri Light" w:cs="Calibri Light"/>
          <w:color w:val="0A0A0A"/>
          <w:sz w:val="18"/>
          <w:szCs w:val="18"/>
          <w:shd w:val="clear" w:color="auto" w:fill="FFFFFF"/>
        </w:rPr>
        <w:t xml:space="preserve"> </w:t>
      </w:r>
    </w:p>
  </w:footnote>
  <w:footnote w:id="11">
    <w:p w14:paraId="634DDF8D" w14:textId="77777777" w:rsidR="00973ABE" w:rsidRPr="001310D8" w:rsidRDefault="00973ABE" w:rsidP="009815A2">
      <w:pPr>
        <w:pStyle w:val="a8"/>
        <w:rPr>
          <w:rFonts w:ascii="Calibri Light" w:hAnsi="Calibri Light" w:cs="Calibri Light"/>
          <w:sz w:val="18"/>
          <w:szCs w:val="18"/>
        </w:rPr>
      </w:pPr>
      <w:r w:rsidRPr="001310D8">
        <w:rPr>
          <w:rStyle w:val="a9"/>
          <w:rFonts w:ascii="Calibri Light" w:hAnsi="Calibri Light" w:cs="Calibri Light"/>
          <w:sz w:val="18"/>
          <w:szCs w:val="18"/>
        </w:rPr>
        <w:footnoteRef/>
      </w:r>
      <w:r w:rsidRPr="001310D8">
        <w:rPr>
          <w:rFonts w:ascii="Calibri Light" w:hAnsi="Calibri Light" w:cs="Calibri Light"/>
          <w:sz w:val="18"/>
          <w:szCs w:val="18"/>
        </w:rPr>
        <w:t xml:space="preserve"> </w:t>
      </w:r>
      <w:hyperlink r:id="rId12" w:history="1">
        <w:r w:rsidRPr="001310D8">
          <w:rPr>
            <w:rStyle w:val="-"/>
            <w:rFonts w:ascii="Calibri Light" w:hAnsi="Calibri Light" w:cs="Calibri Light"/>
            <w:sz w:val="18"/>
            <w:szCs w:val="18"/>
          </w:rPr>
          <w:t>https://www.eliamep.gr/publication/in-focus-%ce%b7-%ce%b1%ce%b4%ce%b9%ce%b1%cf%86%ce%bf%cf%81%ce%af%ce%b1-%cf%84%cf%89%ce%bd-%ce%b5%cf%80%ce%b9%cf%87%ce%b5%ce%b9%cf%81%ce%ae%cf%83%ce%b5%cf%89%ce%bd-%ce%b3%ce%b9%ce%b1-%cf%84%ce%b7/</w:t>
        </w:r>
      </w:hyperlink>
      <w:r w:rsidRPr="001310D8">
        <w:rPr>
          <w:rFonts w:ascii="Calibri Light" w:hAnsi="Calibri Light" w:cs="Calibri Light"/>
          <w:sz w:val="18"/>
          <w:szCs w:val="18"/>
        </w:rPr>
        <w:t xml:space="preserve"> </w:t>
      </w:r>
    </w:p>
  </w:footnote>
  <w:footnote w:id="12">
    <w:p w14:paraId="237CAE06" w14:textId="705659D4" w:rsidR="00973ABE" w:rsidRPr="00265C8F" w:rsidRDefault="00973ABE" w:rsidP="00612E62">
      <w:pPr>
        <w:pStyle w:val="a8"/>
        <w:jc w:val="both"/>
      </w:pPr>
      <w:r>
        <w:rPr>
          <w:rStyle w:val="a9"/>
        </w:rPr>
        <w:footnoteRef/>
      </w:r>
      <w:r w:rsidRPr="00265C8F">
        <w:t xml:space="preserve"> </w:t>
      </w:r>
      <w:r>
        <w:t>Τα ποσοστά των επιχειρήσεων οι οποίες στις έρευνες του ΙΜΕ ΓΣΕΒΕΕ δηλώνουν πως το επόμενο διάστημα είναι πολύ ή αρκετά πιθανό να διακόψουν τη δραστηριότητά τους συνιστούν τον δείκτη αβεβαιότητας.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4D937" w14:textId="77777777" w:rsidR="00973ABE" w:rsidRDefault="00973ABE">
    <w:pPr>
      <w:pStyle w:val="a5"/>
    </w:pPr>
    <w:r>
      <w:rPr>
        <w:noProof/>
      </w:rPr>
      <w:drawing>
        <wp:inline distT="0" distB="0" distL="0" distR="0" wp14:anchorId="4F72206F" wp14:editId="685322C1">
          <wp:extent cx="1579155" cy="594360"/>
          <wp:effectExtent l="0" t="0" r="2540" b="0"/>
          <wp:docPr id="3" name="Εικόνα 10" descr="C:\Users\Thanopoulos\AppData\Local\Microsoft\Windows\INetCache\Content.Outlook\B5LN3GZV\ιμε μπορντώ.jpg"/>
          <wp:cNvGraphicFramePr/>
          <a:graphic xmlns:a="http://schemas.openxmlformats.org/drawingml/2006/main">
            <a:graphicData uri="http://schemas.openxmlformats.org/drawingml/2006/picture">
              <pic:pic xmlns:pic="http://schemas.openxmlformats.org/drawingml/2006/picture">
                <pic:nvPicPr>
                  <pic:cNvPr id="11" name="Εικόνα 10" descr="C:\Users\Thanopoulos\AppData\Local\Microsoft\Windows\INetCache\Content.Outlook\B5LN3GZV\ιμε μπορντώ.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4176" cy="596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7C3833"/>
    <w:multiLevelType w:val="hybridMultilevel"/>
    <w:tmpl w:val="85A6BB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E447808"/>
    <w:multiLevelType w:val="hybridMultilevel"/>
    <w:tmpl w:val="16F647F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14095C"/>
    <w:multiLevelType w:val="hybridMultilevel"/>
    <w:tmpl w:val="6F720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34D10"/>
    <w:multiLevelType w:val="hybridMultilevel"/>
    <w:tmpl w:val="D82002A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9A332BD"/>
    <w:multiLevelType w:val="hybridMultilevel"/>
    <w:tmpl w:val="65B43E1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20F46E9"/>
    <w:multiLevelType w:val="multilevel"/>
    <w:tmpl w:val="36C6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6D39F6"/>
    <w:multiLevelType w:val="hybridMultilevel"/>
    <w:tmpl w:val="95EA9CAC"/>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7" w15:restartNumberingAfterBreak="0">
    <w:nsid w:val="295318D3"/>
    <w:multiLevelType w:val="hybridMultilevel"/>
    <w:tmpl w:val="4002FC3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5C15F7B"/>
    <w:multiLevelType w:val="hybridMultilevel"/>
    <w:tmpl w:val="586A48A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759043B"/>
    <w:multiLevelType w:val="hybridMultilevel"/>
    <w:tmpl w:val="3DA09E28"/>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3B3105C2"/>
    <w:multiLevelType w:val="multilevel"/>
    <w:tmpl w:val="089A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FA65EE"/>
    <w:multiLevelType w:val="hybridMultilevel"/>
    <w:tmpl w:val="2E24719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2834CDB"/>
    <w:multiLevelType w:val="hybridMultilevel"/>
    <w:tmpl w:val="E40AF79E"/>
    <w:lvl w:ilvl="0" w:tplc="FFFFFFFF">
      <w:start w:val="1"/>
      <w:numFmt w:val="bullet"/>
      <w:lvlText w:val=""/>
      <w:lvlJc w:val="left"/>
      <w:pPr>
        <w:ind w:left="360" w:hanging="360"/>
      </w:pPr>
      <w:rPr>
        <w:rFonts w:ascii="Wingdings" w:hAnsi="Wingdings" w:hint="default"/>
      </w:rPr>
    </w:lvl>
    <w:lvl w:ilvl="1" w:tplc="FFFFFFFF">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46CA6873"/>
    <w:multiLevelType w:val="hybridMultilevel"/>
    <w:tmpl w:val="80B084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74B59A3"/>
    <w:multiLevelType w:val="hybridMultilevel"/>
    <w:tmpl w:val="35A8FD54"/>
    <w:lvl w:ilvl="0" w:tplc="0408000B">
      <w:start w:val="1"/>
      <w:numFmt w:val="bullet"/>
      <w:lvlText w:val=""/>
      <w:lvlJc w:val="left"/>
      <w:pPr>
        <w:ind w:left="360" w:hanging="360"/>
      </w:pPr>
      <w:rPr>
        <w:rFonts w:ascii="Wingdings" w:hAnsi="Wingdings"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49160B71"/>
    <w:multiLevelType w:val="hybridMultilevel"/>
    <w:tmpl w:val="1CCC3D0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4B8B5DED"/>
    <w:multiLevelType w:val="hybridMultilevel"/>
    <w:tmpl w:val="3EDE593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15:restartNumberingAfterBreak="0">
    <w:nsid w:val="51C52D67"/>
    <w:multiLevelType w:val="hybridMultilevel"/>
    <w:tmpl w:val="28022800"/>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55C94502"/>
    <w:multiLevelType w:val="hybridMultilevel"/>
    <w:tmpl w:val="44D4E26A"/>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9" w15:restartNumberingAfterBreak="0">
    <w:nsid w:val="57F10F5E"/>
    <w:multiLevelType w:val="hybridMultilevel"/>
    <w:tmpl w:val="CDF6ED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585B58D1"/>
    <w:multiLevelType w:val="hybridMultilevel"/>
    <w:tmpl w:val="1008426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94D29ED"/>
    <w:multiLevelType w:val="hybridMultilevel"/>
    <w:tmpl w:val="7528DA6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2" w15:restartNumberingAfterBreak="0">
    <w:nsid w:val="5FF9213A"/>
    <w:multiLevelType w:val="multilevel"/>
    <w:tmpl w:val="C1127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2E785D"/>
    <w:multiLevelType w:val="hybridMultilevel"/>
    <w:tmpl w:val="06125FC4"/>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4" w15:restartNumberingAfterBreak="0">
    <w:nsid w:val="65886361"/>
    <w:multiLevelType w:val="hybridMultilevel"/>
    <w:tmpl w:val="56E2B040"/>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15:restartNumberingAfterBreak="0">
    <w:nsid w:val="65FD76D5"/>
    <w:multiLevelType w:val="hybridMultilevel"/>
    <w:tmpl w:val="56F2078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DBE5FD7"/>
    <w:multiLevelType w:val="hybridMultilevel"/>
    <w:tmpl w:val="079C4060"/>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15:restartNumberingAfterBreak="0">
    <w:nsid w:val="73195649"/>
    <w:multiLevelType w:val="hybridMultilevel"/>
    <w:tmpl w:val="CE0E6BBA"/>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7492678C"/>
    <w:multiLevelType w:val="hybridMultilevel"/>
    <w:tmpl w:val="644668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9" w15:restartNumberingAfterBreak="0">
    <w:nsid w:val="79050F12"/>
    <w:multiLevelType w:val="hybridMultilevel"/>
    <w:tmpl w:val="B34CED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A5141AF"/>
    <w:multiLevelType w:val="hybridMultilevel"/>
    <w:tmpl w:val="23CA5C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7C0D4A60"/>
    <w:multiLevelType w:val="hybridMultilevel"/>
    <w:tmpl w:val="1628396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501167821">
    <w:abstractNumId w:val="19"/>
  </w:num>
  <w:num w:numId="2" w16cid:durableId="365133665">
    <w:abstractNumId w:val="28"/>
  </w:num>
  <w:num w:numId="3" w16cid:durableId="53554940">
    <w:abstractNumId w:val="13"/>
  </w:num>
  <w:num w:numId="4" w16cid:durableId="983704382">
    <w:abstractNumId w:val="23"/>
  </w:num>
  <w:num w:numId="5" w16cid:durableId="526673079">
    <w:abstractNumId w:val="3"/>
  </w:num>
  <w:num w:numId="6" w16cid:durableId="567304578">
    <w:abstractNumId w:val="0"/>
  </w:num>
  <w:num w:numId="7" w16cid:durableId="751511361">
    <w:abstractNumId w:val="29"/>
  </w:num>
  <w:num w:numId="8" w16cid:durableId="977880744">
    <w:abstractNumId w:val="2"/>
  </w:num>
  <w:num w:numId="9" w16cid:durableId="1186477110">
    <w:abstractNumId w:val="25"/>
  </w:num>
  <w:num w:numId="10" w16cid:durableId="728841890">
    <w:abstractNumId w:val="20"/>
  </w:num>
  <w:num w:numId="11" w16cid:durableId="321082921">
    <w:abstractNumId w:val="21"/>
  </w:num>
  <w:num w:numId="12" w16cid:durableId="1060708152">
    <w:abstractNumId w:val="12"/>
  </w:num>
  <w:num w:numId="13" w16cid:durableId="381100924">
    <w:abstractNumId w:val="1"/>
  </w:num>
  <w:num w:numId="14" w16cid:durableId="1181819748">
    <w:abstractNumId w:val="6"/>
  </w:num>
  <w:num w:numId="15" w16cid:durableId="279992238">
    <w:abstractNumId w:val="26"/>
  </w:num>
  <w:num w:numId="16" w16cid:durableId="418721578">
    <w:abstractNumId w:val="24"/>
  </w:num>
  <w:num w:numId="17" w16cid:durableId="1539735505">
    <w:abstractNumId w:val="18"/>
  </w:num>
  <w:num w:numId="18" w16cid:durableId="1608154907">
    <w:abstractNumId w:val="30"/>
  </w:num>
  <w:num w:numId="19" w16cid:durableId="1569537512">
    <w:abstractNumId w:val="16"/>
  </w:num>
  <w:num w:numId="20" w16cid:durableId="2061710397">
    <w:abstractNumId w:val="14"/>
  </w:num>
  <w:num w:numId="21" w16cid:durableId="1600865865">
    <w:abstractNumId w:val="10"/>
  </w:num>
  <w:num w:numId="22" w16cid:durableId="1209533696">
    <w:abstractNumId w:val="5"/>
  </w:num>
  <w:num w:numId="23" w16cid:durableId="1186990370">
    <w:abstractNumId w:val="22"/>
  </w:num>
  <w:num w:numId="24" w16cid:durableId="1868324283">
    <w:abstractNumId w:val="8"/>
  </w:num>
  <w:num w:numId="25" w16cid:durableId="1574193092">
    <w:abstractNumId w:val="11"/>
  </w:num>
  <w:num w:numId="26" w16cid:durableId="798691192">
    <w:abstractNumId w:val="4"/>
  </w:num>
  <w:num w:numId="27" w16cid:durableId="1883514318">
    <w:abstractNumId w:val="27"/>
  </w:num>
  <w:num w:numId="28" w16cid:durableId="919174215">
    <w:abstractNumId w:val="7"/>
  </w:num>
  <w:num w:numId="29" w16cid:durableId="613555521">
    <w:abstractNumId w:val="17"/>
  </w:num>
  <w:num w:numId="30" w16cid:durableId="159930100">
    <w:abstractNumId w:val="9"/>
  </w:num>
  <w:num w:numId="31" w16cid:durableId="1520003776">
    <w:abstractNumId w:val="15"/>
  </w:num>
  <w:num w:numId="32" w16cid:durableId="850140791">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B49"/>
    <w:rsid w:val="00002837"/>
    <w:rsid w:val="00003C2B"/>
    <w:rsid w:val="0000408A"/>
    <w:rsid w:val="00015383"/>
    <w:rsid w:val="00015C14"/>
    <w:rsid w:val="00016444"/>
    <w:rsid w:val="0002081A"/>
    <w:rsid w:val="0002135A"/>
    <w:rsid w:val="000215EF"/>
    <w:rsid w:val="00023631"/>
    <w:rsid w:val="00023FE7"/>
    <w:rsid w:val="000255FA"/>
    <w:rsid w:val="00027403"/>
    <w:rsid w:val="00027698"/>
    <w:rsid w:val="0003103D"/>
    <w:rsid w:val="0003191B"/>
    <w:rsid w:val="0003359C"/>
    <w:rsid w:val="00033B51"/>
    <w:rsid w:val="00037803"/>
    <w:rsid w:val="000400B4"/>
    <w:rsid w:val="000403D3"/>
    <w:rsid w:val="00041588"/>
    <w:rsid w:val="00041A60"/>
    <w:rsid w:val="00046494"/>
    <w:rsid w:val="000474FF"/>
    <w:rsid w:val="000479BF"/>
    <w:rsid w:val="00051111"/>
    <w:rsid w:val="00054964"/>
    <w:rsid w:val="00054E96"/>
    <w:rsid w:val="00062E8B"/>
    <w:rsid w:val="0006383E"/>
    <w:rsid w:val="000667F7"/>
    <w:rsid w:val="00067026"/>
    <w:rsid w:val="00071BAC"/>
    <w:rsid w:val="00074CC2"/>
    <w:rsid w:val="00074D20"/>
    <w:rsid w:val="00081D45"/>
    <w:rsid w:val="0008588D"/>
    <w:rsid w:val="00085D87"/>
    <w:rsid w:val="00086F37"/>
    <w:rsid w:val="000877BB"/>
    <w:rsid w:val="00090427"/>
    <w:rsid w:val="000908CF"/>
    <w:rsid w:val="00092A0E"/>
    <w:rsid w:val="000932B4"/>
    <w:rsid w:val="000A0109"/>
    <w:rsid w:val="000A2459"/>
    <w:rsid w:val="000A354D"/>
    <w:rsid w:val="000A4F4A"/>
    <w:rsid w:val="000A5346"/>
    <w:rsid w:val="000A5F7A"/>
    <w:rsid w:val="000B2B5B"/>
    <w:rsid w:val="000B36E2"/>
    <w:rsid w:val="000B3804"/>
    <w:rsid w:val="000B65DB"/>
    <w:rsid w:val="000B6F85"/>
    <w:rsid w:val="000B7724"/>
    <w:rsid w:val="000B7B44"/>
    <w:rsid w:val="000C0D8F"/>
    <w:rsid w:val="000C2FBF"/>
    <w:rsid w:val="000C5EC9"/>
    <w:rsid w:val="000D4E07"/>
    <w:rsid w:val="000D5C5A"/>
    <w:rsid w:val="000D7264"/>
    <w:rsid w:val="000D76FF"/>
    <w:rsid w:val="000E224C"/>
    <w:rsid w:val="000E2648"/>
    <w:rsid w:val="000E2896"/>
    <w:rsid w:val="000E45C7"/>
    <w:rsid w:val="000E5F16"/>
    <w:rsid w:val="000E62CA"/>
    <w:rsid w:val="000E72AC"/>
    <w:rsid w:val="000E7749"/>
    <w:rsid w:val="000F0443"/>
    <w:rsid w:val="000F2966"/>
    <w:rsid w:val="000F2CA5"/>
    <w:rsid w:val="000F6054"/>
    <w:rsid w:val="001009CB"/>
    <w:rsid w:val="0010421B"/>
    <w:rsid w:val="00105D13"/>
    <w:rsid w:val="00106AC7"/>
    <w:rsid w:val="001121DE"/>
    <w:rsid w:val="0011287B"/>
    <w:rsid w:val="001137A3"/>
    <w:rsid w:val="00116DFD"/>
    <w:rsid w:val="0011771B"/>
    <w:rsid w:val="00120C3D"/>
    <w:rsid w:val="00122982"/>
    <w:rsid w:val="00125948"/>
    <w:rsid w:val="00125E36"/>
    <w:rsid w:val="00130335"/>
    <w:rsid w:val="001305B4"/>
    <w:rsid w:val="001308E4"/>
    <w:rsid w:val="0013445F"/>
    <w:rsid w:val="00136AA0"/>
    <w:rsid w:val="00140CE7"/>
    <w:rsid w:val="001414F9"/>
    <w:rsid w:val="0014152E"/>
    <w:rsid w:val="0014310F"/>
    <w:rsid w:val="00144770"/>
    <w:rsid w:val="001453F2"/>
    <w:rsid w:val="0014640F"/>
    <w:rsid w:val="001468D1"/>
    <w:rsid w:val="0015182B"/>
    <w:rsid w:val="001548FD"/>
    <w:rsid w:val="00155A32"/>
    <w:rsid w:val="0016123E"/>
    <w:rsid w:val="00162FEF"/>
    <w:rsid w:val="00166FA5"/>
    <w:rsid w:val="001717FC"/>
    <w:rsid w:val="0018040C"/>
    <w:rsid w:val="0018338E"/>
    <w:rsid w:val="0018451F"/>
    <w:rsid w:val="00185A49"/>
    <w:rsid w:val="001904CE"/>
    <w:rsid w:val="001908F9"/>
    <w:rsid w:val="00192DC6"/>
    <w:rsid w:val="00192FC3"/>
    <w:rsid w:val="00195281"/>
    <w:rsid w:val="00195BF7"/>
    <w:rsid w:val="001963EF"/>
    <w:rsid w:val="001968A1"/>
    <w:rsid w:val="0019755E"/>
    <w:rsid w:val="00197D2C"/>
    <w:rsid w:val="001A2EAF"/>
    <w:rsid w:val="001A3099"/>
    <w:rsid w:val="001A4FBC"/>
    <w:rsid w:val="001A74DC"/>
    <w:rsid w:val="001B2706"/>
    <w:rsid w:val="001B481E"/>
    <w:rsid w:val="001C04F9"/>
    <w:rsid w:val="001C2D68"/>
    <w:rsid w:val="001C30A7"/>
    <w:rsid w:val="001C3C25"/>
    <w:rsid w:val="001C4593"/>
    <w:rsid w:val="001C495D"/>
    <w:rsid w:val="001C5D1E"/>
    <w:rsid w:val="001D2296"/>
    <w:rsid w:val="001D3D49"/>
    <w:rsid w:val="001D3E71"/>
    <w:rsid w:val="001D4677"/>
    <w:rsid w:val="001D4F89"/>
    <w:rsid w:val="001D606D"/>
    <w:rsid w:val="001E0D9A"/>
    <w:rsid w:val="001E5692"/>
    <w:rsid w:val="001E5FC8"/>
    <w:rsid w:val="001E621F"/>
    <w:rsid w:val="001F00CB"/>
    <w:rsid w:val="001F40FF"/>
    <w:rsid w:val="001F6664"/>
    <w:rsid w:val="001F7EF1"/>
    <w:rsid w:val="00200E6D"/>
    <w:rsid w:val="00202A95"/>
    <w:rsid w:val="00206EE1"/>
    <w:rsid w:val="00207662"/>
    <w:rsid w:val="00210568"/>
    <w:rsid w:val="00213076"/>
    <w:rsid w:val="00213CB2"/>
    <w:rsid w:val="002148C2"/>
    <w:rsid w:val="00214E6E"/>
    <w:rsid w:val="00220C63"/>
    <w:rsid w:val="00222256"/>
    <w:rsid w:val="002226A1"/>
    <w:rsid w:val="002257A7"/>
    <w:rsid w:val="00225BB8"/>
    <w:rsid w:val="002278CA"/>
    <w:rsid w:val="00233A5F"/>
    <w:rsid w:val="002365A2"/>
    <w:rsid w:val="0023753F"/>
    <w:rsid w:val="00241114"/>
    <w:rsid w:val="002457B3"/>
    <w:rsid w:val="00246AE9"/>
    <w:rsid w:val="00246D97"/>
    <w:rsid w:val="00246EBD"/>
    <w:rsid w:val="002476E6"/>
    <w:rsid w:val="00250C36"/>
    <w:rsid w:val="00252551"/>
    <w:rsid w:val="00252618"/>
    <w:rsid w:val="00257DA4"/>
    <w:rsid w:val="002605EE"/>
    <w:rsid w:val="00261E45"/>
    <w:rsid w:val="002650CB"/>
    <w:rsid w:val="00266760"/>
    <w:rsid w:val="00267216"/>
    <w:rsid w:val="00270B49"/>
    <w:rsid w:val="002748BA"/>
    <w:rsid w:val="002766C3"/>
    <w:rsid w:val="0028333A"/>
    <w:rsid w:val="002850F9"/>
    <w:rsid w:val="00285602"/>
    <w:rsid w:val="00287582"/>
    <w:rsid w:val="00287D05"/>
    <w:rsid w:val="0029015C"/>
    <w:rsid w:val="0029050F"/>
    <w:rsid w:val="002928CC"/>
    <w:rsid w:val="002933A1"/>
    <w:rsid w:val="002941C9"/>
    <w:rsid w:val="00295DC5"/>
    <w:rsid w:val="002A29B5"/>
    <w:rsid w:val="002A2F09"/>
    <w:rsid w:val="002A30D2"/>
    <w:rsid w:val="002A3C1F"/>
    <w:rsid w:val="002A4E28"/>
    <w:rsid w:val="002A6188"/>
    <w:rsid w:val="002B022A"/>
    <w:rsid w:val="002B4692"/>
    <w:rsid w:val="002B492D"/>
    <w:rsid w:val="002B4A61"/>
    <w:rsid w:val="002B7A63"/>
    <w:rsid w:val="002B7D15"/>
    <w:rsid w:val="002C0C86"/>
    <w:rsid w:val="002C2612"/>
    <w:rsid w:val="002C362D"/>
    <w:rsid w:val="002C4033"/>
    <w:rsid w:val="002C4548"/>
    <w:rsid w:val="002C623E"/>
    <w:rsid w:val="002C7173"/>
    <w:rsid w:val="002C7EBD"/>
    <w:rsid w:val="002D492B"/>
    <w:rsid w:val="002D7833"/>
    <w:rsid w:val="002E084A"/>
    <w:rsid w:val="002E0F9F"/>
    <w:rsid w:val="002E1420"/>
    <w:rsid w:val="002E39F2"/>
    <w:rsid w:val="002F0FE4"/>
    <w:rsid w:val="002F1322"/>
    <w:rsid w:val="002F2829"/>
    <w:rsid w:val="002F28ED"/>
    <w:rsid w:val="002F4A1D"/>
    <w:rsid w:val="002F78CE"/>
    <w:rsid w:val="002F7E02"/>
    <w:rsid w:val="00300300"/>
    <w:rsid w:val="00305349"/>
    <w:rsid w:val="003072D7"/>
    <w:rsid w:val="00307913"/>
    <w:rsid w:val="00310F66"/>
    <w:rsid w:val="0031121B"/>
    <w:rsid w:val="00323841"/>
    <w:rsid w:val="003239BA"/>
    <w:rsid w:val="00325572"/>
    <w:rsid w:val="00326C2A"/>
    <w:rsid w:val="00326F61"/>
    <w:rsid w:val="00327B49"/>
    <w:rsid w:val="003313C6"/>
    <w:rsid w:val="00336DCC"/>
    <w:rsid w:val="003401D3"/>
    <w:rsid w:val="00340910"/>
    <w:rsid w:val="00340FCE"/>
    <w:rsid w:val="0034625D"/>
    <w:rsid w:val="00350641"/>
    <w:rsid w:val="0035136C"/>
    <w:rsid w:val="003520CF"/>
    <w:rsid w:val="00352171"/>
    <w:rsid w:val="00352BE5"/>
    <w:rsid w:val="003601A2"/>
    <w:rsid w:val="00361349"/>
    <w:rsid w:val="003653AC"/>
    <w:rsid w:val="0036558B"/>
    <w:rsid w:val="003659C2"/>
    <w:rsid w:val="00367746"/>
    <w:rsid w:val="00367B10"/>
    <w:rsid w:val="0037309D"/>
    <w:rsid w:val="0037363C"/>
    <w:rsid w:val="00377309"/>
    <w:rsid w:val="003812C9"/>
    <w:rsid w:val="00381D75"/>
    <w:rsid w:val="00382337"/>
    <w:rsid w:val="00384243"/>
    <w:rsid w:val="00385C77"/>
    <w:rsid w:val="0038756A"/>
    <w:rsid w:val="003875E8"/>
    <w:rsid w:val="00387F63"/>
    <w:rsid w:val="003913A4"/>
    <w:rsid w:val="0039279C"/>
    <w:rsid w:val="00397C48"/>
    <w:rsid w:val="003A217F"/>
    <w:rsid w:val="003A24FD"/>
    <w:rsid w:val="003A2D1E"/>
    <w:rsid w:val="003A5178"/>
    <w:rsid w:val="003B2BE0"/>
    <w:rsid w:val="003B427B"/>
    <w:rsid w:val="003B4DD8"/>
    <w:rsid w:val="003B5CAF"/>
    <w:rsid w:val="003C3D8E"/>
    <w:rsid w:val="003C6BD7"/>
    <w:rsid w:val="003D3C63"/>
    <w:rsid w:val="003D4017"/>
    <w:rsid w:val="003D58A2"/>
    <w:rsid w:val="003D5ACF"/>
    <w:rsid w:val="003D6138"/>
    <w:rsid w:val="003E0554"/>
    <w:rsid w:val="003F035C"/>
    <w:rsid w:val="003F42F9"/>
    <w:rsid w:val="003F5FFF"/>
    <w:rsid w:val="003F7C4E"/>
    <w:rsid w:val="0040176E"/>
    <w:rsid w:val="004047A2"/>
    <w:rsid w:val="0040656C"/>
    <w:rsid w:val="00411603"/>
    <w:rsid w:val="00412676"/>
    <w:rsid w:val="00413397"/>
    <w:rsid w:val="00413CE5"/>
    <w:rsid w:val="00423C53"/>
    <w:rsid w:val="0042536B"/>
    <w:rsid w:val="004263F1"/>
    <w:rsid w:val="00426812"/>
    <w:rsid w:val="00435434"/>
    <w:rsid w:val="00436C8A"/>
    <w:rsid w:val="00437B11"/>
    <w:rsid w:val="004402D9"/>
    <w:rsid w:val="00440C2A"/>
    <w:rsid w:val="0044137A"/>
    <w:rsid w:val="00446C4F"/>
    <w:rsid w:val="00447DE6"/>
    <w:rsid w:val="004503F8"/>
    <w:rsid w:val="004506BF"/>
    <w:rsid w:val="0045324D"/>
    <w:rsid w:val="004572FD"/>
    <w:rsid w:val="004605A4"/>
    <w:rsid w:val="00462630"/>
    <w:rsid w:val="00462AD5"/>
    <w:rsid w:val="0047006E"/>
    <w:rsid w:val="00470A09"/>
    <w:rsid w:val="004715A0"/>
    <w:rsid w:val="004721CA"/>
    <w:rsid w:val="00473C01"/>
    <w:rsid w:val="00474182"/>
    <w:rsid w:val="00476CA4"/>
    <w:rsid w:val="004771F2"/>
    <w:rsid w:val="0048143F"/>
    <w:rsid w:val="00481589"/>
    <w:rsid w:val="004817B6"/>
    <w:rsid w:val="0048186B"/>
    <w:rsid w:val="00486214"/>
    <w:rsid w:val="00486726"/>
    <w:rsid w:val="00486BA5"/>
    <w:rsid w:val="004929E5"/>
    <w:rsid w:val="004936D1"/>
    <w:rsid w:val="00493702"/>
    <w:rsid w:val="00494B07"/>
    <w:rsid w:val="004965B0"/>
    <w:rsid w:val="004A134B"/>
    <w:rsid w:val="004A3CA2"/>
    <w:rsid w:val="004B0815"/>
    <w:rsid w:val="004B380B"/>
    <w:rsid w:val="004B4757"/>
    <w:rsid w:val="004B51EC"/>
    <w:rsid w:val="004B52F5"/>
    <w:rsid w:val="004B7758"/>
    <w:rsid w:val="004C1003"/>
    <w:rsid w:val="004C314C"/>
    <w:rsid w:val="004C3DCF"/>
    <w:rsid w:val="004C6D21"/>
    <w:rsid w:val="004D130D"/>
    <w:rsid w:val="004D407D"/>
    <w:rsid w:val="004D4651"/>
    <w:rsid w:val="004D7285"/>
    <w:rsid w:val="004D7672"/>
    <w:rsid w:val="004E11B6"/>
    <w:rsid w:val="004E366C"/>
    <w:rsid w:val="004E4B8D"/>
    <w:rsid w:val="004E7019"/>
    <w:rsid w:val="004F24E5"/>
    <w:rsid w:val="004F3EE6"/>
    <w:rsid w:val="004F51F6"/>
    <w:rsid w:val="004F6B97"/>
    <w:rsid w:val="005019FE"/>
    <w:rsid w:val="00501C1C"/>
    <w:rsid w:val="00514CDF"/>
    <w:rsid w:val="00516037"/>
    <w:rsid w:val="00516689"/>
    <w:rsid w:val="00526D7A"/>
    <w:rsid w:val="0052763F"/>
    <w:rsid w:val="00531085"/>
    <w:rsid w:val="00534CC8"/>
    <w:rsid w:val="00535DD5"/>
    <w:rsid w:val="00537C1A"/>
    <w:rsid w:val="00540E4B"/>
    <w:rsid w:val="0054152E"/>
    <w:rsid w:val="00547A9B"/>
    <w:rsid w:val="00550381"/>
    <w:rsid w:val="0055217A"/>
    <w:rsid w:val="005547E8"/>
    <w:rsid w:val="005549E1"/>
    <w:rsid w:val="00557831"/>
    <w:rsid w:val="005601DF"/>
    <w:rsid w:val="0056072B"/>
    <w:rsid w:val="00561E56"/>
    <w:rsid w:val="00562C62"/>
    <w:rsid w:val="00572F37"/>
    <w:rsid w:val="00580676"/>
    <w:rsid w:val="00581B95"/>
    <w:rsid w:val="00584E3B"/>
    <w:rsid w:val="00585E65"/>
    <w:rsid w:val="00590590"/>
    <w:rsid w:val="0059068E"/>
    <w:rsid w:val="00591872"/>
    <w:rsid w:val="00592826"/>
    <w:rsid w:val="00593889"/>
    <w:rsid w:val="0059632C"/>
    <w:rsid w:val="005967DE"/>
    <w:rsid w:val="00596FDF"/>
    <w:rsid w:val="005A03DD"/>
    <w:rsid w:val="005A04C7"/>
    <w:rsid w:val="005A25E4"/>
    <w:rsid w:val="005A2E25"/>
    <w:rsid w:val="005A43D5"/>
    <w:rsid w:val="005A61C6"/>
    <w:rsid w:val="005A667D"/>
    <w:rsid w:val="005B46CD"/>
    <w:rsid w:val="005B6A79"/>
    <w:rsid w:val="005B6CB0"/>
    <w:rsid w:val="005C4B00"/>
    <w:rsid w:val="005C51DE"/>
    <w:rsid w:val="005C570E"/>
    <w:rsid w:val="005C7742"/>
    <w:rsid w:val="005D0251"/>
    <w:rsid w:val="005D0CB1"/>
    <w:rsid w:val="005D1BC3"/>
    <w:rsid w:val="005D2E35"/>
    <w:rsid w:val="005D40E0"/>
    <w:rsid w:val="005E28A3"/>
    <w:rsid w:val="005E2CEF"/>
    <w:rsid w:val="005E5556"/>
    <w:rsid w:val="005E5FA9"/>
    <w:rsid w:val="005F4BAC"/>
    <w:rsid w:val="0060315A"/>
    <w:rsid w:val="006043B9"/>
    <w:rsid w:val="00604FAD"/>
    <w:rsid w:val="006103F3"/>
    <w:rsid w:val="0061088B"/>
    <w:rsid w:val="006129F5"/>
    <w:rsid w:val="00612B92"/>
    <w:rsid w:val="00612E62"/>
    <w:rsid w:val="00614856"/>
    <w:rsid w:val="00615EE1"/>
    <w:rsid w:val="00617884"/>
    <w:rsid w:val="0062007B"/>
    <w:rsid w:val="00620BDA"/>
    <w:rsid w:val="00623400"/>
    <w:rsid w:val="00625D74"/>
    <w:rsid w:val="0062628A"/>
    <w:rsid w:val="0062713A"/>
    <w:rsid w:val="0063201C"/>
    <w:rsid w:val="00633BBE"/>
    <w:rsid w:val="006349F6"/>
    <w:rsid w:val="00635E94"/>
    <w:rsid w:val="006362C8"/>
    <w:rsid w:val="00636F36"/>
    <w:rsid w:val="00642CF7"/>
    <w:rsid w:val="00643FA4"/>
    <w:rsid w:val="006455A6"/>
    <w:rsid w:val="00645FBA"/>
    <w:rsid w:val="0064693A"/>
    <w:rsid w:val="00646CC1"/>
    <w:rsid w:val="0065621A"/>
    <w:rsid w:val="006565BE"/>
    <w:rsid w:val="00660191"/>
    <w:rsid w:val="0066232B"/>
    <w:rsid w:val="006636D0"/>
    <w:rsid w:val="006666AA"/>
    <w:rsid w:val="00676521"/>
    <w:rsid w:val="00676D0F"/>
    <w:rsid w:val="006837EA"/>
    <w:rsid w:val="00683AE3"/>
    <w:rsid w:val="00685E13"/>
    <w:rsid w:val="0069244B"/>
    <w:rsid w:val="00695DA7"/>
    <w:rsid w:val="00695ECB"/>
    <w:rsid w:val="00697136"/>
    <w:rsid w:val="006A4B01"/>
    <w:rsid w:val="006A7202"/>
    <w:rsid w:val="006B4F4F"/>
    <w:rsid w:val="006C0631"/>
    <w:rsid w:val="006C5D62"/>
    <w:rsid w:val="006C5E6F"/>
    <w:rsid w:val="006D1D4C"/>
    <w:rsid w:val="006D346D"/>
    <w:rsid w:val="006D4815"/>
    <w:rsid w:val="006D6F1D"/>
    <w:rsid w:val="006E593E"/>
    <w:rsid w:val="006F0645"/>
    <w:rsid w:val="006F0B11"/>
    <w:rsid w:val="006F119E"/>
    <w:rsid w:val="006F672F"/>
    <w:rsid w:val="006F6758"/>
    <w:rsid w:val="00700BFC"/>
    <w:rsid w:val="007011E0"/>
    <w:rsid w:val="00704A66"/>
    <w:rsid w:val="00712034"/>
    <w:rsid w:val="0071259F"/>
    <w:rsid w:val="0071365A"/>
    <w:rsid w:val="00713786"/>
    <w:rsid w:val="00713BEB"/>
    <w:rsid w:val="00713E21"/>
    <w:rsid w:val="007149DC"/>
    <w:rsid w:val="007149EB"/>
    <w:rsid w:val="007202BB"/>
    <w:rsid w:val="00723DC9"/>
    <w:rsid w:val="00726D4B"/>
    <w:rsid w:val="00726FDE"/>
    <w:rsid w:val="00727253"/>
    <w:rsid w:val="007275AA"/>
    <w:rsid w:val="007305C7"/>
    <w:rsid w:val="007354DB"/>
    <w:rsid w:val="007358A2"/>
    <w:rsid w:val="00737D23"/>
    <w:rsid w:val="0074169D"/>
    <w:rsid w:val="00744551"/>
    <w:rsid w:val="007477B1"/>
    <w:rsid w:val="00754214"/>
    <w:rsid w:val="00754D44"/>
    <w:rsid w:val="00755F53"/>
    <w:rsid w:val="00761F11"/>
    <w:rsid w:val="007646B2"/>
    <w:rsid w:val="00766427"/>
    <w:rsid w:val="00766B6A"/>
    <w:rsid w:val="00770AAA"/>
    <w:rsid w:val="00770CD4"/>
    <w:rsid w:val="00772812"/>
    <w:rsid w:val="0077375A"/>
    <w:rsid w:val="00773D69"/>
    <w:rsid w:val="00782780"/>
    <w:rsid w:val="00783089"/>
    <w:rsid w:val="00786F03"/>
    <w:rsid w:val="007878C4"/>
    <w:rsid w:val="00790731"/>
    <w:rsid w:val="00790AC0"/>
    <w:rsid w:val="007915B9"/>
    <w:rsid w:val="0079357C"/>
    <w:rsid w:val="007975B8"/>
    <w:rsid w:val="007A04DD"/>
    <w:rsid w:val="007A0614"/>
    <w:rsid w:val="007A3A82"/>
    <w:rsid w:val="007A558D"/>
    <w:rsid w:val="007A57CE"/>
    <w:rsid w:val="007A766B"/>
    <w:rsid w:val="007B00AB"/>
    <w:rsid w:val="007B0568"/>
    <w:rsid w:val="007B10CB"/>
    <w:rsid w:val="007B592E"/>
    <w:rsid w:val="007B6102"/>
    <w:rsid w:val="007B7F0A"/>
    <w:rsid w:val="007C1544"/>
    <w:rsid w:val="007C4684"/>
    <w:rsid w:val="007D20B0"/>
    <w:rsid w:val="007D3194"/>
    <w:rsid w:val="007D6DDA"/>
    <w:rsid w:val="007E0289"/>
    <w:rsid w:val="007E0B5C"/>
    <w:rsid w:val="007E4883"/>
    <w:rsid w:val="007E6B7F"/>
    <w:rsid w:val="007E7529"/>
    <w:rsid w:val="007F010B"/>
    <w:rsid w:val="007F09E4"/>
    <w:rsid w:val="007F0E44"/>
    <w:rsid w:val="007F4C64"/>
    <w:rsid w:val="007F69BF"/>
    <w:rsid w:val="007F7E16"/>
    <w:rsid w:val="008005AA"/>
    <w:rsid w:val="008010BC"/>
    <w:rsid w:val="008051B5"/>
    <w:rsid w:val="00805FF0"/>
    <w:rsid w:val="0081132D"/>
    <w:rsid w:val="00811443"/>
    <w:rsid w:val="0081774B"/>
    <w:rsid w:val="00817AE2"/>
    <w:rsid w:val="008206C0"/>
    <w:rsid w:val="00825A81"/>
    <w:rsid w:val="00826986"/>
    <w:rsid w:val="00830ADA"/>
    <w:rsid w:val="00831709"/>
    <w:rsid w:val="008378AD"/>
    <w:rsid w:val="00840DEE"/>
    <w:rsid w:val="00842180"/>
    <w:rsid w:val="008431E8"/>
    <w:rsid w:val="00843886"/>
    <w:rsid w:val="00851725"/>
    <w:rsid w:val="0085178F"/>
    <w:rsid w:val="00851CD3"/>
    <w:rsid w:val="00853788"/>
    <w:rsid w:val="00854FEE"/>
    <w:rsid w:val="00856DB5"/>
    <w:rsid w:val="0086263B"/>
    <w:rsid w:val="00865732"/>
    <w:rsid w:val="008662EF"/>
    <w:rsid w:val="00867BE6"/>
    <w:rsid w:val="00870489"/>
    <w:rsid w:val="00870ED3"/>
    <w:rsid w:val="00871E29"/>
    <w:rsid w:val="0087257C"/>
    <w:rsid w:val="00873C9F"/>
    <w:rsid w:val="00875508"/>
    <w:rsid w:val="00875D88"/>
    <w:rsid w:val="00876BF6"/>
    <w:rsid w:val="00876FD5"/>
    <w:rsid w:val="0088082F"/>
    <w:rsid w:val="008814A1"/>
    <w:rsid w:val="00881DC2"/>
    <w:rsid w:val="008829AB"/>
    <w:rsid w:val="00883292"/>
    <w:rsid w:val="0088356B"/>
    <w:rsid w:val="00885D23"/>
    <w:rsid w:val="00886D8E"/>
    <w:rsid w:val="00887ED6"/>
    <w:rsid w:val="00887F83"/>
    <w:rsid w:val="008914DB"/>
    <w:rsid w:val="00896345"/>
    <w:rsid w:val="008A09B1"/>
    <w:rsid w:val="008A1E5D"/>
    <w:rsid w:val="008A4542"/>
    <w:rsid w:val="008A51CD"/>
    <w:rsid w:val="008A5AB3"/>
    <w:rsid w:val="008A68E7"/>
    <w:rsid w:val="008B09F3"/>
    <w:rsid w:val="008B1AF6"/>
    <w:rsid w:val="008B1B2F"/>
    <w:rsid w:val="008C0E4B"/>
    <w:rsid w:val="008C3284"/>
    <w:rsid w:val="008C5422"/>
    <w:rsid w:val="008C5D0E"/>
    <w:rsid w:val="008C7A5B"/>
    <w:rsid w:val="008D012C"/>
    <w:rsid w:val="008D061C"/>
    <w:rsid w:val="008D0FA8"/>
    <w:rsid w:val="008D1C0E"/>
    <w:rsid w:val="008D1E7F"/>
    <w:rsid w:val="008D636D"/>
    <w:rsid w:val="008E0232"/>
    <w:rsid w:val="008E194B"/>
    <w:rsid w:val="008E2633"/>
    <w:rsid w:val="008E4D55"/>
    <w:rsid w:val="008E5BE7"/>
    <w:rsid w:val="008F2839"/>
    <w:rsid w:val="008F3EBD"/>
    <w:rsid w:val="008F40FD"/>
    <w:rsid w:val="008F585A"/>
    <w:rsid w:val="008F72FC"/>
    <w:rsid w:val="008F7C83"/>
    <w:rsid w:val="0090004B"/>
    <w:rsid w:val="00900706"/>
    <w:rsid w:val="0090154E"/>
    <w:rsid w:val="00902371"/>
    <w:rsid w:val="00902B23"/>
    <w:rsid w:val="00902D5D"/>
    <w:rsid w:val="00904A3E"/>
    <w:rsid w:val="00905C05"/>
    <w:rsid w:val="00906086"/>
    <w:rsid w:val="00906C00"/>
    <w:rsid w:val="009073A1"/>
    <w:rsid w:val="00907FE3"/>
    <w:rsid w:val="00911A86"/>
    <w:rsid w:val="00911C42"/>
    <w:rsid w:val="00913E65"/>
    <w:rsid w:val="00916F1F"/>
    <w:rsid w:val="00917069"/>
    <w:rsid w:val="00923125"/>
    <w:rsid w:val="00925651"/>
    <w:rsid w:val="00926680"/>
    <w:rsid w:val="009309A6"/>
    <w:rsid w:val="00932D36"/>
    <w:rsid w:val="009366DF"/>
    <w:rsid w:val="00942A7E"/>
    <w:rsid w:val="00943C04"/>
    <w:rsid w:val="009446CB"/>
    <w:rsid w:val="00944E1E"/>
    <w:rsid w:val="009458CF"/>
    <w:rsid w:val="00946231"/>
    <w:rsid w:val="009477FF"/>
    <w:rsid w:val="009557BD"/>
    <w:rsid w:val="00960676"/>
    <w:rsid w:val="00960C78"/>
    <w:rsid w:val="00961369"/>
    <w:rsid w:val="00961715"/>
    <w:rsid w:val="0096256F"/>
    <w:rsid w:val="00966218"/>
    <w:rsid w:val="00971371"/>
    <w:rsid w:val="00973ABE"/>
    <w:rsid w:val="0097594D"/>
    <w:rsid w:val="009772E8"/>
    <w:rsid w:val="00977BA4"/>
    <w:rsid w:val="009815A2"/>
    <w:rsid w:val="00985735"/>
    <w:rsid w:val="009939D4"/>
    <w:rsid w:val="009945F6"/>
    <w:rsid w:val="00994835"/>
    <w:rsid w:val="00995F54"/>
    <w:rsid w:val="0099643D"/>
    <w:rsid w:val="009966BE"/>
    <w:rsid w:val="009A34F6"/>
    <w:rsid w:val="009A71CE"/>
    <w:rsid w:val="009B4884"/>
    <w:rsid w:val="009B4BA3"/>
    <w:rsid w:val="009B547D"/>
    <w:rsid w:val="009B5755"/>
    <w:rsid w:val="009C2B1E"/>
    <w:rsid w:val="009C64EA"/>
    <w:rsid w:val="009C6602"/>
    <w:rsid w:val="009C6E2E"/>
    <w:rsid w:val="009C7498"/>
    <w:rsid w:val="009C7BCE"/>
    <w:rsid w:val="009D755B"/>
    <w:rsid w:val="009E0A34"/>
    <w:rsid w:val="009E2FAC"/>
    <w:rsid w:val="009E33D8"/>
    <w:rsid w:val="009F1277"/>
    <w:rsid w:val="009F1353"/>
    <w:rsid w:val="009F3A57"/>
    <w:rsid w:val="009F463D"/>
    <w:rsid w:val="009F4FBF"/>
    <w:rsid w:val="00A00FA8"/>
    <w:rsid w:val="00A01605"/>
    <w:rsid w:val="00A02674"/>
    <w:rsid w:val="00A032AB"/>
    <w:rsid w:val="00A04959"/>
    <w:rsid w:val="00A052FF"/>
    <w:rsid w:val="00A078D0"/>
    <w:rsid w:val="00A11F1C"/>
    <w:rsid w:val="00A124A2"/>
    <w:rsid w:val="00A1379D"/>
    <w:rsid w:val="00A13E4D"/>
    <w:rsid w:val="00A1508D"/>
    <w:rsid w:val="00A1521F"/>
    <w:rsid w:val="00A15376"/>
    <w:rsid w:val="00A15C2E"/>
    <w:rsid w:val="00A167C9"/>
    <w:rsid w:val="00A17F23"/>
    <w:rsid w:val="00A2282D"/>
    <w:rsid w:val="00A23208"/>
    <w:rsid w:val="00A30A12"/>
    <w:rsid w:val="00A32C1B"/>
    <w:rsid w:val="00A3345E"/>
    <w:rsid w:val="00A33D0A"/>
    <w:rsid w:val="00A37704"/>
    <w:rsid w:val="00A40C9F"/>
    <w:rsid w:val="00A41A74"/>
    <w:rsid w:val="00A44F54"/>
    <w:rsid w:val="00A4761C"/>
    <w:rsid w:val="00A51201"/>
    <w:rsid w:val="00A51FF8"/>
    <w:rsid w:val="00A54AC0"/>
    <w:rsid w:val="00A57DA0"/>
    <w:rsid w:val="00A63477"/>
    <w:rsid w:val="00A657CA"/>
    <w:rsid w:val="00A71409"/>
    <w:rsid w:val="00A71472"/>
    <w:rsid w:val="00A727B3"/>
    <w:rsid w:val="00A731A0"/>
    <w:rsid w:val="00A7536F"/>
    <w:rsid w:val="00A75C73"/>
    <w:rsid w:val="00A772E3"/>
    <w:rsid w:val="00A774AE"/>
    <w:rsid w:val="00A82E67"/>
    <w:rsid w:val="00A860EA"/>
    <w:rsid w:val="00A86E38"/>
    <w:rsid w:val="00A9158D"/>
    <w:rsid w:val="00A9409B"/>
    <w:rsid w:val="00A94CEE"/>
    <w:rsid w:val="00A9550B"/>
    <w:rsid w:val="00A96CFD"/>
    <w:rsid w:val="00A979B5"/>
    <w:rsid w:val="00AA00E7"/>
    <w:rsid w:val="00AB0635"/>
    <w:rsid w:val="00AB1F52"/>
    <w:rsid w:val="00AB788B"/>
    <w:rsid w:val="00AC3582"/>
    <w:rsid w:val="00AC6997"/>
    <w:rsid w:val="00AC71A1"/>
    <w:rsid w:val="00AD1647"/>
    <w:rsid w:val="00AD226C"/>
    <w:rsid w:val="00AD455B"/>
    <w:rsid w:val="00AD6A1E"/>
    <w:rsid w:val="00AE1422"/>
    <w:rsid w:val="00AE45D5"/>
    <w:rsid w:val="00AF0A4A"/>
    <w:rsid w:val="00B01B69"/>
    <w:rsid w:val="00B027FC"/>
    <w:rsid w:val="00B0306B"/>
    <w:rsid w:val="00B03942"/>
    <w:rsid w:val="00B06081"/>
    <w:rsid w:val="00B138F6"/>
    <w:rsid w:val="00B2043F"/>
    <w:rsid w:val="00B21D26"/>
    <w:rsid w:val="00B256CE"/>
    <w:rsid w:val="00B270D3"/>
    <w:rsid w:val="00B33D77"/>
    <w:rsid w:val="00B35132"/>
    <w:rsid w:val="00B353AA"/>
    <w:rsid w:val="00B35617"/>
    <w:rsid w:val="00B36044"/>
    <w:rsid w:val="00B36B25"/>
    <w:rsid w:val="00B37C71"/>
    <w:rsid w:val="00B42373"/>
    <w:rsid w:val="00B452CB"/>
    <w:rsid w:val="00B5121E"/>
    <w:rsid w:val="00B5200E"/>
    <w:rsid w:val="00B60D6C"/>
    <w:rsid w:val="00B6363E"/>
    <w:rsid w:val="00B6400F"/>
    <w:rsid w:val="00B64C70"/>
    <w:rsid w:val="00B710C1"/>
    <w:rsid w:val="00B715BE"/>
    <w:rsid w:val="00B75589"/>
    <w:rsid w:val="00B828BE"/>
    <w:rsid w:val="00B83ABF"/>
    <w:rsid w:val="00B913BA"/>
    <w:rsid w:val="00B921A1"/>
    <w:rsid w:val="00B92857"/>
    <w:rsid w:val="00B944E7"/>
    <w:rsid w:val="00B97FCE"/>
    <w:rsid w:val="00BA1B06"/>
    <w:rsid w:val="00BA427E"/>
    <w:rsid w:val="00BA474E"/>
    <w:rsid w:val="00BA5236"/>
    <w:rsid w:val="00BA532C"/>
    <w:rsid w:val="00BA7232"/>
    <w:rsid w:val="00BB1812"/>
    <w:rsid w:val="00BB26DC"/>
    <w:rsid w:val="00BB5069"/>
    <w:rsid w:val="00BD022F"/>
    <w:rsid w:val="00BD07DE"/>
    <w:rsid w:val="00BD5608"/>
    <w:rsid w:val="00BD58AE"/>
    <w:rsid w:val="00BD76EA"/>
    <w:rsid w:val="00BE0A57"/>
    <w:rsid w:val="00BE7326"/>
    <w:rsid w:val="00BF32FD"/>
    <w:rsid w:val="00BF6E2A"/>
    <w:rsid w:val="00C00E59"/>
    <w:rsid w:val="00C0438C"/>
    <w:rsid w:val="00C0689D"/>
    <w:rsid w:val="00C06C7E"/>
    <w:rsid w:val="00C07D42"/>
    <w:rsid w:val="00C12829"/>
    <w:rsid w:val="00C13D2B"/>
    <w:rsid w:val="00C20D5F"/>
    <w:rsid w:val="00C23B81"/>
    <w:rsid w:val="00C277CE"/>
    <w:rsid w:val="00C35CF8"/>
    <w:rsid w:val="00C35FA4"/>
    <w:rsid w:val="00C4272B"/>
    <w:rsid w:val="00C439C2"/>
    <w:rsid w:val="00C43A30"/>
    <w:rsid w:val="00C44611"/>
    <w:rsid w:val="00C46A0F"/>
    <w:rsid w:val="00C4742B"/>
    <w:rsid w:val="00C504EB"/>
    <w:rsid w:val="00C516DD"/>
    <w:rsid w:val="00C57386"/>
    <w:rsid w:val="00C60420"/>
    <w:rsid w:val="00C6281E"/>
    <w:rsid w:val="00C62DE0"/>
    <w:rsid w:val="00C66C16"/>
    <w:rsid w:val="00C66D6E"/>
    <w:rsid w:val="00C70C53"/>
    <w:rsid w:val="00C7123E"/>
    <w:rsid w:val="00C71C0B"/>
    <w:rsid w:val="00C721D3"/>
    <w:rsid w:val="00C7228A"/>
    <w:rsid w:val="00C72C0B"/>
    <w:rsid w:val="00C73F6C"/>
    <w:rsid w:val="00C76A22"/>
    <w:rsid w:val="00C80694"/>
    <w:rsid w:val="00C81B46"/>
    <w:rsid w:val="00C82A56"/>
    <w:rsid w:val="00C83AC4"/>
    <w:rsid w:val="00C908F0"/>
    <w:rsid w:val="00C91C58"/>
    <w:rsid w:val="00C95F27"/>
    <w:rsid w:val="00CA26B7"/>
    <w:rsid w:val="00CA2BEC"/>
    <w:rsid w:val="00CA5A18"/>
    <w:rsid w:val="00CA6360"/>
    <w:rsid w:val="00CA6C9C"/>
    <w:rsid w:val="00CB023C"/>
    <w:rsid w:val="00CB07C4"/>
    <w:rsid w:val="00CB10F9"/>
    <w:rsid w:val="00CB1149"/>
    <w:rsid w:val="00CB2511"/>
    <w:rsid w:val="00CB293F"/>
    <w:rsid w:val="00CB2E75"/>
    <w:rsid w:val="00CB36E2"/>
    <w:rsid w:val="00CB5988"/>
    <w:rsid w:val="00CB5BC8"/>
    <w:rsid w:val="00CB7E2B"/>
    <w:rsid w:val="00CC2984"/>
    <w:rsid w:val="00CC3C19"/>
    <w:rsid w:val="00CC3D76"/>
    <w:rsid w:val="00CC423E"/>
    <w:rsid w:val="00CC4CA7"/>
    <w:rsid w:val="00CC5745"/>
    <w:rsid w:val="00CC6C94"/>
    <w:rsid w:val="00CC6E2A"/>
    <w:rsid w:val="00CD0181"/>
    <w:rsid w:val="00CD0553"/>
    <w:rsid w:val="00CD22E7"/>
    <w:rsid w:val="00CD40BC"/>
    <w:rsid w:val="00CD7BA5"/>
    <w:rsid w:val="00CD7D4C"/>
    <w:rsid w:val="00CE1FF6"/>
    <w:rsid w:val="00CE2F6C"/>
    <w:rsid w:val="00CE52DA"/>
    <w:rsid w:val="00CF00BD"/>
    <w:rsid w:val="00CF386D"/>
    <w:rsid w:val="00CF4A34"/>
    <w:rsid w:val="00CF604C"/>
    <w:rsid w:val="00CF6BCB"/>
    <w:rsid w:val="00D009C3"/>
    <w:rsid w:val="00D03572"/>
    <w:rsid w:val="00D038DF"/>
    <w:rsid w:val="00D03D87"/>
    <w:rsid w:val="00D06B50"/>
    <w:rsid w:val="00D10A91"/>
    <w:rsid w:val="00D11950"/>
    <w:rsid w:val="00D12010"/>
    <w:rsid w:val="00D13E2A"/>
    <w:rsid w:val="00D14DA6"/>
    <w:rsid w:val="00D1594E"/>
    <w:rsid w:val="00D17D97"/>
    <w:rsid w:val="00D253CB"/>
    <w:rsid w:val="00D2562C"/>
    <w:rsid w:val="00D25E3D"/>
    <w:rsid w:val="00D268F0"/>
    <w:rsid w:val="00D302EE"/>
    <w:rsid w:val="00D3438B"/>
    <w:rsid w:val="00D3458B"/>
    <w:rsid w:val="00D407C4"/>
    <w:rsid w:val="00D43369"/>
    <w:rsid w:val="00D45ECA"/>
    <w:rsid w:val="00D46447"/>
    <w:rsid w:val="00D527B5"/>
    <w:rsid w:val="00D57BAD"/>
    <w:rsid w:val="00D60539"/>
    <w:rsid w:val="00D61282"/>
    <w:rsid w:val="00D6170C"/>
    <w:rsid w:val="00D61829"/>
    <w:rsid w:val="00D64FDB"/>
    <w:rsid w:val="00D66666"/>
    <w:rsid w:val="00D73B0F"/>
    <w:rsid w:val="00D7535C"/>
    <w:rsid w:val="00D76309"/>
    <w:rsid w:val="00D8553B"/>
    <w:rsid w:val="00D85FA9"/>
    <w:rsid w:val="00D86574"/>
    <w:rsid w:val="00D90A4D"/>
    <w:rsid w:val="00D9446C"/>
    <w:rsid w:val="00D94595"/>
    <w:rsid w:val="00D94CAB"/>
    <w:rsid w:val="00D96505"/>
    <w:rsid w:val="00D96969"/>
    <w:rsid w:val="00DA1059"/>
    <w:rsid w:val="00DA4D29"/>
    <w:rsid w:val="00DA50CF"/>
    <w:rsid w:val="00DA5DBE"/>
    <w:rsid w:val="00DA7515"/>
    <w:rsid w:val="00DA7939"/>
    <w:rsid w:val="00DB2403"/>
    <w:rsid w:val="00DB3B4D"/>
    <w:rsid w:val="00DB452E"/>
    <w:rsid w:val="00DB4F9F"/>
    <w:rsid w:val="00DB4FBE"/>
    <w:rsid w:val="00DB68B2"/>
    <w:rsid w:val="00DB7DC3"/>
    <w:rsid w:val="00DC3140"/>
    <w:rsid w:val="00DC4B60"/>
    <w:rsid w:val="00DD1350"/>
    <w:rsid w:val="00DD23D4"/>
    <w:rsid w:val="00DD56BC"/>
    <w:rsid w:val="00DE1198"/>
    <w:rsid w:val="00DE3725"/>
    <w:rsid w:val="00DE5D67"/>
    <w:rsid w:val="00DE5E91"/>
    <w:rsid w:val="00DE77D0"/>
    <w:rsid w:val="00DF0EF2"/>
    <w:rsid w:val="00DF13F9"/>
    <w:rsid w:val="00DF685A"/>
    <w:rsid w:val="00DF6E66"/>
    <w:rsid w:val="00E022C0"/>
    <w:rsid w:val="00E12936"/>
    <w:rsid w:val="00E140D7"/>
    <w:rsid w:val="00E15AAA"/>
    <w:rsid w:val="00E16218"/>
    <w:rsid w:val="00E21AA1"/>
    <w:rsid w:val="00E226B6"/>
    <w:rsid w:val="00E2311E"/>
    <w:rsid w:val="00E237CD"/>
    <w:rsid w:val="00E24121"/>
    <w:rsid w:val="00E362A9"/>
    <w:rsid w:val="00E3788A"/>
    <w:rsid w:val="00E402C4"/>
    <w:rsid w:val="00E41E52"/>
    <w:rsid w:val="00E439AC"/>
    <w:rsid w:val="00E43E2B"/>
    <w:rsid w:val="00E44D37"/>
    <w:rsid w:val="00E50490"/>
    <w:rsid w:val="00E559A6"/>
    <w:rsid w:val="00E5779E"/>
    <w:rsid w:val="00E61EE5"/>
    <w:rsid w:val="00E66294"/>
    <w:rsid w:val="00E66AA5"/>
    <w:rsid w:val="00E67804"/>
    <w:rsid w:val="00E70A64"/>
    <w:rsid w:val="00E70DDB"/>
    <w:rsid w:val="00E72E58"/>
    <w:rsid w:val="00E732C2"/>
    <w:rsid w:val="00E73898"/>
    <w:rsid w:val="00E73E7C"/>
    <w:rsid w:val="00E740BA"/>
    <w:rsid w:val="00E75681"/>
    <w:rsid w:val="00E75E82"/>
    <w:rsid w:val="00E8021A"/>
    <w:rsid w:val="00E81D0B"/>
    <w:rsid w:val="00E83341"/>
    <w:rsid w:val="00E84E52"/>
    <w:rsid w:val="00E84F0F"/>
    <w:rsid w:val="00E87C4C"/>
    <w:rsid w:val="00E9065B"/>
    <w:rsid w:val="00E90916"/>
    <w:rsid w:val="00E90BC5"/>
    <w:rsid w:val="00E91EE0"/>
    <w:rsid w:val="00E92DE3"/>
    <w:rsid w:val="00EA0638"/>
    <w:rsid w:val="00EA1A78"/>
    <w:rsid w:val="00EA2958"/>
    <w:rsid w:val="00EA30F5"/>
    <w:rsid w:val="00EA3429"/>
    <w:rsid w:val="00EA3A1D"/>
    <w:rsid w:val="00EA4534"/>
    <w:rsid w:val="00EA5329"/>
    <w:rsid w:val="00EA7714"/>
    <w:rsid w:val="00EB308B"/>
    <w:rsid w:val="00EB31DC"/>
    <w:rsid w:val="00EB4F28"/>
    <w:rsid w:val="00EB4F5F"/>
    <w:rsid w:val="00EB5BB3"/>
    <w:rsid w:val="00EB7FA1"/>
    <w:rsid w:val="00EC03B6"/>
    <w:rsid w:val="00EC407A"/>
    <w:rsid w:val="00EC44B2"/>
    <w:rsid w:val="00EC4DDF"/>
    <w:rsid w:val="00EC5B63"/>
    <w:rsid w:val="00ED3690"/>
    <w:rsid w:val="00ED4052"/>
    <w:rsid w:val="00ED61E5"/>
    <w:rsid w:val="00ED77A6"/>
    <w:rsid w:val="00EE1712"/>
    <w:rsid w:val="00EE3410"/>
    <w:rsid w:val="00EE3DCA"/>
    <w:rsid w:val="00EE3E7E"/>
    <w:rsid w:val="00EE55C8"/>
    <w:rsid w:val="00EE5B83"/>
    <w:rsid w:val="00EF3203"/>
    <w:rsid w:val="00EF3D26"/>
    <w:rsid w:val="00EF4AA8"/>
    <w:rsid w:val="00EF4C5A"/>
    <w:rsid w:val="00EF5F97"/>
    <w:rsid w:val="00EF74D3"/>
    <w:rsid w:val="00F0626B"/>
    <w:rsid w:val="00F114DE"/>
    <w:rsid w:val="00F13717"/>
    <w:rsid w:val="00F137A0"/>
    <w:rsid w:val="00F14AEE"/>
    <w:rsid w:val="00F17F6B"/>
    <w:rsid w:val="00F22533"/>
    <w:rsid w:val="00F22BD4"/>
    <w:rsid w:val="00F23403"/>
    <w:rsid w:val="00F265E8"/>
    <w:rsid w:val="00F26830"/>
    <w:rsid w:val="00F32A10"/>
    <w:rsid w:val="00F33DBB"/>
    <w:rsid w:val="00F35452"/>
    <w:rsid w:val="00F360D8"/>
    <w:rsid w:val="00F379DF"/>
    <w:rsid w:val="00F438CB"/>
    <w:rsid w:val="00F468AA"/>
    <w:rsid w:val="00F46BFF"/>
    <w:rsid w:val="00F51CC4"/>
    <w:rsid w:val="00F51D1B"/>
    <w:rsid w:val="00F524FB"/>
    <w:rsid w:val="00F5267C"/>
    <w:rsid w:val="00F54A87"/>
    <w:rsid w:val="00F612F6"/>
    <w:rsid w:val="00F615F3"/>
    <w:rsid w:val="00F61B88"/>
    <w:rsid w:val="00F622BE"/>
    <w:rsid w:val="00F65541"/>
    <w:rsid w:val="00F67D2C"/>
    <w:rsid w:val="00F7091F"/>
    <w:rsid w:val="00F7240C"/>
    <w:rsid w:val="00F72663"/>
    <w:rsid w:val="00F750FD"/>
    <w:rsid w:val="00F83283"/>
    <w:rsid w:val="00F83D4F"/>
    <w:rsid w:val="00F83E1F"/>
    <w:rsid w:val="00F86F51"/>
    <w:rsid w:val="00F90D9A"/>
    <w:rsid w:val="00F90DF0"/>
    <w:rsid w:val="00F93A5E"/>
    <w:rsid w:val="00F941BE"/>
    <w:rsid w:val="00F957C1"/>
    <w:rsid w:val="00FA002C"/>
    <w:rsid w:val="00FA0C3F"/>
    <w:rsid w:val="00FA1AAC"/>
    <w:rsid w:val="00FA242E"/>
    <w:rsid w:val="00FA35CE"/>
    <w:rsid w:val="00FA5253"/>
    <w:rsid w:val="00FA799D"/>
    <w:rsid w:val="00FB1157"/>
    <w:rsid w:val="00FB2D90"/>
    <w:rsid w:val="00FB311E"/>
    <w:rsid w:val="00FB7A77"/>
    <w:rsid w:val="00FC276F"/>
    <w:rsid w:val="00FC2D4D"/>
    <w:rsid w:val="00FC5238"/>
    <w:rsid w:val="00FC534C"/>
    <w:rsid w:val="00FC5F97"/>
    <w:rsid w:val="00FC631A"/>
    <w:rsid w:val="00FC63E8"/>
    <w:rsid w:val="00FC73AE"/>
    <w:rsid w:val="00FD1970"/>
    <w:rsid w:val="00FD21B8"/>
    <w:rsid w:val="00FD3FE2"/>
    <w:rsid w:val="00FD7D2D"/>
    <w:rsid w:val="00FE0F2C"/>
    <w:rsid w:val="00FE1456"/>
    <w:rsid w:val="00FE6950"/>
    <w:rsid w:val="00FE69E3"/>
    <w:rsid w:val="00FE7317"/>
    <w:rsid w:val="00FE7F40"/>
    <w:rsid w:val="00FF1498"/>
    <w:rsid w:val="00FF2649"/>
    <w:rsid w:val="00FF4A5C"/>
    <w:rsid w:val="00FF7C5B"/>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2300F"/>
  <w15:docId w15:val="{4175AE6A-C725-4939-9EE0-7DE324180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1BC3"/>
  </w:style>
  <w:style w:type="paragraph" w:styleId="1">
    <w:name w:val="heading 1"/>
    <w:basedOn w:val="a"/>
    <w:next w:val="a"/>
    <w:link w:val="1Char"/>
    <w:uiPriority w:val="9"/>
    <w:qFormat/>
    <w:rsid w:val="000B6F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unhideWhenUsed/>
    <w:qFormat/>
    <w:rsid w:val="00E5049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7B49"/>
    <w:pPr>
      <w:ind w:left="720"/>
      <w:contextualSpacing/>
    </w:pPr>
  </w:style>
  <w:style w:type="paragraph" w:styleId="a4">
    <w:name w:val="Balloon Text"/>
    <w:basedOn w:val="a"/>
    <w:link w:val="Char"/>
    <w:uiPriority w:val="99"/>
    <w:semiHidden/>
    <w:unhideWhenUsed/>
    <w:rsid w:val="00923125"/>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23125"/>
    <w:rPr>
      <w:rFonts w:ascii="Tahoma" w:hAnsi="Tahoma" w:cs="Tahoma"/>
      <w:sz w:val="16"/>
      <w:szCs w:val="16"/>
    </w:rPr>
  </w:style>
  <w:style w:type="paragraph" w:styleId="a5">
    <w:name w:val="header"/>
    <w:basedOn w:val="a"/>
    <w:link w:val="Char0"/>
    <w:uiPriority w:val="99"/>
    <w:unhideWhenUsed/>
    <w:rsid w:val="00F23403"/>
    <w:pPr>
      <w:tabs>
        <w:tab w:val="center" w:pos="4153"/>
        <w:tab w:val="right" w:pos="8306"/>
      </w:tabs>
      <w:spacing w:after="0" w:line="240" w:lineRule="auto"/>
    </w:pPr>
  </w:style>
  <w:style w:type="character" w:customStyle="1" w:styleId="Char0">
    <w:name w:val="Κεφαλίδα Char"/>
    <w:basedOn w:val="a0"/>
    <w:link w:val="a5"/>
    <w:uiPriority w:val="99"/>
    <w:rsid w:val="00F23403"/>
  </w:style>
  <w:style w:type="paragraph" w:styleId="a6">
    <w:name w:val="footer"/>
    <w:basedOn w:val="a"/>
    <w:link w:val="Char1"/>
    <w:uiPriority w:val="99"/>
    <w:unhideWhenUsed/>
    <w:rsid w:val="00F23403"/>
    <w:pPr>
      <w:tabs>
        <w:tab w:val="center" w:pos="4153"/>
        <w:tab w:val="right" w:pos="8306"/>
      </w:tabs>
      <w:spacing w:after="0" w:line="240" w:lineRule="auto"/>
    </w:pPr>
  </w:style>
  <w:style w:type="character" w:customStyle="1" w:styleId="Char1">
    <w:name w:val="Υποσέλιδο Char"/>
    <w:basedOn w:val="a0"/>
    <w:link w:val="a6"/>
    <w:uiPriority w:val="99"/>
    <w:rsid w:val="00F23403"/>
  </w:style>
  <w:style w:type="character" w:customStyle="1" w:styleId="1Char">
    <w:name w:val="Επικεφαλίδα 1 Char"/>
    <w:basedOn w:val="a0"/>
    <w:link w:val="1"/>
    <w:uiPriority w:val="9"/>
    <w:rsid w:val="000B6F85"/>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0B6F85"/>
    <w:pPr>
      <w:outlineLvl w:val="9"/>
    </w:pPr>
  </w:style>
  <w:style w:type="paragraph" w:styleId="10">
    <w:name w:val="toc 1"/>
    <w:basedOn w:val="a"/>
    <w:next w:val="a"/>
    <w:autoRedefine/>
    <w:uiPriority w:val="39"/>
    <w:unhideWhenUsed/>
    <w:rsid w:val="000B6F85"/>
    <w:pPr>
      <w:spacing w:after="100"/>
    </w:pPr>
  </w:style>
  <w:style w:type="character" w:styleId="-">
    <w:name w:val="Hyperlink"/>
    <w:basedOn w:val="a0"/>
    <w:uiPriority w:val="99"/>
    <w:unhideWhenUsed/>
    <w:rsid w:val="000B6F85"/>
    <w:rPr>
      <w:color w:val="0000FF" w:themeColor="hyperlink"/>
      <w:u w:val="single"/>
    </w:rPr>
  </w:style>
  <w:style w:type="paragraph" w:styleId="a8">
    <w:name w:val="footnote text"/>
    <w:basedOn w:val="a"/>
    <w:link w:val="Char2"/>
    <w:uiPriority w:val="99"/>
    <w:semiHidden/>
    <w:unhideWhenUsed/>
    <w:rsid w:val="00D60539"/>
    <w:pPr>
      <w:spacing w:after="0" w:line="240" w:lineRule="auto"/>
    </w:pPr>
    <w:rPr>
      <w:sz w:val="20"/>
      <w:szCs w:val="20"/>
    </w:rPr>
  </w:style>
  <w:style w:type="character" w:customStyle="1" w:styleId="Char2">
    <w:name w:val="Κείμενο υποσημείωσης Char"/>
    <w:basedOn w:val="a0"/>
    <w:link w:val="a8"/>
    <w:uiPriority w:val="99"/>
    <w:semiHidden/>
    <w:rsid w:val="00D60539"/>
    <w:rPr>
      <w:sz w:val="20"/>
      <w:szCs w:val="20"/>
    </w:rPr>
  </w:style>
  <w:style w:type="character" w:styleId="a9">
    <w:name w:val="footnote reference"/>
    <w:basedOn w:val="a0"/>
    <w:uiPriority w:val="99"/>
    <w:semiHidden/>
    <w:unhideWhenUsed/>
    <w:rsid w:val="00D60539"/>
    <w:rPr>
      <w:vertAlign w:val="superscript"/>
    </w:rPr>
  </w:style>
  <w:style w:type="table" w:styleId="aa">
    <w:name w:val="Table Grid"/>
    <w:basedOn w:val="a1"/>
    <w:uiPriority w:val="59"/>
    <w:rsid w:val="000D4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0"/>
    <w:uiPriority w:val="99"/>
    <w:semiHidden/>
    <w:unhideWhenUsed/>
    <w:rsid w:val="003072D7"/>
    <w:rPr>
      <w:sz w:val="16"/>
      <w:szCs w:val="16"/>
    </w:rPr>
  </w:style>
  <w:style w:type="paragraph" w:styleId="ac">
    <w:name w:val="annotation text"/>
    <w:basedOn w:val="a"/>
    <w:link w:val="Char3"/>
    <w:uiPriority w:val="99"/>
    <w:semiHidden/>
    <w:unhideWhenUsed/>
    <w:rsid w:val="003072D7"/>
    <w:pPr>
      <w:spacing w:line="240" w:lineRule="auto"/>
    </w:pPr>
    <w:rPr>
      <w:sz w:val="20"/>
      <w:szCs w:val="20"/>
    </w:rPr>
  </w:style>
  <w:style w:type="character" w:customStyle="1" w:styleId="Char3">
    <w:name w:val="Κείμενο σχολίου Char"/>
    <w:basedOn w:val="a0"/>
    <w:link w:val="ac"/>
    <w:uiPriority w:val="99"/>
    <w:semiHidden/>
    <w:rsid w:val="003072D7"/>
    <w:rPr>
      <w:sz w:val="20"/>
      <w:szCs w:val="20"/>
    </w:rPr>
  </w:style>
  <w:style w:type="paragraph" w:styleId="ad">
    <w:name w:val="annotation subject"/>
    <w:basedOn w:val="ac"/>
    <w:next w:val="ac"/>
    <w:link w:val="Char4"/>
    <w:uiPriority w:val="99"/>
    <w:semiHidden/>
    <w:unhideWhenUsed/>
    <w:rsid w:val="003072D7"/>
    <w:rPr>
      <w:b/>
      <w:bCs/>
    </w:rPr>
  </w:style>
  <w:style w:type="character" w:customStyle="1" w:styleId="Char4">
    <w:name w:val="Θέμα σχολίου Char"/>
    <w:basedOn w:val="Char3"/>
    <w:link w:val="ad"/>
    <w:uiPriority w:val="99"/>
    <w:semiHidden/>
    <w:rsid w:val="003072D7"/>
    <w:rPr>
      <w:b/>
      <w:bCs/>
      <w:sz w:val="20"/>
      <w:szCs w:val="20"/>
    </w:rPr>
  </w:style>
  <w:style w:type="paragraph" w:styleId="Web">
    <w:name w:val="Normal (Web)"/>
    <w:basedOn w:val="a"/>
    <w:uiPriority w:val="99"/>
    <w:unhideWhenUsed/>
    <w:rsid w:val="001A4FBC"/>
    <w:pPr>
      <w:spacing w:before="100" w:beforeAutospacing="1" w:after="100" w:afterAutospacing="1" w:line="240" w:lineRule="auto"/>
    </w:pPr>
    <w:rPr>
      <w:rFonts w:ascii="Times New Roman" w:hAnsi="Times New Roman" w:cs="Times New Roman"/>
      <w:sz w:val="24"/>
      <w:szCs w:val="24"/>
    </w:rPr>
  </w:style>
  <w:style w:type="character" w:customStyle="1" w:styleId="3Char">
    <w:name w:val="Επικεφαλίδα 3 Char"/>
    <w:basedOn w:val="a0"/>
    <w:link w:val="3"/>
    <w:uiPriority w:val="9"/>
    <w:rsid w:val="00E50490"/>
    <w:rPr>
      <w:rFonts w:asciiTheme="majorHAnsi" w:eastAsiaTheme="majorEastAsia" w:hAnsiTheme="majorHAnsi" w:cstheme="majorBidi"/>
      <w:color w:val="243F60" w:themeColor="accent1" w:themeShade="7F"/>
      <w:sz w:val="24"/>
      <w:szCs w:val="24"/>
    </w:rPr>
  </w:style>
  <w:style w:type="character" w:styleId="-0">
    <w:name w:val="FollowedHyperlink"/>
    <w:basedOn w:val="a0"/>
    <w:uiPriority w:val="99"/>
    <w:semiHidden/>
    <w:unhideWhenUsed/>
    <w:rsid w:val="00E740BA"/>
    <w:rPr>
      <w:color w:val="800080" w:themeColor="followedHyperlink"/>
      <w:u w:val="single"/>
    </w:rPr>
  </w:style>
  <w:style w:type="paragraph" w:styleId="ae">
    <w:name w:val="Title"/>
    <w:basedOn w:val="a"/>
    <w:next w:val="a"/>
    <w:link w:val="Char5"/>
    <w:uiPriority w:val="10"/>
    <w:qFormat/>
    <w:rsid w:val="009815A2"/>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Char5">
    <w:name w:val="Τίτλος Char"/>
    <w:basedOn w:val="a0"/>
    <w:link w:val="ae"/>
    <w:uiPriority w:val="10"/>
    <w:rsid w:val="009815A2"/>
    <w:rPr>
      <w:rFonts w:asciiTheme="majorHAnsi" w:eastAsiaTheme="majorEastAsia" w:hAnsiTheme="majorHAnsi" w:cstheme="majorBidi"/>
      <w:spacing w:val="-10"/>
      <w:kern w:val="28"/>
      <w:sz w:val="56"/>
      <w:szCs w:val="56"/>
      <w:lang w:eastAsia="en-US"/>
    </w:rPr>
  </w:style>
  <w:style w:type="character" w:styleId="af">
    <w:name w:val="Subtle Emphasis"/>
    <w:basedOn w:val="a0"/>
    <w:uiPriority w:val="19"/>
    <w:qFormat/>
    <w:rsid w:val="009815A2"/>
    <w:rPr>
      <w:i/>
      <w:iCs/>
      <w:color w:val="404040" w:themeColor="text1" w:themeTint="BF"/>
    </w:rPr>
  </w:style>
  <w:style w:type="character" w:styleId="af0">
    <w:name w:val="Strong"/>
    <w:basedOn w:val="a0"/>
    <w:uiPriority w:val="22"/>
    <w:qFormat/>
    <w:rsid w:val="009815A2"/>
    <w:rPr>
      <w:b/>
      <w:bCs/>
    </w:rPr>
  </w:style>
  <w:style w:type="character" w:styleId="af1">
    <w:name w:val="Emphasis"/>
    <w:basedOn w:val="a0"/>
    <w:uiPriority w:val="20"/>
    <w:qFormat/>
    <w:rsid w:val="009815A2"/>
    <w:rPr>
      <w:i/>
      <w:iCs/>
    </w:rPr>
  </w:style>
  <w:style w:type="paragraph" w:styleId="af2">
    <w:name w:val="Revision"/>
    <w:hidden/>
    <w:uiPriority w:val="99"/>
    <w:semiHidden/>
    <w:rsid w:val="00514CDF"/>
    <w:pPr>
      <w:spacing w:after="0" w:line="240" w:lineRule="auto"/>
    </w:pPr>
  </w:style>
  <w:style w:type="character" w:customStyle="1" w:styleId="11">
    <w:name w:val="Ανεπίλυτη αναφορά1"/>
    <w:basedOn w:val="a0"/>
    <w:uiPriority w:val="99"/>
    <w:semiHidden/>
    <w:unhideWhenUsed/>
    <w:rsid w:val="00EF5F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90315">
      <w:bodyDiv w:val="1"/>
      <w:marLeft w:val="0"/>
      <w:marRight w:val="0"/>
      <w:marTop w:val="0"/>
      <w:marBottom w:val="0"/>
      <w:divBdr>
        <w:top w:val="none" w:sz="0" w:space="0" w:color="auto"/>
        <w:left w:val="none" w:sz="0" w:space="0" w:color="auto"/>
        <w:bottom w:val="none" w:sz="0" w:space="0" w:color="auto"/>
        <w:right w:val="none" w:sz="0" w:space="0" w:color="auto"/>
      </w:divBdr>
    </w:div>
    <w:div w:id="277029425">
      <w:bodyDiv w:val="1"/>
      <w:marLeft w:val="0"/>
      <w:marRight w:val="0"/>
      <w:marTop w:val="0"/>
      <w:marBottom w:val="0"/>
      <w:divBdr>
        <w:top w:val="none" w:sz="0" w:space="0" w:color="auto"/>
        <w:left w:val="none" w:sz="0" w:space="0" w:color="auto"/>
        <w:bottom w:val="none" w:sz="0" w:space="0" w:color="auto"/>
        <w:right w:val="none" w:sz="0" w:space="0" w:color="auto"/>
      </w:divBdr>
    </w:div>
    <w:div w:id="280235785">
      <w:bodyDiv w:val="1"/>
      <w:marLeft w:val="0"/>
      <w:marRight w:val="0"/>
      <w:marTop w:val="0"/>
      <w:marBottom w:val="0"/>
      <w:divBdr>
        <w:top w:val="none" w:sz="0" w:space="0" w:color="auto"/>
        <w:left w:val="none" w:sz="0" w:space="0" w:color="auto"/>
        <w:bottom w:val="none" w:sz="0" w:space="0" w:color="auto"/>
        <w:right w:val="none" w:sz="0" w:space="0" w:color="auto"/>
      </w:divBdr>
    </w:div>
    <w:div w:id="300424902">
      <w:bodyDiv w:val="1"/>
      <w:marLeft w:val="0"/>
      <w:marRight w:val="0"/>
      <w:marTop w:val="0"/>
      <w:marBottom w:val="0"/>
      <w:divBdr>
        <w:top w:val="none" w:sz="0" w:space="0" w:color="auto"/>
        <w:left w:val="none" w:sz="0" w:space="0" w:color="auto"/>
        <w:bottom w:val="none" w:sz="0" w:space="0" w:color="auto"/>
        <w:right w:val="none" w:sz="0" w:space="0" w:color="auto"/>
      </w:divBdr>
    </w:div>
    <w:div w:id="309092558">
      <w:bodyDiv w:val="1"/>
      <w:marLeft w:val="0"/>
      <w:marRight w:val="0"/>
      <w:marTop w:val="0"/>
      <w:marBottom w:val="0"/>
      <w:divBdr>
        <w:top w:val="none" w:sz="0" w:space="0" w:color="auto"/>
        <w:left w:val="none" w:sz="0" w:space="0" w:color="auto"/>
        <w:bottom w:val="none" w:sz="0" w:space="0" w:color="auto"/>
        <w:right w:val="none" w:sz="0" w:space="0" w:color="auto"/>
      </w:divBdr>
    </w:div>
    <w:div w:id="314795534">
      <w:bodyDiv w:val="1"/>
      <w:marLeft w:val="0"/>
      <w:marRight w:val="0"/>
      <w:marTop w:val="0"/>
      <w:marBottom w:val="0"/>
      <w:divBdr>
        <w:top w:val="none" w:sz="0" w:space="0" w:color="auto"/>
        <w:left w:val="none" w:sz="0" w:space="0" w:color="auto"/>
        <w:bottom w:val="none" w:sz="0" w:space="0" w:color="auto"/>
        <w:right w:val="none" w:sz="0" w:space="0" w:color="auto"/>
      </w:divBdr>
    </w:div>
    <w:div w:id="383139398">
      <w:bodyDiv w:val="1"/>
      <w:marLeft w:val="0"/>
      <w:marRight w:val="0"/>
      <w:marTop w:val="0"/>
      <w:marBottom w:val="0"/>
      <w:divBdr>
        <w:top w:val="none" w:sz="0" w:space="0" w:color="auto"/>
        <w:left w:val="none" w:sz="0" w:space="0" w:color="auto"/>
        <w:bottom w:val="none" w:sz="0" w:space="0" w:color="auto"/>
        <w:right w:val="none" w:sz="0" w:space="0" w:color="auto"/>
      </w:divBdr>
    </w:div>
    <w:div w:id="400325476">
      <w:bodyDiv w:val="1"/>
      <w:marLeft w:val="0"/>
      <w:marRight w:val="0"/>
      <w:marTop w:val="0"/>
      <w:marBottom w:val="0"/>
      <w:divBdr>
        <w:top w:val="none" w:sz="0" w:space="0" w:color="auto"/>
        <w:left w:val="none" w:sz="0" w:space="0" w:color="auto"/>
        <w:bottom w:val="none" w:sz="0" w:space="0" w:color="auto"/>
        <w:right w:val="none" w:sz="0" w:space="0" w:color="auto"/>
      </w:divBdr>
    </w:div>
    <w:div w:id="472258198">
      <w:bodyDiv w:val="1"/>
      <w:marLeft w:val="0"/>
      <w:marRight w:val="0"/>
      <w:marTop w:val="0"/>
      <w:marBottom w:val="0"/>
      <w:divBdr>
        <w:top w:val="none" w:sz="0" w:space="0" w:color="auto"/>
        <w:left w:val="none" w:sz="0" w:space="0" w:color="auto"/>
        <w:bottom w:val="none" w:sz="0" w:space="0" w:color="auto"/>
        <w:right w:val="none" w:sz="0" w:space="0" w:color="auto"/>
      </w:divBdr>
    </w:div>
    <w:div w:id="641038382">
      <w:bodyDiv w:val="1"/>
      <w:marLeft w:val="0"/>
      <w:marRight w:val="0"/>
      <w:marTop w:val="0"/>
      <w:marBottom w:val="0"/>
      <w:divBdr>
        <w:top w:val="none" w:sz="0" w:space="0" w:color="auto"/>
        <w:left w:val="none" w:sz="0" w:space="0" w:color="auto"/>
        <w:bottom w:val="none" w:sz="0" w:space="0" w:color="auto"/>
        <w:right w:val="none" w:sz="0" w:space="0" w:color="auto"/>
      </w:divBdr>
    </w:div>
    <w:div w:id="697393623">
      <w:bodyDiv w:val="1"/>
      <w:marLeft w:val="0"/>
      <w:marRight w:val="0"/>
      <w:marTop w:val="0"/>
      <w:marBottom w:val="0"/>
      <w:divBdr>
        <w:top w:val="none" w:sz="0" w:space="0" w:color="auto"/>
        <w:left w:val="none" w:sz="0" w:space="0" w:color="auto"/>
        <w:bottom w:val="none" w:sz="0" w:space="0" w:color="auto"/>
        <w:right w:val="none" w:sz="0" w:space="0" w:color="auto"/>
      </w:divBdr>
    </w:div>
    <w:div w:id="791243086">
      <w:bodyDiv w:val="1"/>
      <w:marLeft w:val="0"/>
      <w:marRight w:val="0"/>
      <w:marTop w:val="0"/>
      <w:marBottom w:val="0"/>
      <w:divBdr>
        <w:top w:val="none" w:sz="0" w:space="0" w:color="auto"/>
        <w:left w:val="none" w:sz="0" w:space="0" w:color="auto"/>
        <w:bottom w:val="none" w:sz="0" w:space="0" w:color="auto"/>
        <w:right w:val="none" w:sz="0" w:space="0" w:color="auto"/>
      </w:divBdr>
    </w:div>
    <w:div w:id="816609632">
      <w:bodyDiv w:val="1"/>
      <w:marLeft w:val="0"/>
      <w:marRight w:val="0"/>
      <w:marTop w:val="0"/>
      <w:marBottom w:val="0"/>
      <w:divBdr>
        <w:top w:val="none" w:sz="0" w:space="0" w:color="auto"/>
        <w:left w:val="none" w:sz="0" w:space="0" w:color="auto"/>
        <w:bottom w:val="none" w:sz="0" w:space="0" w:color="auto"/>
        <w:right w:val="none" w:sz="0" w:space="0" w:color="auto"/>
      </w:divBdr>
    </w:div>
    <w:div w:id="848788213">
      <w:bodyDiv w:val="1"/>
      <w:marLeft w:val="0"/>
      <w:marRight w:val="0"/>
      <w:marTop w:val="0"/>
      <w:marBottom w:val="0"/>
      <w:divBdr>
        <w:top w:val="none" w:sz="0" w:space="0" w:color="auto"/>
        <w:left w:val="none" w:sz="0" w:space="0" w:color="auto"/>
        <w:bottom w:val="none" w:sz="0" w:space="0" w:color="auto"/>
        <w:right w:val="none" w:sz="0" w:space="0" w:color="auto"/>
      </w:divBdr>
    </w:div>
    <w:div w:id="961687010">
      <w:bodyDiv w:val="1"/>
      <w:marLeft w:val="0"/>
      <w:marRight w:val="0"/>
      <w:marTop w:val="0"/>
      <w:marBottom w:val="0"/>
      <w:divBdr>
        <w:top w:val="none" w:sz="0" w:space="0" w:color="auto"/>
        <w:left w:val="none" w:sz="0" w:space="0" w:color="auto"/>
        <w:bottom w:val="none" w:sz="0" w:space="0" w:color="auto"/>
        <w:right w:val="none" w:sz="0" w:space="0" w:color="auto"/>
      </w:divBdr>
    </w:div>
    <w:div w:id="983662052">
      <w:bodyDiv w:val="1"/>
      <w:marLeft w:val="0"/>
      <w:marRight w:val="0"/>
      <w:marTop w:val="0"/>
      <w:marBottom w:val="0"/>
      <w:divBdr>
        <w:top w:val="none" w:sz="0" w:space="0" w:color="auto"/>
        <w:left w:val="none" w:sz="0" w:space="0" w:color="auto"/>
        <w:bottom w:val="none" w:sz="0" w:space="0" w:color="auto"/>
        <w:right w:val="none" w:sz="0" w:space="0" w:color="auto"/>
      </w:divBdr>
    </w:div>
    <w:div w:id="1046182996">
      <w:bodyDiv w:val="1"/>
      <w:marLeft w:val="0"/>
      <w:marRight w:val="0"/>
      <w:marTop w:val="0"/>
      <w:marBottom w:val="0"/>
      <w:divBdr>
        <w:top w:val="none" w:sz="0" w:space="0" w:color="auto"/>
        <w:left w:val="none" w:sz="0" w:space="0" w:color="auto"/>
        <w:bottom w:val="none" w:sz="0" w:space="0" w:color="auto"/>
        <w:right w:val="none" w:sz="0" w:space="0" w:color="auto"/>
      </w:divBdr>
    </w:div>
    <w:div w:id="1060009458">
      <w:bodyDiv w:val="1"/>
      <w:marLeft w:val="0"/>
      <w:marRight w:val="0"/>
      <w:marTop w:val="0"/>
      <w:marBottom w:val="0"/>
      <w:divBdr>
        <w:top w:val="none" w:sz="0" w:space="0" w:color="auto"/>
        <w:left w:val="none" w:sz="0" w:space="0" w:color="auto"/>
        <w:bottom w:val="none" w:sz="0" w:space="0" w:color="auto"/>
        <w:right w:val="none" w:sz="0" w:space="0" w:color="auto"/>
      </w:divBdr>
    </w:div>
    <w:div w:id="1079059453">
      <w:bodyDiv w:val="1"/>
      <w:marLeft w:val="0"/>
      <w:marRight w:val="0"/>
      <w:marTop w:val="0"/>
      <w:marBottom w:val="0"/>
      <w:divBdr>
        <w:top w:val="none" w:sz="0" w:space="0" w:color="auto"/>
        <w:left w:val="none" w:sz="0" w:space="0" w:color="auto"/>
        <w:bottom w:val="none" w:sz="0" w:space="0" w:color="auto"/>
        <w:right w:val="none" w:sz="0" w:space="0" w:color="auto"/>
      </w:divBdr>
    </w:div>
    <w:div w:id="1088232760">
      <w:bodyDiv w:val="1"/>
      <w:marLeft w:val="0"/>
      <w:marRight w:val="0"/>
      <w:marTop w:val="0"/>
      <w:marBottom w:val="0"/>
      <w:divBdr>
        <w:top w:val="none" w:sz="0" w:space="0" w:color="auto"/>
        <w:left w:val="none" w:sz="0" w:space="0" w:color="auto"/>
        <w:bottom w:val="none" w:sz="0" w:space="0" w:color="auto"/>
        <w:right w:val="none" w:sz="0" w:space="0" w:color="auto"/>
      </w:divBdr>
    </w:div>
    <w:div w:id="1115826677">
      <w:bodyDiv w:val="1"/>
      <w:marLeft w:val="0"/>
      <w:marRight w:val="0"/>
      <w:marTop w:val="0"/>
      <w:marBottom w:val="0"/>
      <w:divBdr>
        <w:top w:val="none" w:sz="0" w:space="0" w:color="auto"/>
        <w:left w:val="none" w:sz="0" w:space="0" w:color="auto"/>
        <w:bottom w:val="none" w:sz="0" w:space="0" w:color="auto"/>
        <w:right w:val="none" w:sz="0" w:space="0" w:color="auto"/>
      </w:divBdr>
    </w:div>
    <w:div w:id="1148520348">
      <w:bodyDiv w:val="1"/>
      <w:marLeft w:val="0"/>
      <w:marRight w:val="0"/>
      <w:marTop w:val="0"/>
      <w:marBottom w:val="0"/>
      <w:divBdr>
        <w:top w:val="none" w:sz="0" w:space="0" w:color="auto"/>
        <w:left w:val="none" w:sz="0" w:space="0" w:color="auto"/>
        <w:bottom w:val="none" w:sz="0" w:space="0" w:color="auto"/>
        <w:right w:val="none" w:sz="0" w:space="0" w:color="auto"/>
      </w:divBdr>
    </w:div>
    <w:div w:id="1270893849">
      <w:bodyDiv w:val="1"/>
      <w:marLeft w:val="0"/>
      <w:marRight w:val="0"/>
      <w:marTop w:val="0"/>
      <w:marBottom w:val="0"/>
      <w:divBdr>
        <w:top w:val="none" w:sz="0" w:space="0" w:color="auto"/>
        <w:left w:val="none" w:sz="0" w:space="0" w:color="auto"/>
        <w:bottom w:val="none" w:sz="0" w:space="0" w:color="auto"/>
        <w:right w:val="none" w:sz="0" w:space="0" w:color="auto"/>
      </w:divBdr>
    </w:div>
    <w:div w:id="1275291162">
      <w:bodyDiv w:val="1"/>
      <w:marLeft w:val="0"/>
      <w:marRight w:val="0"/>
      <w:marTop w:val="0"/>
      <w:marBottom w:val="0"/>
      <w:divBdr>
        <w:top w:val="none" w:sz="0" w:space="0" w:color="auto"/>
        <w:left w:val="none" w:sz="0" w:space="0" w:color="auto"/>
        <w:bottom w:val="none" w:sz="0" w:space="0" w:color="auto"/>
        <w:right w:val="none" w:sz="0" w:space="0" w:color="auto"/>
      </w:divBdr>
    </w:div>
    <w:div w:id="1331911337">
      <w:bodyDiv w:val="1"/>
      <w:marLeft w:val="0"/>
      <w:marRight w:val="0"/>
      <w:marTop w:val="0"/>
      <w:marBottom w:val="0"/>
      <w:divBdr>
        <w:top w:val="none" w:sz="0" w:space="0" w:color="auto"/>
        <w:left w:val="none" w:sz="0" w:space="0" w:color="auto"/>
        <w:bottom w:val="none" w:sz="0" w:space="0" w:color="auto"/>
        <w:right w:val="none" w:sz="0" w:space="0" w:color="auto"/>
      </w:divBdr>
    </w:div>
    <w:div w:id="1343362041">
      <w:bodyDiv w:val="1"/>
      <w:marLeft w:val="0"/>
      <w:marRight w:val="0"/>
      <w:marTop w:val="0"/>
      <w:marBottom w:val="0"/>
      <w:divBdr>
        <w:top w:val="none" w:sz="0" w:space="0" w:color="auto"/>
        <w:left w:val="none" w:sz="0" w:space="0" w:color="auto"/>
        <w:bottom w:val="none" w:sz="0" w:space="0" w:color="auto"/>
        <w:right w:val="none" w:sz="0" w:space="0" w:color="auto"/>
      </w:divBdr>
    </w:div>
    <w:div w:id="1355617932">
      <w:bodyDiv w:val="1"/>
      <w:marLeft w:val="0"/>
      <w:marRight w:val="0"/>
      <w:marTop w:val="0"/>
      <w:marBottom w:val="0"/>
      <w:divBdr>
        <w:top w:val="none" w:sz="0" w:space="0" w:color="auto"/>
        <w:left w:val="none" w:sz="0" w:space="0" w:color="auto"/>
        <w:bottom w:val="none" w:sz="0" w:space="0" w:color="auto"/>
        <w:right w:val="none" w:sz="0" w:space="0" w:color="auto"/>
      </w:divBdr>
    </w:div>
    <w:div w:id="1435829409">
      <w:bodyDiv w:val="1"/>
      <w:marLeft w:val="0"/>
      <w:marRight w:val="0"/>
      <w:marTop w:val="0"/>
      <w:marBottom w:val="0"/>
      <w:divBdr>
        <w:top w:val="none" w:sz="0" w:space="0" w:color="auto"/>
        <w:left w:val="none" w:sz="0" w:space="0" w:color="auto"/>
        <w:bottom w:val="none" w:sz="0" w:space="0" w:color="auto"/>
        <w:right w:val="none" w:sz="0" w:space="0" w:color="auto"/>
      </w:divBdr>
    </w:div>
    <w:div w:id="1438407237">
      <w:bodyDiv w:val="1"/>
      <w:marLeft w:val="0"/>
      <w:marRight w:val="0"/>
      <w:marTop w:val="0"/>
      <w:marBottom w:val="0"/>
      <w:divBdr>
        <w:top w:val="none" w:sz="0" w:space="0" w:color="auto"/>
        <w:left w:val="none" w:sz="0" w:space="0" w:color="auto"/>
        <w:bottom w:val="none" w:sz="0" w:space="0" w:color="auto"/>
        <w:right w:val="none" w:sz="0" w:space="0" w:color="auto"/>
      </w:divBdr>
    </w:div>
    <w:div w:id="1529179443">
      <w:bodyDiv w:val="1"/>
      <w:marLeft w:val="0"/>
      <w:marRight w:val="0"/>
      <w:marTop w:val="0"/>
      <w:marBottom w:val="0"/>
      <w:divBdr>
        <w:top w:val="none" w:sz="0" w:space="0" w:color="auto"/>
        <w:left w:val="none" w:sz="0" w:space="0" w:color="auto"/>
        <w:bottom w:val="none" w:sz="0" w:space="0" w:color="auto"/>
        <w:right w:val="none" w:sz="0" w:space="0" w:color="auto"/>
      </w:divBdr>
    </w:div>
    <w:div w:id="1539312886">
      <w:bodyDiv w:val="1"/>
      <w:marLeft w:val="0"/>
      <w:marRight w:val="0"/>
      <w:marTop w:val="0"/>
      <w:marBottom w:val="0"/>
      <w:divBdr>
        <w:top w:val="none" w:sz="0" w:space="0" w:color="auto"/>
        <w:left w:val="none" w:sz="0" w:space="0" w:color="auto"/>
        <w:bottom w:val="none" w:sz="0" w:space="0" w:color="auto"/>
        <w:right w:val="none" w:sz="0" w:space="0" w:color="auto"/>
      </w:divBdr>
    </w:div>
    <w:div w:id="1600067792">
      <w:bodyDiv w:val="1"/>
      <w:marLeft w:val="0"/>
      <w:marRight w:val="0"/>
      <w:marTop w:val="0"/>
      <w:marBottom w:val="0"/>
      <w:divBdr>
        <w:top w:val="none" w:sz="0" w:space="0" w:color="auto"/>
        <w:left w:val="none" w:sz="0" w:space="0" w:color="auto"/>
        <w:bottom w:val="none" w:sz="0" w:space="0" w:color="auto"/>
        <w:right w:val="none" w:sz="0" w:space="0" w:color="auto"/>
      </w:divBdr>
    </w:div>
    <w:div w:id="1643191130">
      <w:bodyDiv w:val="1"/>
      <w:marLeft w:val="0"/>
      <w:marRight w:val="0"/>
      <w:marTop w:val="0"/>
      <w:marBottom w:val="0"/>
      <w:divBdr>
        <w:top w:val="none" w:sz="0" w:space="0" w:color="auto"/>
        <w:left w:val="none" w:sz="0" w:space="0" w:color="auto"/>
        <w:bottom w:val="none" w:sz="0" w:space="0" w:color="auto"/>
        <w:right w:val="none" w:sz="0" w:space="0" w:color="auto"/>
      </w:divBdr>
    </w:div>
    <w:div w:id="1675257273">
      <w:bodyDiv w:val="1"/>
      <w:marLeft w:val="0"/>
      <w:marRight w:val="0"/>
      <w:marTop w:val="0"/>
      <w:marBottom w:val="0"/>
      <w:divBdr>
        <w:top w:val="none" w:sz="0" w:space="0" w:color="auto"/>
        <w:left w:val="none" w:sz="0" w:space="0" w:color="auto"/>
        <w:bottom w:val="none" w:sz="0" w:space="0" w:color="auto"/>
        <w:right w:val="none" w:sz="0" w:space="0" w:color="auto"/>
      </w:divBdr>
    </w:div>
    <w:div w:id="1676881877">
      <w:bodyDiv w:val="1"/>
      <w:marLeft w:val="0"/>
      <w:marRight w:val="0"/>
      <w:marTop w:val="0"/>
      <w:marBottom w:val="0"/>
      <w:divBdr>
        <w:top w:val="none" w:sz="0" w:space="0" w:color="auto"/>
        <w:left w:val="none" w:sz="0" w:space="0" w:color="auto"/>
        <w:bottom w:val="none" w:sz="0" w:space="0" w:color="auto"/>
        <w:right w:val="none" w:sz="0" w:space="0" w:color="auto"/>
      </w:divBdr>
    </w:div>
    <w:div w:id="1679455315">
      <w:bodyDiv w:val="1"/>
      <w:marLeft w:val="0"/>
      <w:marRight w:val="0"/>
      <w:marTop w:val="0"/>
      <w:marBottom w:val="0"/>
      <w:divBdr>
        <w:top w:val="none" w:sz="0" w:space="0" w:color="auto"/>
        <w:left w:val="none" w:sz="0" w:space="0" w:color="auto"/>
        <w:bottom w:val="none" w:sz="0" w:space="0" w:color="auto"/>
        <w:right w:val="none" w:sz="0" w:space="0" w:color="auto"/>
      </w:divBdr>
    </w:div>
    <w:div w:id="1706103593">
      <w:bodyDiv w:val="1"/>
      <w:marLeft w:val="0"/>
      <w:marRight w:val="0"/>
      <w:marTop w:val="0"/>
      <w:marBottom w:val="0"/>
      <w:divBdr>
        <w:top w:val="none" w:sz="0" w:space="0" w:color="auto"/>
        <w:left w:val="none" w:sz="0" w:space="0" w:color="auto"/>
        <w:bottom w:val="none" w:sz="0" w:space="0" w:color="auto"/>
        <w:right w:val="none" w:sz="0" w:space="0" w:color="auto"/>
      </w:divBdr>
    </w:div>
    <w:div w:id="1723169564">
      <w:bodyDiv w:val="1"/>
      <w:marLeft w:val="0"/>
      <w:marRight w:val="0"/>
      <w:marTop w:val="0"/>
      <w:marBottom w:val="0"/>
      <w:divBdr>
        <w:top w:val="none" w:sz="0" w:space="0" w:color="auto"/>
        <w:left w:val="none" w:sz="0" w:space="0" w:color="auto"/>
        <w:bottom w:val="none" w:sz="0" w:space="0" w:color="auto"/>
        <w:right w:val="none" w:sz="0" w:space="0" w:color="auto"/>
      </w:divBdr>
    </w:div>
    <w:div w:id="1734232039">
      <w:bodyDiv w:val="1"/>
      <w:marLeft w:val="0"/>
      <w:marRight w:val="0"/>
      <w:marTop w:val="0"/>
      <w:marBottom w:val="0"/>
      <w:divBdr>
        <w:top w:val="none" w:sz="0" w:space="0" w:color="auto"/>
        <w:left w:val="none" w:sz="0" w:space="0" w:color="auto"/>
        <w:bottom w:val="none" w:sz="0" w:space="0" w:color="auto"/>
        <w:right w:val="none" w:sz="0" w:space="0" w:color="auto"/>
      </w:divBdr>
    </w:div>
    <w:div w:id="1739161542">
      <w:bodyDiv w:val="1"/>
      <w:marLeft w:val="0"/>
      <w:marRight w:val="0"/>
      <w:marTop w:val="0"/>
      <w:marBottom w:val="0"/>
      <w:divBdr>
        <w:top w:val="none" w:sz="0" w:space="0" w:color="auto"/>
        <w:left w:val="none" w:sz="0" w:space="0" w:color="auto"/>
        <w:bottom w:val="none" w:sz="0" w:space="0" w:color="auto"/>
        <w:right w:val="none" w:sz="0" w:space="0" w:color="auto"/>
      </w:divBdr>
    </w:div>
    <w:div w:id="1762867519">
      <w:bodyDiv w:val="1"/>
      <w:marLeft w:val="0"/>
      <w:marRight w:val="0"/>
      <w:marTop w:val="0"/>
      <w:marBottom w:val="0"/>
      <w:divBdr>
        <w:top w:val="none" w:sz="0" w:space="0" w:color="auto"/>
        <w:left w:val="none" w:sz="0" w:space="0" w:color="auto"/>
        <w:bottom w:val="none" w:sz="0" w:space="0" w:color="auto"/>
        <w:right w:val="none" w:sz="0" w:space="0" w:color="auto"/>
      </w:divBdr>
    </w:div>
    <w:div w:id="1780904542">
      <w:bodyDiv w:val="1"/>
      <w:marLeft w:val="0"/>
      <w:marRight w:val="0"/>
      <w:marTop w:val="0"/>
      <w:marBottom w:val="0"/>
      <w:divBdr>
        <w:top w:val="none" w:sz="0" w:space="0" w:color="auto"/>
        <w:left w:val="none" w:sz="0" w:space="0" w:color="auto"/>
        <w:bottom w:val="none" w:sz="0" w:space="0" w:color="auto"/>
        <w:right w:val="none" w:sz="0" w:space="0" w:color="auto"/>
      </w:divBdr>
    </w:div>
    <w:div w:id="1795176205">
      <w:bodyDiv w:val="1"/>
      <w:marLeft w:val="0"/>
      <w:marRight w:val="0"/>
      <w:marTop w:val="0"/>
      <w:marBottom w:val="0"/>
      <w:divBdr>
        <w:top w:val="none" w:sz="0" w:space="0" w:color="auto"/>
        <w:left w:val="none" w:sz="0" w:space="0" w:color="auto"/>
        <w:bottom w:val="none" w:sz="0" w:space="0" w:color="auto"/>
        <w:right w:val="none" w:sz="0" w:space="0" w:color="auto"/>
      </w:divBdr>
    </w:div>
    <w:div w:id="1899050200">
      <w:bodyDiv w:val="1"/>
      <w:marLeft w:val="0"/>
      <w:marRight w:val="0"/>
      <w:marTop w:val="0"/>
      <w:marBottom w:val="0"/>
      <w:divBdr>
        <w:top w:val="none" w:sz="0" w:space="0" w:color="auto"/>
        <w:left w:val="none" w:sz="0" w:space="0" w:color="auto"/>
        <w:bottom w:val="none" w:sz="0" w:space="0" w:color="auto"/>
        <w:right w:val="none" w:sz="0" w:space="0" w:color="auto"/>
      </w:divBdr>
    </w:div>
    <w:div w:id="2051109531">
      <w:bodyDiv w:val="1"/>
      <w:marLeft w:val="0"/>
      <w:marRight w:val="0"/>
      <w:marTop w:val="0"/>
      <w:marBottom w:val="0"/>
      <w:divBdr>
        <w:top w:val="none" w:sz="0" w:space="0" w:color="auto"/>
        <w:left w:val="none" w:sz="0" w:space="0" w:color="auto"/>
        <w:bottom w:val="none" w:sz="0" w:space="0" w:color="auto"/>
        <w:right w:val="none" w:sz="0" w:space="0" w:color="auto"/>
      </w:divBdr>
    </w:div>
    <w:div w:id="2073194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s>
</file>

<file path=word/_rels/footnotes.xml.rels><?xml version="1.0" encoding="UTF-8" standalone="yes"?>
<Relationships xmlns="http://schemas.openxmlformats.org/package/2006/relationships"><Relationship Id="rId8" Type="http://schemas.openxmlformats.org/officeDocument/2006/relationships/hyperlink" Target="https://www.eliamep.gr/publication/in-focus-%CE%B1%CE%BD%CF%84%CE%B9%CF%83%CF%84%CE%BF%CE%AF%CF%87%CE%B9%CF%83%CE%B7-%CE%B4%CE%B5%CE%BE%CE%B9%CE%BF%CF%84%CE%AE%CF%84%CF%89%CE%BD/" TargetMode="External"/><Relationship Id="rId3" Type="http://schemas.openxmlformats.org/officeDocument/2006/relationships/hyperlink" Target="https://www.statistics.gr/documents/20181/797e8512-c457-092e-87f4-453d2f823643" TargetMode="External"/><Relationship Id="rId7" Type="http://schemas.openxmlformats.org/officeDocument/2006/relationships/hyperlink" Target="https://europa.eu/eurobarometer/surveys/detail/2994" TargetMode="External"/><Relationship Id="rId12" Type="http://schemas.openxmlformats.org/officeDocument/2006/relationships/hyperlink" Target="https://www.eliamep.gr/publication/in-focus-%ce%b7-%ce%b1%ce%b4%ce%b9%ce%b1%cf%86%ce%bf%cf%81%ce%af%ce%b1-%cf%84%cf%89%ce%bd-%ce%b5%cf%80%ce%b9%cf%87%ce%b5%ce%b9%cf%81%ce%ae%cf%83%ce%b5%cf%89%ce%bd-%ce%b3%ce%b9%ce%b1-%cf%84%ce%b7/" TargetMode="External"/><Relationship Id="rId2" Type="http://schemas.openxmlformats.org/officeDocument/2006/relationships/hyperlink" Target="https://www.statistics.gr/documents/20181/797e8512-c457-092e-87f4-453d2f823643" TargetMode="External"/><Relationship Id="rId1" Type="http://schemas.openxmlformats.org/officeDocument/2006/relationships/hyperlink" Target="https://www.statistics.gr/documents/20181/797e8512-c457-092e-87f4-453d2f823643" TargetMode="External"/><Relationship Id="rId6" Type="http://schemas.openxmlformats.org/officeDocument/2006/relationships/hyperlink" Target="https://doi.org/10.6084/m9.figshare.24799764.v1" TargetMode="External"/><Relationship Id="rId11" Type="http://schemas.openxmlformats.org/officeDocument/2006/relationships/hyperlink" Target="https://www.eliamep.gr/publication/in-focus-%CE%BF%CE%B9-%CF%87%CE%B1%CE%BC%CE%B7%CE%BB%CE%AD%CF%82-%CE%B4%CE%B5%CE%BE%CE%B9%CF%8C%CF%84%CE%B7%CF%84%CE%B5%CF%82-%CF%84%CF%81%CE%BF%CF%87%CE%BF%CF%80%CE%AD%CE%B4%CE%B7-%CF%84%CE%B7/" TargetMode="External"/><Relationship Id="rId5" Type="http://schemas.openxmlformats.org/officeDocument/2006/relationships/hyperlink" Target="https://www.pmi.spglobal.com/Public/Home/PressRelease/5f5691b69d274f3692dab99ff05fb14e" TargetMode="External"/><Relationship Id="rId10" Type="http://schemas.openxmlformats.org/officeDocument/2006/relationships/hyperlink" Target="https://www.oecd.org/skills/piaac/" TargetMode="External"/><Relationship Id="rId4" Type="http://schemas.openxmlformats.org/officeDocument/2006/relationships/hyperlink" Target="https://www.pmi.spglobal.com/Public/Home/PressRelease/5f5691b69d274f3692dab99ff05fb14e" TargetMode="External"/><Relationship Id="rId9" Type="http://schemas.openxmlformats.org/officeDocument/2006/relationships/hyperlink" Target="https://www.cedefop.europa.eu/en/tools/european-skills-ind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1</a:t>
            </a:r>
          </a:p>
          <a:p>
            <a:pPr>
              <a:defRPr sz="1200"/>
            </a:pPr>
            <a:r>
              <a:rPr lang="el-GR" sz="1200"/>
              <a:t>Δείκτης</a:t>
            </a:r>
            <a:r>
              <a:rPr lang="el-GR" sz="1200" baseline="0"/>
              <a:t> Οικονομικού κλίματος</a:t>
            </a:r>
            <a:endParaRPr lang="el-GR" sz="1200"/>
          </a:p>
        </c:rich>
      </c:tx>
      <c:overlay val="0"/>
    </c:title>
    <c:autoTitleDeleted val="0"/>
    <c:plotArea>
      <c:layout/>
      <c:lineChart>
        <c:grouping val="standard"/>
        <c:varyColors val="0"/>
        <c:ser>
          <c:idx val="0"/>
          <c:order val="0"/>
          <c:tx>
            <c:strRef>
              <c:f>Γ1!$A$3</c:f>
              <c:strCache>
                <c:ptCount val="1"/>
                <c:pt idx="0">
                  <c:v>Δείκτης οικονομικού κλίματος Ευρωπαικών ΜΜΕ</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Γ1!$B$2:$Z$2</c:f>
              <c:strCache>
                <c:ptCount val="25"/>
                <c:pt idx="0">
                  <c:v>Α2012</c:v>
                </c:pt>
                <c:pt idx="1">
                  <c:v>Β2012</c:v>
                </c:pt>
                <c:pt idx="2">
                  <c:v>Α2013</c:v>
                </c:pt>
                <c:pt idx="3">
                  <c:v>Β2013</c:v>
                </c:pt>
                <c:pt idx="4">
                  <c:v>Α2014</c:v>
                </c:pt>
                <c:pt idx="5">
                  <c:v>Β2014</c:v>
                </c:pt>
                <c:pt idx="6">
                  <c:v>Α2015</c:v>
                </c:pt>
                <c:pt idx="7">
                  <c:v>Β2015</c:v>
                </c:pt>
                <c:pt idx="8">
                  <c:v>Α2016</c:v>
                </c:pt>
                <c:pt idx="9">
                  <c:v>Β2016</c:v>
                </c:pt>
                <c:pt idx="10">
                  <c:v>Α2017</c:v>
                </c:pt>
                <c:pt idx="11">
                  <c:v>Β2017</c:v>
                </c:pt>
                <c:pt idx="12">
                  <c:v>Α2018</c:v>
                </c:pt>
                <c:pt idx="13">
                  <c:v>Β2018</c:v>
                </c:pt>
                <c:pt idx="14">
                  <c:v>Α2019</c:v>
                </c:pt>
                <c:pt idx="15">
                  <c:v>Β2019</c:v>
                </c:pt>
                <c:pt idx="16">
                  <c:v>Α2020</c:v>
                </c:pt>
                <c:pt idx="17">
                  <c:v>Β2020</c:v>
                </c:pt>
                <c:pt idx="18">
                  <c:v>Α2021</c:v>
                </c:pt>
                <c:pt idx="19">
                  <c:v>Β2021</c:v>
                </c:pt>
                <c:pt idx="20">
                  <c:v>Α2022</c:v>
                </c:pt>
                <c:pt idx="21">
                  <c:v>Β2022</c:v>
                </c:pt>
                <c:pt idx="22">
                  <c:v>Α2023</c:v>
                </c:pt>
                <c:pt idx="23">
                  <c:v>Β2023</c:v>
                </c:pt>
                <c:pt idx="24">
                  <c:v>Α2024</c:v>
                </c:pt>
              </c:strCache>
            </c:strRef>
          </c:cat>
          <c:val>
            <c:numRef>
              <c:f>Γ1!$B$3:$Y$3</c:f>
              <c:numCache>
                <c:formatCode>0.0</c:formatCode>
                <c:ptCount val="24"/>
                <c:pt idx="0">
                  <c:v>67.5</c:v>
                </c:pt>
                <c:pt idx="1">
                  <c:v>65.3</c:v>
                </c:pt>
                <c:pt idx="2">
                  <c:v>66.099999999999994</c:v>
                </c:pt>
                <c:pt idx="3">
                  <c:v>67.900000000000006</c:v>
                </c:pt>
                <c:pt idx="4">
                  <c:v>71.7</c:v>
                </c:pt>
                <c:pt idx="5">
                  <c:v>72.3</c:v>
                </c:pt>
                <c:pt idx="6">
                  <c:v>74.900000000000006</c:v>
                </c:pt>
                <c:pt idx="7">
                  <c:v>75.599999999999994</c:v>
                </c:pt>
                <c:pt idx="8">
                  <c:v>75.5</c:v>
                </c:pt>
                <c:pt idx="9">
                  <c:v>75.8</c:v>
                </c:pt>
                <c:pt idx="10">
                  <c:v>80.2</c:v>
                </c:pt>
                <c:pt idx="11">
                  <c:v>81.599999999999994</c:v>
                </c:pt>
                <c:pt idx="12">
                  <c:v>81.7</c:v>
                </c:pt>
                <c:pt idx="13">
                  <c:v>76.599999999999994</c:v>
                </c:pt>
                <c:pt idx="14">
                  <c:v>77.099999999999994</c:v>
                </c:pt>
                <c:pt idx="15">
                  <c:v>73.400000000000006</c:v>
                </c:pt>
                <c:pt idx="16">
                  <c:v>54.6</c:v>
                </c:pt>
                <c:pt idx="17">
                  <c:v>59.8</c:v>
                </c:pt>
                <c:pt idx="18">
                  <c:v>76.099999999999994</c:v>
                </c:pt>
                <c:pt idx="19">
                  <c:v>75.2</c:v>
                </c:pt>
                <c:pt idx="20">
                  <c:v>72.400000000000006</c:v>
                </c:pt>
                <c:pt idx="21">
                  <c:v>71.3</c:v>
                </c:pt>
                <c:pt idx="22">
                  <c:v>73.8</c:v>
                </c:pt>
                <c:pt idx="23">
                  <c:v>66.8</c:v>
                </c:pt>
              </c:numCache>
            </c:numRef>
          </c:val>
          <c:smooth val="0"/>
          <c:extLst>
            <c:ext xmlns:c16="http://schemas.microsoft.com/office/drawing/2014/chart" uri="{C3380CC4-5D6E-409C-BE32-E72D297353CC}">
              <c16:uniqueId val="{00000000-8C80-415E-B672-FC69A1A26E80}"/>
            </c:ext>
          </c:extLst>
        </c:ser>
        <c:ser>
          <c:idx val="1"/>
          <c:order val="1"/>
          <c:tx>
            <c:strRef>
              <c:f>Γ1!$A$4</c:f>
              <c:strCache>
                <c:ptCount val="1"/>
                <c:pt idx="0">
                  <c:v>Δείκτης οικονομικού κλίματος Ελληνικών ΜΜΕ</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Γ1!$B$2:$Z$2</c:f>
              <c:strCache>
                <c:ptCount val="25"/>
                <c:pt idx="0">
                  <c:v>Α2012</c:v>
                </c:pt>
                <c:pt idx="1">
                  <c:v>Β2012</c:v>
                </c:pt>
                <c:pt idx="2">
                  <c:v>Α2013</c:v>
                </c:pt>
                <c:pt idx="3">
                  <c:v>Β2013</c:v>
                </c:pt>
                <c:pt idx="4">
                  <c:v>Α2014</c:v>
                </c:pt>
                <c:pt idx="5">
                  <c:v>Β2014</c:v>
                </c:pt>
                <c:pt idx="6">
                  <c:v>Α2015</c:v>
                </c:pt>
                <c:pt idx="7">
                  <c:v>Β2015</c:v>
                </c:pt>
                <c:pt idx="8">
                  <c:v>Α2016</c:v>
                </c:pt>
                <c:pt idx="9">
                  <c:v>Β2016</c:v>
                </c:pt>
                <c:pt idx="10">
                  <c:v>Α2017</c:v>
                </c:pt>
                <c:pt idx="11">
                  <c:v>Β2017</c:v>
                </c:pt>
                <c:pt idx="12">
                  <c:v>Α2018</c:v>
                </c:pt>
                <c:pt idx="13">
                  <c:v>Β2018</c:v>
                </c:pt>
                <c:pt idx="14">
                  <c:v>Α2019</c:v>
                </c:pt>
                <c:pt idx="15">
                  <c:v>Β2019</c:v>
                </c:pt>
                <c:pt idx="16">
                  <c:v>Α2020</c:v>
                </c:pt>
                <c:pt idx="17">
                  <c:v>Β2020</c:v>
                </c:pt>
                <c:pt idx="18">
                  <c:v>Α2021</c:v>
                </c:pt>
                <c:pt idx="19">
                  <c:v>Β2021</c:v>
                </c:pt>
                <c:pt idx="20">
                  <c:v>Α2022</c:v>
                </c:pt>
                <c:pt idx="21">
                  <c:v>Β2022</c:v>
                </c:pt>
                <c:pt idx="22">
                  <c:v>Α2023</c:v>
                </c:pt>
                <c:pt idx="23">
                  <c:v>Β2023</c:v>
                </c:pt>
                <c:pt idx="24">
                  <c:v>Α2024</c:v>
                </c:pt>
              </c:strCache>
            </c:strRef>
          </c:cat>
          <c:val>
            <c:numRef>
              <c:f>Γ1!$B$4:$Z$4</c:f>
              <c:numCache>
                <c:formatCode>0.0</c:formatCode>
                <c:ptCount val="25"/>
                <c:pt idx="0">
                  <c:v>11.723446893787553</c:v>
                </c:pt>
                <c:pt idx="1">
                  <c:v>17.917917917917919</c:v>
                </c:pt>
                <c:pt idx="2">
                  <c:v>24.599999999999994</c:v>
                </c:pt>
                <c:pt idx="3">
                  <c:v>29.700000000000003</c:v>
                </c:pt>
                <c:pt idx="4">
                  <c:v>35.170340681362731</c:v>
                </c:pt>
                <c:pt idx="5">
                  <c:v>41.341341341341348</c:v>
                </c:pt>
                <c:pt idx="6">
                  <c:v>15.700000000000003</c:v>
                </c:pt>
                <c:pt idx="7">
                  <c:v>24.924924924924923</c:v>
                </c:pt>
                <c:pt idx="8">
                  <c:v>30.799999999999997</c:v>
                </c:pt>
                <c:pt idx="9">
                  <c:v>30.992978936810417</c:v>
                </c:pt>
                <c:pt idx="10">
                  <c:v>41.482965931863724</c:v>
                </c:pt>
                <c:pt idx="11">
                  <c:v>46.666666666666664</c:v>
                </c:pt>
                <c:pt idx="12">
                  <c:v>52.958876629889673</c:v>
                </c:pt>
                <c:pt idx="13">
                  <c:v>58.758758758758759</c:v>
                </c:pt>
                <c:pt idx="14">
                  <c:v>61.933534743202422</c:v>
                </c:pt>
                <c:pt idx="15">
                  <c:v>66.365461847389554</c:v>
                </c:pt>
                <c:pt idx="16">
                  <c:v>20.100000000000001</c:v>
                </c:pt>
                <c:pt idx="17">
                  <c:v>20.100000000000001</c:v>
                </c:pt>
                <c:pt idx="18" formatCode="General">
                  <c:v>46.3</c:v>
                </c:pt>
                <c:pt idx="19" formatCode="General">
                  <c:v>52.4</c:v>
                </c:pt>
                <c:pt idx="20">
                  <c:v>54.33467741935484</c:v>
                </c:pt>
                <c:pt idx="21">
                  <c:v>69.469469469469473</c:v>
                </c:pt>
                <c:pt idx="22">
                  <c:v>66.7</c:v>
                </c:pt>
                <c:pt idx="23">
                  <c:v>63.9</c:v>
                </c:pt>
                <c:pt idx="24" formatCode="General">
                  <c:v>49.6</c:v>
                </c:pt>
              </c:numCache>
            </c:numRef>
          </c:val>
          <c:smooth val="0"/>
          <c:extLst>
            <c:ext xmlns:c16="http://schemas.microsoft.com/office/drawing/2014/chart" uri="{C3380CC4-5D6E-409C-BE32-E72D297353CC}">
              <c16:uniqueId val="{00000001-8C80-415E-B672-FC69A1A26E80}"/>
            </c:ext>
          </c:extLst>
        </c:ser>
        <c:dLbls>
          <c:showLegendKey val="0"/>
          <c:showVal val="0"/>
          <c:showCatName val="0"/>
          <c:showSerName val="0"/>
          <c:showPercent val="0"/>
          <c:showBubbleSize val="0"/>
        </c:dLbls>
        <c:smooth val="0"/>
        <c:axId val="286753920"/>
        <c:axId val="286755456"/>
      </c:lineChart>
      <c:catAx>
        <c:axId val="286753920"/>
        <c:scaling>
          <c:orientation val="minMax"/>
        </c:scaling>
        <c:delete val="0"/>
        <c:axPos val="b"/>
        <c:numFmt formatCode="General" sourceLinked="0"/>
        <c:majorTickMark val="out"/>
        <c:minorTickMark val="none"/>
        <c:tickLblPos val="nextTo"/>
        <c:txPr>
          <a:bodyPr/>
          <a:lstStyle/>
          <a:p>
            <a:pPr>
              <a:defRPr sz="700"/>
            </a:pPr>
            <a:endParaRPr lang="el-GR"/>
          </a:p>
        </c:txPr>
        <c:crossAx val="286755456"/>
        <c:crosses val="autoZero"/>
        <c:auto val="1"/>
        <c:lblAlgn val="ctr"/>
        <c:lblOffset val="100"/>
        <c:noMultiLvlLbl val="0"/>
      </c:catAx>
      <c:valAx>
        <c:axId val="286755456"/>
        <c:scaling>
          <c:orientation val="minMax"/>
        </c:scaling>
        <c:delete val="0"/>
        <c:axPos val="l"/>
        <c:majorGridlines/>
        <c:numFmt formatCode="0.0" sourceLinked="1"/>
        <c:majorTickMark val="out"/>
        <c:minorTickMark val="none"/>
        <c:tickLblPos val="nextTo"/>
        <c:crossAx val="286753920"/>
        <c:crosses val="autoZero"/>
        <c:crossBetween val="between"/>
      </c:val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Γράφημα 10 </a:t>
            </a:r>
          </a:p>
          <a:p>
            <a:pPr>
              <a:defRPr sz="1400" b="0" i="0" u="none" strike="noStrike" kern="1200" spc="0" baseline="0">
                <a:solidFill>
                  <a:schemeClr val="tx1">
                    <a:lumMod val="65000"/>
                    <a:lumOff val="35000"/>
                  </a:schemeClr>
                </a:solidFill>
                <a:latin typeface="+mn-lt"/>
                <a:ea typeface="+mn-ea"/>
                <a:cs typeface="+mn-cs"/>
              </a:defRPr>
            </a:pPr>
            <a:r>
              <a:rPr lang="el-GR"/>
              <a:t>Απασχόληση - Σύγκριση με προηγούμενα εξάμηνα</a:t>
            </a:r>
          </a:p>
        </c:rich>
      </c:tx>
      <c:overlay val="0"/>
      <c:spPr>
        <a:noFill/>
        <a:ln>
          <a:noFill/>
        </a:ln>
        <a:effectLst/>
      </c:spPr>
    </c:title>
    <c:autoTitleDeleted val="0"/>
    <c:plotArea>
      <c:layout/>
      <c:lineChart>
        <c:grouping val="standard"/>
        <c:varyColors val="0"/>
        <c:ser>
          <c:idx val="0"/>
          <c:order val="0"/>
          <c:tx>
            <c:strRef>
              <c:f>'γραφημα 10γ'!$B$1</c:f>
              <c:strCache>
                <c:ptCount val="1"/>
                <c:pt idx="0">
                  <c:v>Αύξηση</c:v>
                </c:pt>
              </c:strCache>
            </c:strRef>
          </c:tx>
          <c:spPr>
            <a:ln w="28575" cap="rnd">
              <a:solidFill>
                <a:schemeClr val="accent6"/>
              </a:solidFill>
              <a:round/>
            </a:ln>
            <a:effectLst/>
          </c:spPr>
          <c:marker>
            <c:symbol val="none"/>
          </c:marker>
          <c:cat>
            <c:strRef>
              <c:f>'γραφημα 10γ'!$A$2:$A$30</c:f>
              <c:strCache>
                <c:ptCount val="29"/>
                <c:pt idx="0">
                  <c:v>ΙΟΥΛ. 2010</c:v>
                </c:pt>
                <c:pt idx="1">
                  <c:v>ΙΑΝ. 2011</c:v>
                </c:pt>
                <c:pt idx="2">
                  <c:v>ΙΟΥΛ. 2011</c:v>
                </c:pt>
                <c:pt idx="3">
                  <c:v>ΙΑΝ. 2012</c:v>
                </c:pt>
                <c:pt idx="4">
                  <c:v>ΙΟΥΛ. 2012</c:v>
                </c:pt>
                <c:pt idx="5">
                  <c:v>ΙΑΝ. 2013</c:v>
                </c:pt>
                <c:pt idx="6">
                  <c:v>ΙΟΥΛ. 2013</c:v>
                </c:pt>
                <c:pt idx="7">
                  <c:v>ΦΕΒΡ. 2014</c:v>
                </c:pt>
                <c:pt idx="8">
                  <c:v>ΙΟΥΛ. 2014</c:v>
                </c:pt>
                <c:pt idx="9">
                  <c:v>ΦΕΒΡ. 2015</c:v>
                </c:pt>
                <c:pt idx="10">
                  <c:v>ΙΟΥΛ. 2015</c:v>
                </c:pt>
                <c:pt idx="11">
                  <c:v>ΦΕΒΡ. 2016</c:v>
                </c:pt>
                <c:pt idx="12">
                  <c:v>ΙΟΥΛ. 2016</c:v>
                </c:pt>
                <c:pt idx="13">
                  <c:v>ΦΕΒΡ. 2017</c:v>
                </c:pt>
                <c:pt idx="14">
                  <c:v>ΙΟΥΛ. 2017</c:v>
                </c:pt>
                <c:pt idx="15">
                  <c:v>ΦΕΒΡ. 2018</c:v>
                </c:pt>
                <c:pt idx="16">
                  <c:v>ΙΟΥΛ. 2018</c:v>
                </c:pt>
                <c:pt idx="17">
                  <c:v>ΦΕΒΡ. 2019</c:v>
                </c:pt>
                <c:pt idx="18">
                  <c:v>ΙΟΥΛ. 2019</c:v>
                </c:pt>
                <c:pt idx="19">
                  <c:v>ΦΕΒΡ. 2020</c:v>
                </c:pt>
                <c:pt idx="20">
                  <c:v>ΙΟΥΛ. 2020</c:v>
                </c:pt>
                <c:pt idx="21">
                  <c:v>ΦΕΒΡ. 2021</c:v>
                </c:pt>
                <c:pt idx="22">
                  <c:v>ΙΟΥΛ. 2021</c:v>
                </c:pt>
                <c:pt idx="23">
                  <c:v>ΦΕΒΡ. 2022</c:v>
                </c:pt>
                <c:pt idx="24">
                  <c:v>ΙΟΥΛ. 2022</c:v>
                </c:pt>
                <c:pt idx="25">
                  <c:v>ΦΕΒΡ. 2023</c:v>
                </c:pt>
                <c:pt idx="26">
                  <c:v>ΙΟΥΛ. 2023</c:v>
                </c:pt>
                <c:pt idx="27">
                  <c:v>ΦΕΒΡ. 2024</c:v>
                </c:pt>
                <c:pt idx="28">
                  <c:v>ΙΟΥΛ. 2024</c:v>
                </c:pt>
              </c:strCache>
            </c:strRef>
          </c:cat>
          <c:val>
            <c:numRef>
              <c:f>'γραφημα 10γ'!$B$2:$B$30</c:f>
              <c:numCache>
                <c:formatCode>General</c:formatCode>
                <c:ptCount val="29"/>
                <c:pt idx="0">
                  <c:v>3.6</c:v>
                </c:pt>
                <c:pt idx="1">
                  <c:v>3.5</c:v>
                </c:pt>
                <c:pt idx="2">
                  <c:v>3.1</c:v>
                </c:pt>
                <c:pt idx="3">
                  <c:v>3.3</c:v>
                </c:pt>
                <c:pt idx="4">
                  <c:v>3.2</c:v>
                </c:pt>
                <c:pt idx="5">
                  <c:v>3.1</c:v>
                </c:pt>
                <c:pt idx="6">
                  <c:v>4</c:v>
                </c:pt>
                <c:pt idx="7">
                  <c:v>5.4</c:v>
                </c:pt>
                <c:pt idx="8">
                  <c:v>5.5</c:v>
                </c:pt>
                <c:pt idx="9">
                  <c:v>5.2</c:v>
                </c:pt>
                <c:pt idx="10">
                  <c:v>4.8</c:v>
                </c:pt>
                <c:pt idx="11">
                  <c:v>3.7</c:v>
                </c:pt>
                <c:pt idx="12">
                  <c:v>5.4</c:v>
                </c:pt>
                <c:pt idx="13">
                  <c:v>4.5999999999999996</c:v>
                </c:pt>
                <c:pt idx="14">
                  <c:v>6.7</c:v>
                </c:pt>
                <c:pt idx="15">
                  <c:v>6.3</c:v>
                </c:pt>
                <c:pt idx="16">
                  <c:v>10.8</c:v>
                </c:pt>
                <c:pt idx="17">
                  <c:v>6.7</c:v>
                </c:pt>
                <c:pt idx="18">
                  <c:v>9.9</c:v>
                </c:pt>
                <c:pt idx="19">
                  <c:v>8.6</c:v>
                </c:pt>
                <c:pt idx="20">
                  <c:v>4.5999999999999996</c:v>
                </c:pt>
                <c:pt idx="21">
                  <c:v>6.2</c:v>
                </c:pt>
                <c:pt idx="22">
                  <c:v>7.9</c:v>
                </c:pt>
                <c:pt idx="23">
                  <c:v>8.6999999999999993</c:v>
                </c:pt>
                <c:pt idx="24">
                  <c:v>9.4</c:v>
                </c:pt>
                <c:pt idx="25">
                  <c:v>9.3000000000000007</c:v>
                </c:pt>
                <c:pt idx="26">
                  <c:v>11.2</c:v>
                </c:pt>
                <c:pt idx="27">
                  <c:v>7.6</c:v>
                </c:pt>
                <c:pt idx="28">
                  <c:v>10.3</c:v>
                </c:pt>
              </c:numCache>
            </c:numRef>
          </c:val>
          <c:smooth val="0"/>
          <c:extLst>
            <c:ext xmlns:c16="http://schemas.microsoft.com/office/drawing/2014/chart" uri="{C3380CC4-5D6E-409C-BE32-E72D297353CC}">
              <c16:uniqueId val="{00000000-6669-4ADB-B3A1-2B426650F0B5}"/>
            </c:ext>
          </c:extLst>
        </c:ser>
        <c:ser>
          <c:idx val="1"/>
          <c:order val="1"/>
          <c:tx>
            <c:strRef>
              <c:f>'γραφημα 10γ'!$C$1</c:f>
              <c:strCache>
                <c:ptCount val="1"/>
                <c:pt idx="0">
                  <c:v>Μείωση </c:v>
                </c:pt>
              </c:strCache>
            </c:strRef>
          </c:tx>
          <c:spPr>
            <a:ln w="28575" cap="rnd">
              <a:solidFill>
                <a:srgbClr val="C00000"/>
              </a:solidFill>
              <a:round/>
            </a:ln>
            <a:effectLst/>
          </c:spPr>
          <c:marker>
            <c:symbol val="none"/>
          </c:marker>
          <c:cat>
            <c:strRef>
              <c:f>'γραφημα 10γ'!$A$2:$A$30</c:f>
              <c:strCache>
                <c:ptCount val="29"/>
                <c:pt idx="0">
                  <c:v>ΙΟΥΛ. 2010</c:v>
                </c:pt>
                <c:pt idx="1">
                  <c:v>ΙΑΝ. 2011</c:v>
                </c:pt>
                <c:pt idx="2">
                  <c:v>ΙΟΥΛ. 2011</c:v>
                </c:pt>
                <c:pt idx="3">
                  <c:v>ΙΑΝ. 2012</c:v>
                </c:pt>
                <c:pt idx="4">
                  <c:v>ΙΟΥΛ. 2012</c:v>
                </c:pt>
                <c:pt idx="5">
                  <c:v>ΙΑΝ. 2013</c:v>
                </c:pt>
                <c:pt idx="6">
                  <c:v>ΙΟΥΛ. 2013</c:v>
                </c:pt>
                <c:pt idx="7">
                  <c:v>ΦΕΒΡ. 2014</c:v>
                </c:pt>
                <c:pt idx="8">
                  <c:v>ΙΟΥΛ. 2014</c:v>
                </c:pt>
                <c:pt idx="9">
                  <c:v>ΦΕΒΡ. 2015</c:v>
                </c:pt>
                <c:pt idx="10">
                  <c:v>ΙΟΥΛ. 2015</c:v>
                </c:pt>
                <c:pt idx="11">
                  <c:v>ΦΕΒΡ. 2016</c:v>
                </c:pt>
                <c:pt idx="12">
                  <c:v>ΙΟΥΛ. 2016</c:v>
                </c:pt>
                <c:pt idx="13">
                  <c:v>ΦΕΒΡ. 2017</c:v>
                </c:pt>
                <c:pt idx="14">
                  <c:v>ΙΟΥΛ. 2017</c:v>
                </c:pt>
                <c:pt idx="15">
                  <c:v>ΦΕΒΡ. 2018</c:v>
                </c:pt>
                <c:pt idx="16">
                  <c:v>ΙΟΥΛ. 2018</c:v>
                </c:pt>
                <c:pt idx="17">
                  <c:v>ΦΕΒΡ. 2019</c:v>
                </c:pt>
                <c:pt idx="18">
                  <c:v>ΙΟΥΛ. 2019</c:v>
                </c:pt>
                <c:pt idx="19">
                  <c:v>ΦΕΒΡ. 2020</c:v>
                </c:pt>
                <c:pt idx="20">
                  <c:v>ΙΟΥΛ. 2020</c:v>
                </c:pt>
                <c:pt idx="21">
                  <c:v>ΦΕΒΡ. 2021</c:v>
                </c:pt>
                <c:pt idx="22">
                  <c:v>ΙΟΥΛ. 2021</c:v>
                </c:pt>
                <c:pt idx="23">
                  <c:v>ΦΕΒΡ. 2022</c:v>
                </c:pt>
                <c:pt idx="24">
                  <c:v>ΙΟΥΛ. 2022</c:v>
                </c:pt>
                <c:pt idx="25">
                  <c:v>ΦΕΒΡ. 2023</c:v>
                </c:pt>
                <c:pt idx="26">
                  <c:v>ΙΟΥΛ. 2023</c:v>
                </c:pt>
                <c:pt idx="27">
                  <c:v>ΦΕΒΡ. 2024</c:v>
                </c:pt>
                <c:pt idx="28">
                  <c:v>ΙΟΥΛ. 2024</c:v>
                </c:pt>
              </c:strCache>
            </c:strRef>
          </c:cat>
          <c:val>
            <c:numRef>
              <c:f>'γραφημα 10γ'!$C$2:$C$30</c:f>
              <c:numCache>
                <c:formatCode>General</c:formatCode>
                <c:ptCount val="29"/>
                <c:pt idx="0">
                  <c:v>21.9</c:v>
                </c:pt>
                <c:pt idx="1">
                  <c:v>24.1</c:v>
                </c:pt>
                <c:pt idx="2">
                  <c:v>20.399999999999999</c:v>
                </c:pt>
                <c:pt idx="3">
                  <c:v>20.100000000000001</c:v>
                </c:pt>
                <c:pt idx="4">
                  <c:v>18.7</c:v>
                </c:pt>
                <c:pt idx="5">
                  <c:v>16.600000000000001</c:v>
                </c:pt>
                <c:pt idx="6">
                  <c:v>12.3</c:v>
                </c:pt>
                <c:pt idx="7">
                  <c:v>13</c:v>
                </c:pt>
                <c:pt idx="8">
                  <c:v>8.6</c:v>
                </c:pt>
                <c:pt idx="9">
                  <c:v>9.6</c:v>
                </c:pt>
                <c:pt idx="10">
                  <c:v>11</c:v>
                </c:pt>
                <c:pt idx="11">
                  <c:v>10.3</c:v>
                </c:pt>
                <c:pt idx="12">
                  <c:v>6.6</c:v>
                </c:pt>
                <c:pt idx="13">
                  <c:v>9.1999999999999993</c:v>
                </c:pt>
                <c:pt idx="14">
                  <c:v>6.7</c:v>
                </c:pt>
                <c:pt idx="15">
                  <c:v>8.8000000000000007</c:v>
                </c:pt>
                <c:pt idx="16">
                  <c:v>6.1</c:v>
                </c:pt>
                <c:pt idx="17">
                  <c:v>7.9</c:v>
                </c:pt>
                <c:pt idx="18">
                  <c:v>5.8</c:v>
                </c:pt>
                <c:pt idx="19">
                  <c:v>6.1</c:v>
                </c:pt>
                <c:pt idx="20">
                  <c:v>11.2</c:v>
                </c:pt>
                <c:pt idx="21">
                  <c:v>9</c:v>
                </c:pt>
                <c:pt idx="22">
                  <c:v>5.6</c:v>
                </c:pt>
                <c:pt idx="23">
                  <c:v>7.4</c:v>
                </c:pt>
                <c:pt idx="24">
                  <c:v>8.4</c:v>
                </c:pt>
                <c:pt idx="25">
                  <c:v>7.6</c:v>
                </c:pt>
                <c:pt idx="26">
                  <c:v>4.5</c:v>
                </c:pt>
                <c:pt idx="27">
                  <c:v>9.2000000000000011</c:v>
                </c:pt>
                <c:pt idx="28">
                  <c:v>6.6</c:v>
                </c:pt>
              </c:numCache>
            </c:numRef>
          </c:val>
          <c:smooth val="0"/>
          <c:extLst>
            <c:ext xmlns:c16="http://schemas.microsoft.com/office/drawing/2014/chart" uri="{C3380CC4-5D6E-409C-BE32-E72D297353CC}">
              <c16:uniqueId val="{00000001-6669-4ADB-B3A1-2B426650F0B5}"/>
            </c:ext>
          </c:extLst>
        </c:ser>
        <c:ser>
          <c:idx val="2"/>
          <c:order val="2"/>
          <c:tx>
            <c:strRef>
              <c:f>'γραφημα 10γ'!$D$1</c:f>
              <c:strCache>
                <c:ptCount val="1"/>
                <c:pt idx="0">
                  <c:v>Αμετάβλητη</c:v>
                </c:pt>
              </c:strCache>
            </c:strRef>
          </c:tx>
          <c:spPr>
            <a:ln w="28575" cap="rnd">
              <a:solidFill>
                <a:schemeClr val="accent1"/>
              </a:solidFill>
              <a:round/>
            </a:ln>
            <a:effectLst/>
          </c:spPr>
          <c:marker>
            <c:symbol val="none"/>
          </c:marker>
          <c:cat>
            <c:strRef>
              <c:f>'γραφημα 10γ'!$A$2:$A$30</c:f>
              <c:strCache>
                <c:ptCount val="29"/>
                <c:pt idx="0">
                  <c:v>ΙΟΥΛ. 2010</c:v>
                </c:pt>
                <c:pt idx="1">
                  <c:v>ΙΑΝ. 2011</c:v>
                </c:pt>
                <c:pt idx="2">
                  <c:v>ΙΟΥΛ. 2011</c:v>
                </c:pt>
                <c:pt idx="3">
                  <c:v>ΙΑΝ. 2012</c:v>
                </c:pt>
                <c:pt idx="4">
                  <c:v>ΙΟΥΛ. 2012</c:v>
                </c:pt>
                <c:pt idx="5">
                  <c:v>ΙΑΝ. 2013</c:v>
                </c:pt>
                <c:pt idx="6">
                  <c:v>ΙΟΥΛ. 2013</c:v>
                </c:pt>
                <c:pt idx="7">
                  <c:v>ΦΕΒΡ. 2014</c:v>
                </c:pt>
                <c:pt idx="8">
                  <c:v>ΙΟΥΛ. 2014</c:v>
                </c:pt>
                <c:pt idx="9">
                  <c:v>ΦΕΒΡ. 2015</c:v>
                </c:pt>
                <c:pt idx="10">
                  <c:v>ΙΟΥΛ. 2015</c:v>
                </c:pt>
                <c:pt idx="11">
                  <c:v>ΦΕΒΡ. 2016</c:v>
                </c:pt>
                <c:pt idx="12">
                  <c:v>ΙΟΥΛ. 2016</c:v>
                </c:pt>
                <c:pt idx="13">
                  <c:v>ΦΕΒΡ. 2017</c:v>
                </c:pt>
                <c:pt idx="14">
                  <c:v>ΙΟΥΛ. 2017</c:v>
                </c:pt>
                <c:pt idx="15">
                  <c:v>ΦΕΒΡ. 2018</c:v>
                </c:pt>
                <c:pt idx="16">
                  <c:v>ΙΟΥΛ. 2018</c:v>
                </c:pt>
                <c:pt idx="17">
                  <c:v>ΦΕΒΡ. 2019</c:v>
                </c:pt>
                <c:pt idx="18">
                  <c:v>ΙΟΥΛ. 2019</c:v>
                </c:pt>
                <c:pt idx="19">
                  <c:v>ΦΕΒΡ. 2020</c:v>
                </c:pt>
                <c:pt idx="20">
                  <c:v>ΙΟΥΛ. 2020</c:v>
                </c:pt>
                <c:pt idx="21">
                  <c:v>ΦΕΒΡ. 2021</c:v>
                </c:pt>
                <c:pt idx="22">
                  <c:v>ΙΟΥΛ. 2021</c:v>
                </c:pt>
                <c:pt idx="23">
                  <c:v>ΦΕΒΡ. 2022</c:v>
                </c:pt>
                <c:pt idx="24">
                  <c:v>ΙΟΥΛ. 2022</c:v>
                </c:pt>
                <c:pt idx="25">
                  <c:v>ΦΕΒΡ. 2023</c:v>
                </c:pt>
                <c:pt idx="26">
                  <c:v>ΙΟΥΛ. 2023</c:v>
                </c:pt>
                <c:pt idx="27">
                  <c:v>ΦΕΒΡ. 2024</c:v>
                </c:pt>
                <c:pt idx="28">
                  <c:v>ΙΟΥΛ. 2024</c:v>
                </c:pt>
              </c:strCache>
            </c:strRef>
          </c:cat>
          <c:val>
            <c:numRef>
              <c:f>'γραφημα 10γ'!$D$2:$D$30</c:f>
              <c:numCache>
                <c:formatCode>General</c:formatCode>
                <c:ptCount val="29"/>
                <c:pt idx="0">
                  <c:v>73.2</c:v>
                </c:pt>
                <c:pt idx="1">
                  <c:v>70.5</c:v>
                </c:pt>
                <c:pt idx="2">
                  <c:v>74.599999999999994</c:v>
                </c:pt>
                <c:pt idx="3">
                  <c:v>73.900000000000006</c:v>
                </c:pt>
                <c:pt idx="4">
                  <c:v>75.599999999999994</c:v>
                </c:pt>
                <c:pt idx="5">
                  <c:v>79.900000000000006</c:v>
                </c:pt>
                <c:pt idx="6">
                  <c:v>80.900000000000006</c:v>
                </c:pt>
                <c:pt idx="7">
                  <c:v>81.3</c:v>
                </c:pt>
                <c:pt idx="8">
                  <c:v>85.8</c:v>
                </c:pt>
                <c:pt idx="9">
                  <c:v>84.2</c:v>
                </c:pt>
                <c:pt idx="10">
                  <c:v>82.6</c:v>
                </c:pt>
                <c:pt idx="11">
                  <c:v>85.7</c:v>
                </c:pt>
                <c:pt idx="12">
                  <c:v>87.9</c:v>
                </c:pt>
                <c:pt idx="13">
                  <c:v>83.3</c:v>
                </c:pt>
                <c:pt idx="14">
                  <c:v>86.2</c:v>
                </c:pt>
                <c:pt idx="15">
                  <c:v>84.7</c:v>
                </c:pt>
                <c:pt idx="16">
                  <c:v>82.6</c:v>
                </c:pt>
                <c:pt idx="17">
                  <c:v>85</c:v>
                </c:pt>
                <c:pt idx="18">
                  <c:v>83.6</c:v>
                </c:pt>
                <c:pt idx="19">
                  <c:v>85</c:v>
                </c:pt>
                <c:pt idx="20">
                  <c:v>83.1</c:v>
                </c:pt>
                <c:pt idx="21">
                  <c:v>84.5</c:v>
                </c:pt>
                <c:pt idx="22">
                  <c:v>86.6</c:v>
                </c:pt>
                <c:pt idx="23">
                  <c:v>82.9</c:v>
                </c:pt>
                <c:pt idx="24">
                  <c:v>81.5</c:v>
                </c:pt>
                <c:pt idx="25">
                  <c:v>83.1</c:v>
                </c:pt>
                <c:pt idx="26">
                  <c:v>83.7</c:v>
                </c:pt>
                <c:pt idx="27">
                  <c:v>82.699999999999989</c:v>
                </c:pt>
                <c:pt idx="28">
                  <c:v>82.9</c:v>
                </c:pt>
              </c:numCache>
            </c:numRef>
          </c:val>
          <c:smooth val="0"/>
          <c:extLst>
            <c:ext xmlns:c16="http://schemas.microsoft.com/office/drawing/2014/chart" uri="{C3380CC4-5D6E-409C-BE32-E72D297353CC}">
              <c16:uniqueId val="{00000002-6669-4ADB-B3A1-2B426650F0B5}"/>
            </c:ext>
          </c:extLst>
        </c:ser>
        <c:dLbls>
          <c:showLegendKey val="0"/>
          <c:showVal val="0"/>
          <c:showCatName val="0"/>
          <c:showSerName val="0"/>
          <c:showPercent val="0"/>
          <c:showBubbleSize val="0"/>
        </c:dLbls>
        <c:smooth val="0"/>
        <c:axId val="330588160"/>
        <c:axId val="330589696"/>
      </c:lineChart>
      <c:catAx>
        <c:axId val="33058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30589696"/>
        <c:crosses val="autoZero"/>
        <c:auto val="1"/>
        <c:lblAlgn val="ctr"/>
        <c:lblOffset val="100"/>
        <c:noMultiLvlLbl val="0"/>
      </c:catAx>
      <c:valAx>
        <c:axId val="33058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3058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b="1" dirty="0">
                <a:latin typeface="Microsoft JhengHei UI" panose="020B0604030504040204" pitchFamily="34" charset="-120"/>
                <a:ea typeface="Microsoft JhengHei UI" panose="020B0604030504040204" pitchFamily="34" charset="-120"/>
                <a:cs typeface="Microsoft Sans Serif" panose="020B0604020202020204" pitchFamily="34" charset="0"/>
              </a:rPr>
              <a:t>Γράφημα</a:t>
            </a:r>
            <a:r>
              <a:rPr lang="el-GR" sz="1200" b="1" baseline="0" dirty="0">
                <a:latin typeface="Microsoft JhengHei UI" panose="020B0604030504040204" pitchFamily="34" charset="-120"/>
                <a:ea typeface="Microsoft JhengHei UI" panose="020B0604030504040204" pitchFamily="34" charset="-120"/>
                <a:cs typeface="Microsoft Sans Serif" panose="020B0604020202020204" pitchFamily="34" charset="0"/>
              </a:rPr>
              <a:t> 11</a:t>
            </a:r>
          </a:p>
          <a:p>
            <a:pPr>
              <a:defRPr sz="1400" b="0" i="0" u="none" strike="noStrike" kern="1200" spc="0" baseline="0">
                <a:solidFill>
                  <a:schemeClr val="tx1">
                    <a:lumMod val="65000"/>
                    <a:lumOff val="35000"/>
                  </a:schemeClr>
                </a:solidFill>
                <a:latin typeface="+mn-lt"/>
                <a:ea typeface="+mn-ea"/>
                <a:cs typeface="+mn-cs"/>
              </a:defRPr>
            </a:pPr>
            <a:r>
              <a:rPr lang="el-GR" sz="1200" b="1" dirty="0">
                <a:latin typeface="Microsoft JhengHei UI" panose="020B0604030504040204" pitchFamily="34" charset="-120"/>
                <a:ea typeface="Microsoft JhengHei UI" panose="020B0604030504040204" pitchFamily="34" charset="-120"/>
                <a:cs typeface="Microsoft Sans Serif" panose="020B0604020202020204" pitchFamily="34" charset="0"/>
              </a:rPr>
              <a:t>ΑΠΑΣΧΟΛΗΣΗ</a:t>
            </a:r>
            <a:r>
              <a:rPr lang="el-GR" sz="1200" dirty="0">
                <a:effectLst>
                  <a:outerShdw blurRad="38100" dist="38100" dir="2700000" algn="tl">
                    <a:srgbClr val="000000">
                      <a:alpha val="43137"/>
                    </a:srgbClr>
                  </a:outerShdw>
                </a:effectLst>
                <a:latin typeface="Microsoft JhengHei UI" panose="020B0604030504040204" pitchFamily="34" charset="-120"/>
                <a:ea typeface="Microsoft JhengHei UI" panose="020B0604030504040204" pitchFamily="34" charset="-120"/>
                <a:cs typeface="Microsoft Sans Serif" panose="020B0604020202020204" pitchFamily="34" charset="0"/>
              </a:rPr>
              <a:t> </a:t>
            </a:r>
            <a:br>
              <a:rPr lang="el-GR" sz="1200" dirty="0">
                <a:effectLst>
                  <a:outerShdw blurRad="38100" dist="38100" dir="2700000" algn="tl">
                    <a:srgbClr val="000000">
                      <a:alpha val="43137"/>
                    </a:srgbClr>
                  </a:outerShdw>
                </a:effectLst>
                <a:latin typeface="Microsoft JhengHei UI" panose="020B0604030504040204" pitchFamily="34" charset="-120"/>
                <a:ea typeface="Microsoft JhengHei UI" panose="020B0604030504040204" pitchFamily="34" charset="-120"/>
                <a:cs typeface="Microsoft Sans Serif" panose="020B0604020202020204" pitchFamily="34" charset="0"/>
              </a:rPr>
            </a:br>
            <a:r>
              <a:rPr lang="el-GR" sz="1200" dirty="0">
                <a:latin typeface="Microsoft JhengHei UI" panose="020B0604030504040204" pitchFamily="34" charset="-120"/>
                <a:ea typeface="Microsoft JhengHei UI" panose="020B0604030504040204" pitchFamily="34" charset="-120"/>
                <a:cs typeface="Microsoft Sans Serif" panose="020B0604020202020204" pitchFamily="34" charset="0"/>
              </a:rPr>
              <a:t> - Ανά κατηγορία -</a:t>
            </a:r>
            <a:endParaRPr lang="el-GR" sz="1200"/>
          </a:p>
        </c:rich>
      </c:tx>
      <c:overlay val="0"/>
      <c:spPr>
        <a:noFill/>
        <a:ln>
          <a:noFill/>
        </a:ln>
        <a:effectLst/>
      </c:spPr>
    </c:title>
    <c:autoTitleDeleted val="0"/>
    <c:plotArea>
      <c:layout/>
      <c:barChart>
        <c:barDir val="bar"/>
        <c:grouping val="stacked"/>
        <c:varyColors val="0"/>
        <c:ser>
          <c:idx val="0"/>
          <c:order val="0"/>
          <c:tx>
            <c:strRef>
              <c:f>'γραφημα 10γ (2)'!$B$1:$B$2</c:f>
              <c:strCache>
                <c:ptCount val="2"/>
                <c:pt idx="0">
                  <c:v>Αυξήθηκε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'γραφημα 10γ (2)'!$A$3:$A$26</c:f>
              <c:strCache>
                <c:ptCount val="24"/>
                <c:pt idx="0">
                  <c:v>Εμπόριο</c:v>
                </c:pt>
                <c:pt idx="1">
                  <c:v>Μεταποίηση- βιοτεχνία</c:v>
                </c:pt>
                <c:pt idx="2">
                  <c:v>Υπηρεσίες</c:v>
                </c:pt>
                <c:pt idx="3">
                  <c:v>ΝΟΜΙΚΗ ΜΟΡΦΗ</c:v>
                </c:pt>
                <c:pt idx="4">
                  <c:v>Α.Ε.</c:v>
                </c:pt>
                <c:pt idx="5">
                  <c:v>Ο.Ε.-Ε.Ε./Ε.Π.Ε.</c:v>
                </c:pt>
                <c:pt idx="6">
                  <c:v>Ι.Κ.Ε.</c:v>
                </c:pt>
                <c:pt idx="7">
                  <c:v>Ατομική</c:v>
                </c:pt>
                <c:pt idx="8">
                  <c:v>ΕΤΗΣΙΟΣ ΤΖΙΡΟΣ</c:v>
                </c:pt>
                <c:pt idx="9">
                  <c:v>Έως 50.000</c:v>
                </c:pt>
                <c:pt idx="10">
                  <c:v>50.000-100.000</c:v>
                </c:pt>
                <c:pt idx="11">
                  <c:v>100.000- 300.000</c:v>
                </c:pt>
                <c:pt idx="12">
                  <c:v>Πάνω από 300.000</c:v>
                </c:pt>
                <c:pt idx="13">
                  <c:v>ΠΕΡΙΟΧΗ</c:v>
                </c:pt>
                <c:pt idx="14">
                  <c:v>EL1_ATTIKH</c:v>
                </c:pt>
                <c:pt idx="15">
                  <c:v>EL2_ΝΗΣΙΑ ΑΙΓΑΙΟΥ &amp; ΚΡΗΤΗ</c:v>
                </c:pt>
                <c:pt idx="16">
                  <c:v>EL3_ΒΟΡΕΙΑ ΕΛΛΑΔΑ</c:v>
                </c:pt>
                <c:pt idx="17">
                  <c:v>EL4_ΚΕΝΤΡΙΚΗ ΕΛΛΑΔΑ</c:v>
                </c:pt>
                <c:pt idx="18">
                  <c:v>ΑΡ. ΕΡΓΑΖΟΜΕΝΩΝ</c:v>
                </c:pt>
                <c:pt idx="19">
                  <c:v>Χωρίς προσωπικό</c:v>
                </c:pt>
                <c:pt idx="20">
                  <c:v>1 άτομο</c:v>
                </c:pt>
                <c:pt idx="21">
                  <c:v>2-3 άτομα</c:v>
                </c:pt>
                <c:pt idx="22">
                  <c:v>4-5 άτομα</c:v>
                </c:pt>
                <c:pt idx="23">
                  <c:v>Πάνω από 5 άτομα</c:v>
                </c:pt>
              </c:strCache>
            </c:strRef>
          </c:cat>
          <c:val>
            <c:numRef>
              <c:f>'γραφημα 10γ (2)'!$B$3:$B$26</c:f>
              <c:numCache>
                <c:formatCode>General</c:formatCode>
                <c:ptCount val="24"/>
                <c:pt idx="0">
                  <c:v>7</c:v>
                </c:pt>
                <c:pt idx="1">
                  <c:v>15.1</c:v>
                </c:pt>
                <c:pt idx="2">
                  <c:v>10.6</c:v>
                </c:pt>
                <c:pt idx="4">
                  <c:v>27.3</c:v>
                </c:pt>
                <c:pt idx="5">
                  <c:v>17.100000000000001</c:v>
                </c:pt>
                <c:pt idx="6">
                  <c:v>22</c:v>
                </c:pt>
                <c:pt idx="7">
                  <c:v>5.6</c:v>
                </c:pt>
                <c:pt idx="9">
                  <c:v>2.7</c:v>
                </c:pt>
                <c:pt idx="10">
                  <c:v>6.3</c:v>
                </c:pt>
                <c:pt idx="11">
                  <c:v>8.5</c:v>
                </c:pt>
                <c:pt idx="12">
                  <c:v>35.4</c:v>
                </c:pt>
                <c:pt idx="14">
                  <c:v>7.8</c:v>
                </c:pt>
                <c:pt idx="15">
                  <c:v>17</c:v>
                </c:pt>
                <c:pt idx="16">
                  <c:v>12.5</c:v>
                </c:pt>
                <c:pt idx="17">
                  <c:v>8</c:v>
                </c:pt>
                <c:pt idx="19">
                  <c:v>0.4</c:v>
                </c:pt>
                <c:pt idx="20">
                  <c:v>3.8</c:v>
                </c:pt>
                <c:pt idx="21">
                  <c:v>11.7</c:v>
                </c:pt>
                <c:pt idx="22">
                  <c:v>19.7</c:v>
                </c:pt>
                <c:pt idx="23">
                  <c:v>37.1</c:v>
                </c:pt>
              </c:numCache>
            </c:numRef>
          </c:val>
          <c:extLst>
            <c:ext xmlns:c16="http://schemas.microsoft.com/office/drawing/2014/chart" uri="{C3380CC4-5D6E-409C-BE32-E72D297353CC}">
              <c16:uniqueId val="{00000000-AD38-4A13-A0B2-6D2B73EAA0A9}"/>
            </c:ext>
          </c:extLst>
        </c:ser>
        <c:ser>
          <c:idx val="1"/>
          <c:order val="1"/>
          <c:tx>
            <c:strRef>
              <c:f>'γραφημα 10γ (2)'!$C$1:$C$2</c:f>
              <c:strCache>
                <c:ptCount val="2"/>
                <c:pt idx="0">
                  <c:v>Μειώθηκε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'γραφημα 10γ (2)'!$A$3:$A$26</c:f>
              <c:strCache>
                <c:ptCount val="24"/>
                <c:pt idx="0">
                  <c:v>Εμπόριο</c:v>
                </c:pt>
                <c:pt idx="1">
                  <c:v>Μεταποίηση- βιοτεχνία</c:v>
                </c:pt>
                <c:pt idx="2">
                  <c:v>Υπηρεσίες</c:v>
                </c:pt>
                <c:pt idx="3">
                  <c:v>ΝΟΜΙΚΗ ΜΟΡΦΗ</c:v>
                </c:pt>
                <c:pt idx="4">
                  <c:v>Α.Ε.</c:v>
                </c:pt>
                <c:pt idx="5">
                  <c:v>Ο.Ε.-Ε.Ε./Ε.Π.Ε.</c:v>
                </c:pt>
                <c:pt idx="6">
                  <c:v>Ι.Κ.Ε.</c:v>
                </c:pt>
                <c:pt idx="7">
                  <c:v>Ατομική</c:v>
                </c:pt>
                <c:pt idx="8">
                  <c:v>ΕΤΗΣΙΟΣ ΤΖΙΡΟΣ</c:v>
                </c:pt>
                <c:pt idx="9">
                  <c:v>Έως 50.000</c:v>
                </c:pt>
                <c:pt idx="10">
                  <c:v>50.000-100.000</c:v>
                </c:pt>
                <c:pt idx="11">
                  <c:v>100.000- 300.000</c:v>
                </c:pt>
                <c:pt idx="12">
                  <c:v>Πάνω από 300.000</c:v>
                </c:pt>
                <c:pt idx="13">
                  <c:v>ΠΕΡΙΟΧΗ</c:v>
                </c:pt>
                <c:pt idx="14">
                  <c:v>EL1_ATTIKH</c:v>
                </c:pt>
                <c:pt idx="15">
                  <c:v>EL2_ΝΗΣΙΑ ΑΙΓΑΙΟΥ &amp; ΚΡΗΤΗ</c:v>
                </c:pt>
                <c:pt idx="16">
                  <c:v>EL3_ΒΟΡΕΙΑ ΕΛΛΑΔΑ</c:v>
                </c:pt>
                <c:pt idx="17">
                  <c:v>EL4_ΚΕΝΤΡΙΚΗ ΕΛΛΑΔΑ</c:v>
                </c:pt>
                <c:pt idx="18">
                  <c:v>ΑΡ. ΕΡΓΑΖΟΜΕΝΩΝ</c:v>
                </c:pt>
                <c:pt idx="19">
                  <c:v>Χωρίς προσωπικό</c:v>
                </c:pt>
                <c:pt idx="20">
                  <c:v>1 άτομο</c:v>
                </c:pt>
                <c:pt idx="21">
                  <c:v>2-3 άτομα</c:v>
                </c:pt>
                <c:pt idx="22">
                  <c:v>4-5 άτομα</c:v>
                </c:pt>
                <c:pt idx="23">
                  <c:v>Πάνω από 5 άτομα</c:v>
                </c:pt>
              </c:strCache>
            </c:strRef>
          </c:cat>
          <c:val>
            <c:numRef>
              <c:f>'γραφημα 10γ (2)'!$C$3:$C$26</c:f>
              <c:numCache>
                <c:formatCode>General</c:formatCode>
                <c:ptCount val="24"/>
                <c:pt idx="0">
                  <c:v>4.7</c:v>
                </c:pt>
                <c:pt idx="1">
                  <c:v>7.3</c:v>
                </c:pt>
                <c:pt idx="2">
                  <c:v>8</c:v>
                </c:pt>
                <c:pt idx="4">
                  <c:v>4.5</c:v>
                </c:pt>
                <c:pt idx="5">
                  <c:v>7.2</c:v>
                </c:pt>
                <c:pt idx="6">
                  <c:v>4.9000000000000004</c:v>
                </c:pt>
                <c:pt idx="7">
                  <c:v>6.8</c:v>
                </c:pt>
                <c:pt idx="9">
                  <c:v>5.8</c:v>
                </c:pt>
                <c:pt idx="10">
                  <c:v>6.9</c:v>
                </c:pt>
                <c:pt idx="11">
                  <c:v>7.7</c:v>
                </c:pt>
                <c:pt idx="12">
                  <c:v>7.9</c:v>
                </c:pt>
                <c:pt idx="14">
                  <c:v>6.5</c:v>
                </c:pt>
                <c:pt idx="15">
                  <c:v>4.7</c:v>
                </c:pt>
                <c:pt idx="16">
                  <c:v>7.4</c:v>
                </c:pt>
                <c:pt idx="17">
                  <c:v>6.9</c:v>
                </c:pt>
                <c:pt idx="19">
                  <c:v>4.5999999999999996</c:v>
                </c:pt>
                <c:pt idx="20">
                  <c:v>6.3</c:v>
                </c:pt>
                <c:pt idx="21">
                  <c:v>7.8</c:v>
                </c:pt>
                <c:pt idx="22">
                  <c:v>6.6</c:v>
                </c:pt>
                <c:pt idx="23">
                  <c:v>10.3</c:v>
                </c:pt>
              </c:numCache>
            </c:numRef>
          </c:val>
          <c:extLst>
            <c:ext xmlns:c16="http://schemas.microsoft.com/office/drawing/2014/chart" uri="{C3380CC4-5D6E-409C-BE32-E72D297353CC}">
              <c16:uniqueId val="{00000001-AD38-4A13-A0B2-6D2B73EAA0A9}"/>
            </c:ext>
          </c:extLst>
        </c:ser>
        <c:ser>
          <c:idx val="2"/>
          <c:order val="2"/>
          <c:tx>
            <c:strRef>
              <c:f>'γραφημα 10γ (2)'!$D$1:$D$2</c:f>
              <c:strCache>
                <c:ptCount val="2"/>
                <c:pt idx="0">
                  <c:v>Παρέμεινε σταθερό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'γραφημα 10γ (2)'!$A$3:$A$26</c:f>
              <c:strCache>
                <c:ptCount val="24"/>
                <c:pt idx="0">
                  <c:v>Εμπόριο</c:v>
                </c:pt>
                <c:pt idx="1">
                  <c:v>Μεταποίηση- βιοτεχνία</c:v>
                </c:pt>
                <c:pt idx="2">
                  <c:v>Υπηρεσίες</c:v>
                </c:pt>
                <c:pt idx="3">
                  <c:v>ΝΟΜΙΚΗ ΜΟΡΦΗ</c:v>
                </c:pt>
                <c:pt idx="4">
                  <c:v>Α.Ε.</c:v>
                </c:pt>
                <c:pt idx="5">
                  <c:v>Ο.Ε.-Ε.Ε./Ε.Π.Ε.</c:v>
                </c:pt>
                <c:pt idx="6">
                  <c:v>Ι.Κ.Ε.</c:v>
                </c:pt>
                <c:pt idx="7">
                  <c:v>Ατομική</c:v>
                </c:pt>
                <c:pt idx="8">
                  <c:v>ΕΤΗΣΙΟΣ ΤΖΙΡΟΣ</c:v>
                </c:pt>
                <c:pt idx="9">
                  <c:v>Έως 50.000</c:v>
                </c:pt>
                <c:pt idx="10">
                  <c:v>50.000-100.000</c:v>
                </c:pt>
                <c:pt idx="11">
                  <c:v>100.000- 300.000</c:v>
                </c:pt>
                <c:pt idx="12">
                  <c:v>Πάνω από 300.000</c:v>
                </c:pt>
                <c:pt idx="13">
                  <c:v>ΠΕΡΙΟΧΗ</c:v>
                </c:pt>
                <c:pt idx="14">
                  <c:v>EL1_ATTIKH</c:v>
                </c:pt>
                <c:pt idx="15">
                  <c:v>EL2_ΝΗΣΙΑ ΑΙΓΑΙΟΥ &amp; ΚΡΗΤΗ</c:v>
                </c:pt>
                <c:pt idx="16">
                  <c:v>EL3_ΒΟΡΕΙΑ ΕΛΛΑΔΑ</c:v>
                </c:pt>
                <c:pt idx="17">
                  <c:v>EL4_ΚΕΝΤΡΙΚΗ ΕΛΛΑΔΑ</c:v>
                </c:pt>
                <c:pt idx="18">
                  <c:v>ΑΡ. ΕΡΓΑΖΟΜΕΝΩΝ</c:v>
                </c:pt>
                <c:pt idx="19">
                  <c:v>Χωρίς προσωπικό</c:v>
                </c:pt>
                <c:pt idx="20">
                  <c:v>1 άτομο</c:v>
                </c:pt>
                <c:pt idx="21">
                  <c:v>2-3 άτομα</c:v>
                </c:pt>
                <c:pt idx="22">
                  <c:v>4-5 άτομα</c:v>
                </c:pt>
                <c:pt idx="23">
                  <c:v>Πάνω από 5 άτομα</c:v>
                </c:pt>
              </c:strCache>
            </c:strRef>
          </c:cat>
          <c:val>
            <c:numRef>
              <c:f>'γραφημα 10γ (2)'!$D$3:$D$26</c:f>
              <c:numCache>
                <c:formatCode>General</c:formatCode>
                <c:ptCount val="24"/>
                <c:pt idx="0">
                  <c:v>88.3</c:v>
                </c:pt>
                <c:pt idx="1">
                  <c:v>77.599999999999994</c:v>
                </c:pt>
                <c:pt idx="2">
                  <c:v>81.099999999999994</c:v>
                </c:pt>
                <c:pt idx="4">
                  <c:v>65.900000000000006</c:v>
                </c:pt>
                <c:pt idx="5">
                  <c:v>75.7</c:v>
                </c:pt>
                <c:pt idx="6">
                  <c:v>73.2</c:v>
                </c:pt>
                <c:pt idx="7">
                  <c:v>87.6</c:v>
                </c:pt>
                <c:pt idx="9">
                  <c:v>91.5</c:v>
                </c:pt>
                <c:pt idx="10">
                  <c:v>86.8</c:v>
                </c:pt>
                <c:pt idx="11">
                  <c:v>83.8</c:v>
                </c:pt>
                <c:pt idx="12">
                  <c:v>55.9</c:v>
                </c:pt>
                <c:pt idx="14">
                  <c:v>85.7</c:v>
                </c:pt>
                <c:pt idx="15">
                  <c:v>77.400000000000006</c:v>
                </c:pt>
                <c:pt idx="16">
                  <c:v>80.099999999999994</c:v>
                </c:pt>
                <c:pt idx="17">
                  <c:v>85.1</c:v>
                </c:pt>
                <c:pt idx="19">
                  <c:v>95.1</c:v>
                </c:pt>
                <c:pt idx="20">
                  <c:v>90</c:v>
                </c:pt>
                <c:pt idx="21">
                  <c:v>80.599999999999994</c:v>
                </c:pt>
                <c:pt idx="22">
                  <c:v>73.8</c:v>
                </c:pt>
                <c:pt idx="23">
                  <c:v>51.7</c:v>
                </c:pt>
              </c:numCache>
            </c:numRef>
          </c:val>
          <c:extLst>
            <c:ext xmlns:c16="http://schemas.microsoft.com/office/drawing/2014/chart" uri="{C3380CC4-5D6E-409C-BE32-E72D297353CC}">
              <c16:uniqueId val="{00000002-AD38-4A13-A0B2-6D2B73EAA0A9}"/>
            </c:ext>
          </c:extLst>
        </c:ser>
        <c:ser>
          <c:idx val="3"/>
          <c:order val="3"/>
          <c:tx>
            <c:strRef>
              <c:f>'γραφημα 10γ (2)'!$E$1:$E$2</c:f>
              <c:strCache>
                <c:ptCount val="2"/>
                <c:pt idx="0">
                  <c:v>ΔΑ</c:v>
                </c:pt>
              </c:strCache>
            </c:strRef>
          </c:tx>
          <c:spPr>
            <a:solidFill>
              <a:schemeClr val="accent4"/>
            </a:solidFill>
            <a:ln>
              <a:noFill/>
            </a:ln>
            <a:effectLst/>
          </c:spPr>
          <c:invertIfNegative val="0"/>
          <c:cat>
            <c:strRef>
              <c:f>'γραφημα 10γ (2)'!$A$3:$A$26</c:f>
              <c:strCache>
                <c:ptCount val="24"/>
                <c:pt idx="0">
                  <c:v>Εμπόριο</c:v>
                </c:pt>
                <c:pt idx="1">
                  <c:v>Μεταποίηση- βιοτεχνία</c:v>
                </c:pt>
                <c:pt idx="2">
                  <c:v>Υπηρεσίες</c:v>
                </c:pt>
                <c:pt idx="3">
                  <c:v>ΝΟΜΙΚΗ ΜΟΡΦΗ</c:v>
                </c:pt>
                <c:pt idx="4">
                  <c:v>Α.Ε.</c:v>
                </c:pt>
                <c:pt idx="5">
                  <c:v>Ο.Ε.-Ε.Ε./Ε.Π.Ε.</c:v>
                </c:pt>
                <c:pt idx="6">
                  <c:v>Ι.Κ.Ε.</c:v>
                </c:pt>
                <c:pt idx="7">
                  <c:v>Ατομική</c:v>
                </c:pt>
                <c:pt idx="8">
                  <c:v>ΕΤΗΣΙΟΣ ΤΖΙΡΟΣ</c:v>
                </c:pt>
                <c:pt idx="9">
                  <c:v>Έως 50.000</c:v>
                </c:pt>
                <c:pt idx="10">
                  <c:v>50.000-100.000</c:v>
                </c:pt>
                <c:pt idx="11">
                  <c:v>100.000- 300.000</c:v>
                </c:pt>
                <c:pt idx="12">
                  <c:v>Πάνω από 300.000</c:v>
                </c:pt>
                <c:pt idx="13">
                  <c:v>ΠΕΡΙΟΧΗ</c:v>
                </c:pt>
                <c:pt idx="14">
                  <c:v>EL1_ATTIKH</c:v>
                </c:pt>
                <c:pt idx="15">
                  <c:v>EL2_ΝΗΣΙΑ ΑΙΓΑΙΟΥ &amp; ΚΡΗΤΗ</c:v>
                </c:pt>
                <c:pt idx="16">
                  <c:v>EL3_ΒΟΡΕΙΑ ΕΛΛΑΔΑ</c:v>
                </c:pt>
                <c:pt idx="17">
                  <c:v>EL4_ΚΕΝΤΡΙΚΗ ΕΛΛΑΔΑ</c:v>
                </c:pt>
                <c:pt idx="18">
                  <c:v>ΑΡ. ΕΡΓΑΖΟΜΕΝΩΝ</c:v>
                </c:pt>
                <c:pt idx="19">
                  <c:v>Χωρίς προσωπικό</c:v>
                </c:pt>
                <c:pt idx="20">
                  <c:v>1 άτομο</c:v>
                </c:pt>
                <c:pt idx="21">
                  <c:v>2-3 άτομα</c:v>
                </c:pt>
                <c:pt idx="22">
                  <c:v>4-5 άτομα</c:v>
                </c:pt>
                <c:pt idx="23">
                  <c:v>Πάνω από 5 άτομα</c:v>
                </c:pt>
              </c:strCache>
            </c:strRef>
          </c:cat>
          <c:val>
            <c:numRef>
              <c:f>'γραφημα 10γ (2)'!$E$3:$E$26</c:f>
              <c:numCache>
                <c:formatCode>General</c:formatCode>
                <c:ptCount val="24"/>
                <c:pt idx="0">
                  <c:v>0</c:v>
                </c:pt>
                <c:pt idx="1">
                  <c:v>0</c:v>
                </c:pt>
                <c:pt idx="2">
                  <c:v>0.3</c:v>
                </c:pt>
                <c:pt idx="4">
                  <c:v>2.2999999999999998</c:v>
                </c:pt>
                <c:pt idx="5">
                  <c:v>0</c:v>
                </c:pt>
                <c:pt idx="6">
                  <c:v>0</c:v>
                </c:pt>
                <c:pt idx="7">
                  <c:v>0</c:v>
                </c:pt>
                <c:pt idx="9">
                  <c:v>0</c:v>
                </c:pt>
                <c:pt idx="10">
                  <c:v>0</c:v>
                </c:pt>
                <c:pt idx="11">
                  <c:v>0</c:v>
                </c:pt>
                <c:pt idx="12">
                  <c:v>0.8</c:v>
                </c:pt>
                <c:pt idx="14">
                  <c:v>0</c:v>
                </c:pt>
                <c:pt idx="15">
                  <c:v>0.9</c:v>
                </c:pt>
                <c:pt idx="16">
                  <c:v>0</c:v>
                </c:pt>
                <c:pt idx="17">
                  <c:v>0</c:v>
                </c:pt>
                <c:pt idx="19">
                  <c:v>0</c:v>
                </c:pt>
                <c:pt idx="20">
                  <c:v>0</c:v>
                </c:pt>
                <c:pt idx="21">
                  <c:v>0</c:v>
                </c:pt>
                <c:pt idx="22">
                  <c:v>0</c:v>
                </c:pt>
                <c:pt idx="23">
                  <c:v>0.9</c:v>
                </c:pt>
              </c:numCache>
            </c:numRef>
          </c:val>
          <c:extLst>
            <c:ext xmlns:c16="http://schemas.microsoft.com/office/drawing/2014/chart" uri="{C3380CC4-5D6E-409C-BE32-E72D297353CC}">
              <c16:uniqueId val="{00000003-AD38-4A13-A0B2-6D2B73EAA0A9}"/>
            </c:ext>
          </c:extLst>
        </c:ser>
        <c:dLbls>
          <c:showLegendKey val="0"/>
          <c:showVal val="0"/>
          <c:showCatName val="0"/>
          <c:showSerName val="0"/>
          <c:showPercent val="0"/>
          <c:showBubbleSize val="0"/>
        </c:dLbls>
        <c:gapWidth val="150"/>
        <c:overlap val="100"/>
        <c:axId val="330845184"/>
        <c:axId val="330851072"/>
      </c:barChart>
      <c:catAx>
        <c:axId val="330845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30851072"/>
        <c:crosses val="autoZero"/>
        <c:auto val="1"/>
        <c:lblAlgn val="ctr"/>
        <c:lblOffset val="100"/>
        <c:noMultiLvlLbl val="0"/>
      </c:catAx>
      <c:valAx>
        <c:axId val="330851072"/>
        <c:scaling>
          <c:orientation val="minMax"/>
          <c:max val="100"/>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0845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Γράφημα</a:t>
            </a:r>
            <a:r>
              <a:rPr lang="el-GR" baseline="0"/>
              <a:t> 12</a:t>
            </a:r>
          </a:p>
          <a:p>
            <a:pPr>
              <a:defRPr sz="1400" b="0" i="0" u="none" strike="noStrike" kern="1200" spc="0" baseline="0">
                <a:solidFill>
                  <a:schemeClr val="tx1">
                    <a:lumMod val="65000"/>
                    <a:lumOff val="35000"/>
                  </a:schemeClr>
                </a:solidFill>
                <a:latin typeface="+mn-lt"/>
                <a:ea typeface="+mn-ea"/>
                <a:cs typeface="+mn-cs"/>
              </a:defRPr>
            </a:pPr>
            <a:r>
              <a:rPr lang="el-GR" baseline="0"/>
              <a:t>Αντιμετωπίζετε πρόβλημα στην εξεύρεση προσωπικού;</a:t>
            </a:r>
            <a:endParaRPr lang="el-GR"/>
          </a:p>
        </c:rich>
      </c:tx>
      <c:overlay val="0"/>
      <c:spPr>
        <a:noFill/>
        <a:ln>
          <a:noFill/>
        </a:ln>
        <a:effectLst/>
      </c:spPr>
    </c:title>
    <c:autoTitleDeleted val="0"/>
    <c:plotArea>
      <c:layout/>
      <c:pieChart>
        <c:varyColors val="1"/>
        <c:ser>
          <c:idx val="0"/>
          <c:order val="0"/>
          <c:dPt>
            <c:idx val="0"/>
            <c:bubble3D val="0"/>
            <c:spPr>
              <a:solidFill>
                <a:srgbClr val="FF0000"/>
              </a:solidFill>
              <a:ln w="19050">
                <a:solidFill>
                  <a:schemeClr val="lt1"/>
                </a:solidFill>
              </a:ln>
              <a:effectLst/>
            </c:spPr>
            <c:extLst>
              <c:ext xmlns:c16="http://schemas.microsoft.com/office/drawing/2014/chart" uri="{C3380CC4-5D6E-409C-BE32-E72D297353CC}">
                <c16:uniqueId val="{00000001-61A2-48A1-AABB-E109AC67A03D}"/>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61A2-48A1-AABB-E109AC67A03D}"/>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61A2-48A1-AABB-E109AC67A03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Γ12!$B$1:$D$1</c:f>
              <c:strCache>
                <c:ptCount val="3"/>
                <c:pt idx="0">
                  <c:v>Ναι</c:v>
                </c:pt>
                <c:pt idx="1">
                  <c:v>Όχι</c:v>
                </c:pt>
                <c:pt idx="2">
                  <c:v>Δεν απασχολώ προσωπικό</c:v>
                </c:pt>
              </c:strCache>
            </c:strRef>
          </c:cat>
          <c:val>
            <c:numRef>
              <c:f>Γ12!$B$2:$D$2</c:f>
              <c:numCache>
                <c:formatCode>General</c:formatCode>
                <c:ptCount val="3"/>
                <c:pt idx="0">
                  <c:v>35.200000000000003</c:v>
                </c:pt>
                <c:pt idx="1">
                  <c:v>34.6</c:v>
                </c:pt>
                <c:pt idx="2">
                  <c:v>30.1</c:v>
                </c:pt>
              </c:numCache>
            </c:numRef>
          </c:val>
          <c:extLst>
            <c:ext xmlns:c16="http://schemas.microsoft.com/office/drawing/2014/chart" uri="{C3380CC4-5D6E-409C-BE32-E72D297353CC}">
              <c16:uniqueId val="{00000006-61A2-48A1-AABB-E109AC67A03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el-GR" sz="1400" b="0" i="0" u="none" strike="noStrike" baseline="0">
                <a:solidFill>
                  <a:sysClr val="windowText" lastClr="000000">
                    <a:lumMod val="65000"/>
                    <a:lumOff val="35000"/>
                  </a:sysClr>
                </a:solidFill>
                <a:latin typeface="Calibri" panose="020F0502020204030204"/>
              </a:rPr>
              <a:t>Γράφημα 13 </a:t>
            </a:r>
          </a:p>
          <a:p>
            <a:pPr>
              <a:defRPr sz="1400" b="0" i="0" u="none" strike="noStrike" baseline="0">
                <a:solidFill>
                  <a:schemeClr val="tx1">
                    <a:lumMod val="65000"/>
                    <a:lumOff val="35000"/>
                  </a:schemeClr>
                </a:solidFill>
                <a:latin typeface="+mn-lt"/>
                <a:ea typeface="+mn-ea"/>
                <a:cs typeface="+mn-cs"/>
              </a:defRPr>
            </a:pPr>
            <a:r>
              <a:rPr lang="el-GR" sz="1400" b="0" i="0" u="none" strike="noStrike" baseline="0">
                <a:solidFill>
                  <a:sysClr val="windowText" lastClr="000000">
                    <a:lumMod val="65000"/>
                    <a:lumOff val="35000"/>
                  </a:sysClr>
                </a:solidFill>
                <a:latin typeface="Calibri" panose="020F0502020204030204"/>
              </a:rPr>
              <a:t>Πόσους εργαζόμενους χρειάζεστε και δεν μπορείτε να βρείτε </a:t>
            </a:r>
          </a:p>
          <a:p>
            <a:pPr>
              <a:defRPr sz="1400" b="0" i="0" u="none" strike="noStrike" baseline="0">
                <a:solidFill>
                  <a:schemeClr val="tx1">
                    <a:lumMod val="65000"/>
                    <a:lumOff val="35000"/>
                  </a:schemeClr>
                </a:solidFill>
                <a:latin typeface="+mn-lt"/>
                <a:ea typeface="+mn-ea"/>
                <a:cs typeface="+mn-cs"/>
              </a:defRPr>
            </a:pPr>
            <a:r>
              <a:rPr lang="el-GR" sz="1400" b="0" i="0" u="none" strike="noStrike" baseline="0">
                <a:solidFill>
                  <a:sysClr val="windowText" lastClr="000000">
                    <a:lumMod val="65000"/>
                    <a:lumOff val="35000"/>
                  </a:sysClr>
                </a:solidFill>
                <a:latin typeface="Calibri" panose="020F0502020204030204"/>
              </a:rPr>
              <a:t>-Όσοι απάντησαν ότι δυσκολεύονται να βρουν εργαζομένους-</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65000"/>
                        <a:lumOff val="3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Γ13!$A$2:$A$6</c:f>
              <c:strCache>
                <c:ptCount val="5"/>
                <c:pt idx="0">
                  <c:v>1 εργαζόμενο</c:v>
                </c:pt>
                <c:pt idx="1">
                  <c:v>2 εργαζομένους</c:v>
                </c:pt>
                <c:pt idx="2">
                  <c:v>3 με 5</c:v>
                </c:pt>
                <c:pt idx="3">
                  <c:v>Πάνω από 5</c:v>
                </c:pt>
                <c:pt idx="4">
                  <c:v>ΔΞ/ΔΑ</c:v>
                </c:pt>
              </c:strCache>
            </c:strRef>
          </c:cat>
          <c:val>
            <c:numRef>
              <c:f>Γ13!$B$2:$B$6</c:f>
              <c:numCache>
                <c:formatCode>General</c:formatCode>
                <c:ptCount val="5"/>
                <c:pt idx="0">
                  <c:v>33.6</c:v>
                </c:pt>
                <c:pt idx="1">
                  <c:v>26.9</c:v>
                </c:pt>
                <c:pt idx="2">
                  <c:v>16.600000000000001</c:v>
                </c:pt>
                <c:pt idx="3">
                  <c:v>2.1</c:v>
                </c:pt>
                <c:pt idx="4">
                  <c:v>20.8</c:v>
                </c:pt>
              </c:numCache>
            </c:numRef>
          </c:val>
          <c:extLst>
            <c:ext xmlns:c16="http://schemas.microsoft.com/office/drawing/2014/chart" uri="{C3380CC4-5D6E-409C-BE32-E72D297353CC}">
              <c16:uniqueId val="{00000000-64B9-4F84-B5D0-1C8430CE43C5}"/>
            </c:ext>
          </c:extLst>
        </c:ser>
        <c:dLbls>
          <c:showLegendKey val="0"/>
          <c:showVal val="1"/>
          <c:showCatName val="0"/>
          <c:showSerName val="0"/>
          <c:showPercent val="0"/>
          <c:showBubbleSize val="0"/>
        </c:dLbls>
        <c:gapWidth val="6"/>
        <c:axId val="331723904"/>
        <c:axId val="331939840"/>
      </c:barChart>
      <c:catAx>
        <c:axId val="331723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l-GR"/>
          </a:p>
        </c:txPr>
        <c:crossAx val="331939840"/>
        <c:crosses val="autoZero"/>
        <c:auto val="1"/>
        <c:lblAlgn val="ctr"/>
        <c:lblOffset val="100"/>
        <c:noMultiLvlLbl val="0"/>
      </c:catAx>
      <c:valAx>
        <c:axId val="331939840"/>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17239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Γράφημα 14</a:t>
            </a:r>
          </a:p>
          <a:p>
            <a:pPr>
              <a:defRPr sz="1400" b="0" i="0" u="none" strike="noStrike" kern="1200" spc="0" baseline="0">
                <a:solidFill>
                  <a:schemeClr val="tx1">
                    <a:lumMod val="65000"/>
                    <a:lumOff val="35000"/>
                  </a:schemeClr>
                </a:solidFill>
                <a:latin typeface="+mn-lt"/>
                <a:ea typeface="+mn-ea"/>
                <a:cs typeface="+mn-cs"/>
              </a:defRPr>
            </a:pPr>
            <a:r>
              <a:rPr lang="el-GR"/>
              <a:t> Ειδικότητες κενών θέσεων εργασίας</a:t>
            </a:r>
          </a:p>
        </c:rich>
      </c:tx>
      <c:overlay val="0"/>
      <c:spPr>
        <a:noFill/>
        <a:ln>
          <a:noFill/>
        </a:ln>
        <a:effectLst/>
      </c:spPr>
    </c:title>
    <c:autoTitleDeleted val="0"/>
    <c:plotArea>
      <c:layout/>
      <c:barChart>
        <c:barDir val="bar"/>
        <c:grouping val="clustered"/>
        <c:varyColors val="0"/>
        <c:ser>
          <c:idx val="0"/>
          <c:order val="0"/>
          <c:tx>
            <c:strRef>
              <c:f>Γ14!$B$1</c:f>
              <c:strCache>
                <c:ptCount val="1"/>
                <c:pt idx="0">
                  <c:v>Στήλη1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Γ14!$A$2:$A$8</c:f>
              <c:strCache>
                <c:ptCount val="7"/>
                <c:pt idx="0">
                  <c:v>Ειδικευμένοι τεχνίτες/ χειριστές μηχανημάτων</c:v>
                </c:pt>
                <c:pt idx="1">
                  <c:v>Εργάτες/ Βοηθοί μαστόρων/ Καθαρίστριες </c:v>
                </c:pt>
                <c:pt idx="2">
                  <c:v>Τουρισμός/Σέρβις/Μάγειρες και ζαχαροπλάστες </c:v>
                </c:pt>
                <c:pt idx="3">
                  <c:v>Ειδικευμένοι επιστήμονες </c:v>
                </c:pt>
                <c:pt idx="4">
                  <c:v>Πωλητές/ Ταμίες/ Εμπόριο </c:v>
                </c:pt>
                <c:pt idx="5">
                  <c:v>Οδηγοί/ Ντιλίβερι </c:v>
                </c:pt>
                <c:pt idx="6">
                  <c:v>Υπάλληλοι γραφείου </c:v>
                </c:pt>
              </c:strCache>
            </c:strRef>
          </c:cat>
          <c:val>
            <c:numRef>
              <c:f>Γ14!$B$2:$B$8</c:f>
              <c:numCache>
                <c:formatCode>General</c:formatCode>
                <c:ptCount val="7"/>
                <c:pt idx="0">
                  <c:v>37.1</c:v>
                </c:pt>
                <c:pt idx="1">
                  <c:v>17.899999999999999</c:v>
                </c:pt>
                <c:pt idx="2">
                  <c:v>13.2</c:v>
                </c:pt>
                <c:pt idx="3">
                  <c:v>11.1</c:v>
                </c:pt>
                <c:pt idx="4">
                  <c:v>11.1</c:v>
                </c:pt>
                <c:pt idx="5">
                  <c:v>5.4</c:v>
                </c:pt>
                <c:pt idx="6">
                  <c:v>4.3</c:v>
                </c:pt>
              </c:numCache>
            </c:numRef>
          </c:val>
          <c:extLst>
            <c:ext xmlns:c16="http://schemas.microsoft.com/office/drawing/2014/chart" uri="{C3380CC4-5D6E-409C-BE32-E72D297353CC}">
              <c16:uniqueId val="{00000000-C496-4E3E-BEBF-5548ACCD22E0}"/>
            </c:ext>
          </c:extLst>
        </c:ser>
        <c:dLbls>
          <c:showLegendKey val="0"/>
          <c:showVal val="0"/>
          <c:showCatName val="0"/>
          <c:showSerName val="0"/>
          <c:showPercent val="0"/>
          <c:showBubbleSize val="0"/>
        </c:dLbls>
        <c:gapWidth val="182"/>
        <c:axId val="331506048"/>
        <c:axId val="331507584"/>
      </c:barChart>
      <c:catAx>
        <c:axId val="331506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31507584"/>
        <c:crosses val="autoZero"/>
        <c:auto val="1"/>
        <c:lblAlgn val="ctr"/>
        <c:lblOffset val="100"/>
        <c:noMultiLvlLbl val="0"/>
      </c:catAx>
      <c:valAx>
        <c:axId val="331507584"/>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150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Γράφημα 15 Κύριοι παράγοντες έλλειψης προσωπικού (</a:t>
            </a:r>
            <a:r>
              <a:rPr lang="el-GR" baseline="0"/>
              <a:t> έως </a:t>
            </a:r>
            <a:r>
              <a:rPr lang="el-GR"/>
              <a:t>2 απαντήσεις)</a:t>
            </a:r>
          </a:p>
        </c:rich>
      </c:tx>
      <c:overlay val="0"/>
      <c:spPr>
        <a:noFill/>
        <a:ln>
          <a:noFill/>
        </a:ln>
        <a:effectLst/>
      </c:spPr>
    </c:title>
    <c:autoTitleDeleted val="0"/>
    <c:plotArea>
      <c:layout/>
      <c:barChart>
        <c:barDir val="bar"/>
        <c:grouping val="clustered"/>
        <c:varyColors val="0"/>
        <c:ser>
          <c:idx val="0"/>
          <c:order val="0"/>
          <c:tx>
            <c:strRef>
              <c:f>Γ15!$B$1</c:f>
              <c:strCache>
                <c:ptCount val="1"/>
                <c:pt idx="0">
                  <c:v>Στήλη1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Γ15!$A$2:$A$8</c:f>
              <c:strCache>
                <c:ptCount val="7"/>
                <c:pt idx="0">
                  <c:v>Μετανάστευση εργαζομένων σε άλλες χώρες</c:v>
                </c:pt>
                <c:pt idx="1">
                  <c:v>Επιδοματική πολιτική κυβέρνησης</c:v>
                </c:pt>
                <c:pt idx="2">
                  <c:v>Μη ανταγωνιστικές αμοιβές</c:v>
                </c:pt>
                <c:pt idx="3">
                  <c:v>Έλλειψη ειδικευμένου προσωπικού</c:v>
                </c:pt>
                <c:pt idx="4">
                  <c:v>Άλλο </c:v>
                </c:pt>
                <c:pt idx="5">
                  <c:v>Τεμπελιά / Δεν θέλουν να δουλέψουν</c:v>
                </c:pt>
                <c:pt idx="6">
                  <c:v>ΔΞ/ΔΑ</c:v>
                </c:pt>
              </c:strCache>
            </c:strRef>
          </c:cat>
          <c:val>
            <c:numRef>
              <c:f>Γ15!$B$2:$B$8</c:f>
              <c:numCache>
                <c:formatCode>General</c:formatCode>
                <c:ptCount val="7"/>
                <c:pt idx="0">
                  <c:v>18.8</c:v>
                </c:pt>
                <c:pt idx="1">
                  <c:v>36.9</c:v>
                </c:pt>
                <c:pt idx="2">
                  <c:v>41.3</c:v>
                </c:pt>
                <c:pt idx="3">
                  <c:v>35.4</c:v>
                </c:pt>
                <c:pt idx="4">
                  <c:v>9.6999999999999993</c:v>
                </c:pt>
                <c:pt idx="5">
                  <c:v>4.0999999999999996</c:v>
                </c:pt>
                <c:pt idx="6">
                  <c:v>2.9</c:v>
                </c:pt>
              </c:numCache>
            </c:numRef>
          </c:val>
          <c:extLst>
            <c:ext xmlns:c16="http://schemas.microsoft.com/office/drawing/2014/chart" uri="{C3380CC4-5D6E-409C-BE32-E72D297353CC}">
              <c16:uniqueId val="{00000000-78A9-4455-A582-1EB3B2E1B924}"/>
            </c:ext>
          </c:extLst>
        </c:ser>
        <c:dLbls>
          <c:showLegendKey val="0"/>
          <c:showVal val="0"/>
          <c:showCatName val="0"/>
          <c:showSerName val="0"/>
          <c:showPercent val="0"/>
          <c:showBubbleSize val="0"/>
        </c:dLbls>
        <c:gapWidth val="182"/>
        <c:axId val="331753728"/>
        <c:axId val="331763712"/>
      </c:barChart>
      <c:catAx>
        <c:axId val="3317537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31763712"/>
        <c:crosses val="autoZero"/>
        <c:auto val="1"/>
        <c:lblAlgn val="ctr"/>
        <c:lblOffset val="100"/>
        <c:noMultiLvlLbl val="0"/>
      </c:catAx>
      <c:valAx>
        <c:axId val="331763712"/>
        <c:scaling>
          <c:orientation val="minMax"/>
        </c:scaling>
        <c:delete val="1"/>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31753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16</a:t>
            </a:r>
          </a:p>
          <a:p>
            <a:pPr>
              <a:defRPr sz="1200"/>
            </a:pPr>
            <a:r>
              <a:rPr lang="el-GR" sz="1200" baseline="0"/>
              <a:t>Ποσοστά επιχειρήσεων που πραγματοποίησαν επενδύσεις ανά κατηγορία επενδύσεων το πρώτο εξάμηνο του 2024</a:t>
            </a:r>
          </a:p>
        </c:rich>
      </c:tx>
      <c:overlay val="0"/>
    </c:title>
    <c:autoTitleDeleted val="0"/>
    <c:plotArea>
      <c:layout/>
      <c:barChart>
        <c:barDir val="bar"/>
        <c:grouping val="clustered"/>
        <c:varyColors val="0"/>
        <c:ser>
          <c:idx val="0"/>
          <c:order val="0"/>
          <c:tx>
            <c:strRef>
              <c:f>Γ16!$B$1</c:f>
              <c:strCache>
                <c:ptCount val="1"/>
                <c:pt idx="0">
                  <c:v>ΝΑΙ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Γ16!$A$2:$A$5</c:f>
              <c:strCache>
                <c:ptCount val="4"/>
                <c:pt idx="0">
                  <c:v>Τεχνολογικό εξοπλισμό και ψηφιακές τεχνολογίες (π.χ. λογισμικό, ψηφιακές συσκευές και εφαρμογές κλπ)</c:v>
                </c:pt>
                <c:pt idx="1">
                  <c:v>Μηχανολογικό εξοπλισμό και λοιπά μηχανήματα (πχ οχήματα)</c:v>
                </c:pt>
                <c:pt idx="2">
                  <c:v>Κτιριακές εγκαταστάσεις και λοιπό εξοπλισμό</c:v>
                </c:pt>
                <c:pt idx="3">
                  <c:v>Κατάρτιση – εκπαίδευση προσωπικού (π.χ. συστήματα πιστοποίησης οργάνωσης και λειτουργίας) </c:v>
                </c:pt>
              </c:strCache>
            </c:strRef>
          </c:cat>
          <c:val>
            <c:numRef>
              <c:f>Γ16!$B$2:$B$5</c:f>
              <c:numCache>
                <c:formatCode>General</c:formatCode>
                <c:ptCount val="4"/>
                <c:pt idx="0">
                  <c:v>22.8</c:v>
                </c:pt>
                <c:pt idx="1">
                  <c:v>12.8</c:v>
                </c:pt>
                <c:pt idx="2">
                  <c:v>8.6</c:v>
                </c:pt>
                <c:pt idx="3">
                  <c:v>6.7</c:v>
                </c:pt>
              </c:numCache>
            </c:numRef>
          </c:val>
          <c:extLst>
            <c:ext xmlns:c16="http://schemas.microsoft.com/office/drawing/2014/chart" uri="{C3380CC4-5D6E-409C-BE32-E72D297353CC}">
              <c16:uniqueId val="{00000000-8A8A-4C53-963F-99207D290C42}"/>
            </c:ext>
          </c:extLst>
        </c:ser>
        <c:dLbls>
          <c:showLegendKey val="0"/>
          <c:showVal val="0"/>
          <c:showCatName val="0"/>
          <c:showSerName val="0"/>
          <c:showPercent val="0"/>
          <c:showBubbleSize val="0"/>
        </c:dLbls>
        <c:gapWidth val="150"/>
        <c:axId val="332591104"/>
        <c:axId val="332592640"/>
      </c:barChart>
      <c:catAx>
        <c:axId val="332591104"/>
        <c:scaling>
          <c:orientation val="maxMin"/>
        </c:scaling>
        <c:delete val="0"/>
        <c:axPos val="l"/>
        <c:numFmt formatCode="General" sourceLinked="0"/>
        <c:majorTickMark val="out"/>
        <c:minorTickMark val="none"/>
        <c:tickLblPos val="nextTo"/>
        <c:crossAx val="332592640"/>
        <c:crosses val="autoZero"/>
        <c:auto val="1"/>
        <c:lblAlgn val="ctr"/>
        <c:lblOffset val="100"/>
        <c:noMultiLvlLbl val="0"/>
      </c:catAx>
      <c:valAx>
        <c:axId val="332592640"/>
        <c:scaling>
          <c:orientation val="minMax"/>
        </c:scaling>
        <c:delete val="1"/>
        <c:axPos val="t"/>
        <c:numFmt formatCode="General" sourceLinked="1"/>
        <c:majorTickMark val="out"/>
        <c:minorTickMark val="none"/>
        <c:tickLblPos val="nextTo"/>
        <c:crossAx val="332591104"/>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a:t>
            </a:r>
            <a:r>
              <a:rPr lang="el-GR" sz="1200" baseline="0"/>
              <a:t> 17</a:t>
            </a:r>
          </a:p>
          <a:p>
            <a:pPr>
              <a:defRPr/>
            </a:pPr>
            <a:r>
              <a:rPr lang="el-GR" sz="1200" baseline="0"/>
              <a:t>Πηγές χρηματοδότησης επενδύσεων </a:t>
            </a:r>
          </a:p>
          <a:p>
            <a:pPr>
              <a:defRPr/>
            </a:pPr>
            <a:r>
              <a:rPr lang="el-GR" sz="1200" baseline="0"/>
              <a:t>- Βάση : όσοι πραγματοποίησαν επενδύσεις-</a:t>
            </a:r>
            <a:endParaRPr lang="el-GR" sz="1200"/>
          </a:p>
        </c:rich>
      </c:tx>
      <c:overlay val="0"/>
    </c:title>
    <c:autoTitleDeleted val="0"/>
    <c:plotArea>
      <c:layout/>
      <c:barChart>
        <c:barDir val="bar"/>
        <c:grouping val="clustered"/>
        <c:varyColors val="0"/>
        <c:ser>
          <c:idx val="0"/>
          <c:order val="0"/>
          <c:tx>
            <c:strRef>
              <c:f>Γ17!$B$1</c:f>
              <c:strCache>
                <c:ptCount val="1"/>
                <c:pt idx="0">
                  <c:v>Ιούλιος 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Γ17!$A$2:$A$6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Γ17!$B$2:$B$6</c:f>
              <c:numCache>
                <c:formatCode>General</c:formatCode>
                <c:ptCount val="5"/>
                <c:pt idx="0">
                  <c:v>87.4</c:v>
                </c:pt>
                <c:pt idx="1">
                  <c:v>5.8</c:v>
                </c:pt>
                <c:pt idx="2">
                  <c:v>2.9</c:v>
                </c:pt>
                <c:pt idx="3">
                  <c:v>1.4</c:v>
                </c:pt>
                <c:pt idx="4">
                  <c:v>0.7</c:v>
                </c:pt>
              </c:numCache>
            </c:numRef>
          </c:val>
          <c:extLst>
            <c:ext xmlns:c16="http://schemas.microsoft.com/office/drawing/2014/chart" uri="{C3380CC4-5D6E-409C-BE32-E72D297353CC}">
              <c16:uniqueId val="{00000000-8801-45D3-909A-E961CF45DADF}"/>
            </c:ext>
          </c:extLst>
        </c:ser>
        <c:ser>
          <c:idx val="1"/>
          <c:order val="1"/>
          <c:tx>
            <c:strRef>
              <c:f>Γ17!$C$1</c:f>
              <c:strCache>
                <c:ptCount val="1"/>
                <c:pt idx="0">
                  <c:v>Φεβρουάριος 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Γ17!$A$2:$A$6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Γ17!$C$2:$C$6</c:f>
              <c:numCache>
                <c:formatCode>General</c:formatCode>
                <c:ptCount val="5"/>
                <c:pt idx="0">
                  <c:v>84.2</c:v>
                </c:pt>
                <c:pt idx="1">
                  <c:v>5.7</c:v>
                </c:pt>
                <c:pt idx="2">
                  <c:v>3.7</c:v>
                </c:pt>
                <c:pt idx="3">
                  <c:v>2</c:v>
                </c:pt>
                <c:pt idx="4">
                  <c:v>2.6</c:v>
                </c:pt>
              </c:numCache>
            </c:numRef>
          </c:val>
          <c:extLst>
            <c:ext xmlns:c16="http://schemas.microsoft.com/office/drawing/2014/chart" uri="{C3380CC4-5D6E-409C-BE32-E72D297353CC}">
              <c16:uniqueId val="{00000001-8801-45D3-909A-E961CF45DADF}"/>
            </c:ext>
          </c:extLst>
        </c:ser>
        <c:ser>
          <c:idx val="2"/>
          <c:order val="2"/>
          <c:tx>
            <c:strRef>
              <c:f>Γ17!$D$1</c:f>
              <c:strCache>
                <c:ptCount val="1"/>
                <c:pt idx="0">
                  <c:v>Ιούλιος 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Γ17!$A$2:$A$6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Γ17!$D$2:$D$6</c:f>
              <c:numCache>
                <c:formatCode>General</c:formatCode>
                <c:ptCount val="5"/>
                <c:pt idx="0">
                  <c:v>79.5</c:v>
                </c:pt>
                <c:pt idx="1">
                  <c:v>9.3000000000000007</c:v>
                </c:pt>
                <c:pt idx="2">
                  <c:v>3.9</c:v>
                </c:pt>
                <c:pt idx="3">
                  <c:v>1.9</c:v>
                </c:pt>
                <c:pt idx="4">
                  <c:v>1.2</c:v>
                </c:pt>
              </c:numCache>
            </c:numRef>
          </c:val>
          <c:extLst>
            <c:ext xmlns:c16="http://schemas.microsoft.com/office/drawing/2014/chart" uri="{C3380CC4-5D6E-409C-BE32-E72D297353CC}">
              <c16:uniqueId val="{00000002-8801-45D3-909A-E961CF45DADF}"/>
            </c:ext>
          </c:extLst>
        </c:ser>
        <c:ser>
          <c:idx val="3"/>
          <c:order val="3"/>
          <c:tx>
            <c:strRef>
              <c:f>Γ17!$E$1</c:f>
              <c:strCache>
                <c:ptCount val="1"/>
                <c:pt idx="0">
                  <c:v>Φεβρουάριος 2023</c:v>
                </c:pt>
              </c:strCache>
            </c:strRef>
          </c:tx>
          <c:invertIfNegative val="0"/>
          <c:cat>
            <c:strRef>
              <c:f>Γ17!$A$2:$A$6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Γ17!$E$2:$E$6</c:f>
              <c:numCache>
                <c:formatCode>General</c:formatCode>
                <c:ptCount val="5"/>
                <c:pt idx="0">
                  <c:v>80.5</c:v>
                </c:pt>
                <c:pt idx="1">
                  <c:v>11.4</c:v>
                </c:pt>
                <c:pt idx="2">
                  <c:v>3.9</c:v>
                </c:pt>
                <c:pt idx="3">
                  <c:v>0.3</c:v>
                </c:pt>
                <c:pt idx="4">
                  <c:v>1.7</c:v>
                </c:pt>
              </c:numCache>
            </c:numRef>
          </c:val>
          <c:extLst>
            <c:ext xmlns:c16="http://schemas.microsoft.com/office/drawing/2014/chart" uri="{C3380CC4-5D6E-409C-BE32-E72D297353CC}">
              <c16:uniqueId val="{00000003-8801-45D3-909A-E961CF45DADF}"/>
            </c:ext>
          </c:extLst>
        </c:ser>
        <c:ser>
          <c:idx val="4"/>
          <c:order val="4"/>
          <c:tx>
            <c:strRef>
              <c:f>Γ17!$F$1</c:f>
              <c:strCache>
                <c:ptCount val="1"/>
                <c:pt idx="0">
                  <c:v>Ιούλιος 2022</c:v>
                </c:pt>
              </c:strCache>
            </c:strRef>
          </c:tx>
          <c:invertIfNegative val="0"/>
          <c:cat>
            <c:strRef>
              <c:f>Γ17!$A$2:$A$6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Γ17!$F$2:$F$6</c:f>
              <c:numCache>
                <c:formatCode>General</c:formatCode>
                <c:ptCount val="5"/>
                <c:pt idx="0">
                  <c:v>81.3</c:v>
                </c:pt>
                <c:pt idx="1">
                  <c:v>9.6</c:v>
                </c:pt>
                <c:pt idx="2">
                  <c:v>3.8</c:v>
                </c:pt>
                <c:pt idx="3">
                  <c:v>1.7</c:v>
                </c:pt>
                <c:pt idx="4">
                  <c:v>2.5</c:v>
                </c:pt>
              </c:numCache>
            </c:numRef>
          </c:val>
          <c:extLst>
            <c:ext xmlns:c16="http://schemas.microsoft.com/office/drawing/2014/chart" uri="{C3380CC4-5D6E-409C-BE32-E72D297353CC}">
              <c16:uniqueId val="{00000004-8801-45D3-909A-E961CF45DADF}"/>
            </c:ext>
          </c:extLst>
        </c:ser>
        <c:ser>
          <c:idx val="5"/>
          <c:order val="5"/>
          <c:tx>
            <c:strRef>
              <c:f>Γ17!$G$1</c:f>
              <c:strCache>
                <c:ptCount val="1"/>
                <c:pt idx="0">
                  <c:v>Φεβρουάριος 2022</c:v>
                </c:pt>
              </c:strCache>
            </c:strRef>
          </c:tx>
          <c:invertIfNegative val="0"/>
          <c:cat>
            <c:strRef>
              <c:f>Γ17!$A$2:$A$6</c:f>
              <c:strCache>
                <c:ptCount val="5"/>
                <c:pt idx="0">
                  <c:v>Ίδια κεφάλαια</c:v>
                </c:pt>
                <c:pt idx="1">
                  <c:v>Προγράμματα χρηματοδότησης (π.χ. ΕΣΠΑ)</c:v>
                </c:pt>
                <c:pt idx="2">
                  <c:v>Τραπεζικός δανεισμός</c:v>
                </c:pt>
                <c:pt idx="3">
                  <c:v>Εναλλακτικές μορφές χρηματοδότησης (π.χ. μικροχρηματοδοτήση, venture capital κλπ)</c:v>
                </c:pt>
                <c:pt idx="4">
                  <c:v>Άλλο</c:v>
                </c:pt>
              </c:strCache>
            </c:strRef>
          </c:cat>
          <c:val>
            <c:numRef>
              <c:f>Γ17!$G$2:$G$6</c:f>
              <c:numCache>
                <c:formatCode>General</c:formatCode>
                <c:ptCount val="5"/>
                <c:pt idx="0">
                  <c:v>86.4</c:v>
                </c:pt>
                <c:pt idx="1">
                  <c:v>6</c:v>
                </c:pt>
                <c:pt idx="2">
                  <c:v>3.8</c:v>
                </c:pt>
                <c:pt idx="3">
                  <c:v>1.5</c:v>
                </c:pt>
                <c:pt idx="4">
                  <c:v>1.5</c:v>
                </c:pt>
              </c:numCache>
            </c:numRef>
          </c:val>
          <c:extLst>
            <c:ext xmlns:c16="http://schemas.microsoft.com/office/drawing/2014/chart" uri="{C3380CC4-5D6E-409C-BE32-E72D297353CC}">
              <c16:uniqueId val="{00000005-8801-45D3-909A-E961CF45DADF}"/>
            </c:ext>
          </c:extLst>
        </c:ser>
        <c:dLbls>
          <c:showLegendKey val="0"/>
          <c:showVal val="0"/>
          <c:showCatName val="0"/>
          <c:showSerName val="0"/>
          <c:showPercent val="0"/>
          <c:showBubbleSize val="0"/>
        </c:dLbls>
        <c:gapWidth val="150"/>
        <c:axId val="333030144"/>
        <c:axId val="333031680"/>
      </c:barChart>
      <c:catAx>
        <c:axId val="333030144"/>
        <c:scaling>
          <c:orientation val="maxMin"/>
        </c:scaling>
        <c:delete val="0"/>
        <c:axPos val="l"/>
        <c:numFmt formatCode="General" sourceLinked="0"/>
        <c:majorTickMark val="out"/>
        <c:minorTickMark val="none"/>
        <c:tickLblPos val="nextTo"/>
        <c:crossAx val="333031680"/>
        <c:crosses val="autoZero"/>
        <c:auto val="1"/>
        <c:lblAlgn val="ctr"/>
        <c:lblOffset val="100"/>
        <c:noMultiLvlLbl val="0"/>
      </c:catAx>
      <c:valAx>
        <c:axId val="333031680"/>
        <c:scaling>
          <c:orientation val="minMax"/>
        </c:scaling>
        <c:delete val="1"/>
        <c:axPos val="t"/>
        <c:numFmt formatCode="General" sourceLinked="1"/>
        <c:majorTickMark val="out"/>
        <c:minorTickMark val="none"/>
        <c:tickLblPos val="nextTo"/>
        <c:crossAx val="333030144"/>
        <c:crosses val="autoZero"/>
        <c:crossBetween val="between"/>
      </c:valAx>
    </c:plotArea>
    <c:legend>
      <c:legendPos val="b"/>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a:t>Γράφημα</a:t>
            </a:r>
            <a:r>
              <a:rPr lang="el-GR" sz="1200" baseline="0"/>
              <a:t> </a:t>
            </a:r>
            <a:r>
              <a:rPr lang="en-US" sz="1200" baseline="0"/>
              <a:t>1</a:t>
            </a:r>
            <a:r>
              <a:rPr lang="el-GR" sz="1200" baseline="0"/>
              <a:t>8</a:t>
            </a:r>
          </a:p>
          <a:p>
            <a:pPr>
              <a:defRPr/>
            </a:pPr>
            <a:r>
              <a:rPr lang="el-GR" sz="1200" baseline="0"/>
              <a:t>Τιμές πώλησης αγαθών/υπηρεσίων (ποσοστά επιχειρήσεων)  </a:t>
            </a:r>
          </a:p>
          <a:p>
            <a:pPr>
              <a:defRPr/>
            </a:pPr>
            <a:r>
              <a:rPr lang="el-GR" sz="1200" baseline="0"/>
              <a:t>Αποτίμηση εξαμήνου - Συγκριτικό Γράφημα</a:t>
            </a:r>
          </a:p>
        </c:rich>
      </c:tx>
      <c:layout>
        <c:manualLayout>
          <c:xMode val="edge"/>
          <c:yMode val="edge"/>
          <c:x val="0.1950224504355908"/>
          <c:y val="3.1554950815284068E-2"/>
        </c:manualLayout>
      </c:layout>
      <c:overlay val="0"/>
    </c:title>
    <c:autoTitleDeleted val="0"/>
    <c:plotArea>
      <c:layout/>
      <c:barChart>
        <c:barDir val="col"/>
        <c:grouping val="percentStacked"/>
        <c:varyColors val="0"/>
        <c:ser>
          <c:idx val="0"/>
          <c:order val="0"/>
          <c:tx>
            <c:strRef>
              <c:f>Γ18!$B$1</c:f>
              <c:strCache>
                <c:ptCount val="1"/>
                <c:pt idx="0">
                  <c:v>Αυξήθηκαν</c:v>
                </c:pt>
              </c:strCache>
            </c:strRef>
          </c:tx>
          <c:spPr>
            <a:solidFill>
              <a:srgbClr val="C00000"/>
            </a:solidFill>
            <a:ln>
              <a:solidFill>
                <a:srgbClr val="C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Γ18!$A$2:$A$11</c:f>
              <c:strCache>
                <c:ptCount val="10"/>
                <c:pt idx="0">
                  <c:v>B 2019</c:v>
                </c:pt>
                <c:pt idx="1">
                  <c:v>A 2020</c:v>
                </c:pt>
                <c:pt idx="2">
                  <c:v>B 2020</c:v>
                </c:pt>
                <c:pt idx="3">
                  <c:v>A 2021</c:v>
                </c:pt>
                <c:pt idx="4">
                  <c:v>B 2021</c:v>
                </c:pt>
                <c:pt idx="5">
                  <c:v>Α 2022</c:v>
                </c:pt>
                <c:pt idx="6">
                  <c:v>Β 2022</c:v>
                </c:pt>
                <c:pt idx="7">
                  <c:v>Α2023</c:v>
                </c:pt>
                <c:pt idx="8">
                  <c:v>Β2023</c:v>
                </c:pt>
                <c:pt idx="9">
                  <c:v>Α2024</c:v>
                </c:pt>
              </c:strCache>
            </c:strRef>
          </c:cat>
          <c:val>
            <c:numRef>
              <c:f>Γ18!$B$2:$B$11</c:f>
              <c:numCache>
                <c:formatCode>0.0</c:formatCode>
                <c:ptCount val="10"/>
                <c:pt idx="0">
                  <c:v>8.1999999999999993</c:v>
                </c:pt>
                <c:pt idx="1">
                  <c:v>4.5</c:v>
                </c:pt>
                <c:pt idx="2">
                  <c:v>6.6</c:v>
                </c:pt>
                <c:pt idx="3">
                  <c:v>23.6</c:v>
                </c:pt>
                <c:pt idx="4">
                  <c:v>34.799999999999997</c:v>
                </c:pt>
                <c:pt idx="5">
                  <c:v>59.18</c:v>
                </c:pt>
                <c:pt idx="6">
                  <c:v>49.1</c:v>
                </c:pt>
                <c:pt idx="7">
                  <c:v>43.3</c:v>
                </c:pt>
                <c:pt idx="8">
                  <c:v>33.200000000000003</c:v>
                </c:pt>
                <c:pt idx="9">
                  <c:v>33</c:v>
                </c:pt>
              </c:numCache>
            </c:numRef>
          </c:val>
          <c:extLst>
            <c:ext xmlns:c16="http://schemas.microsoft.com/office/drawing/2014/chart" uri="{C3380CC4-5D6E-409C-BE32-E72D297353CC}">
              <c16:uniqueId val="{00000000-764E-4257-8F3D-A6B47D158065}"/>
            </c:ext>
          </c:extLst>
        </c:ser>
        <c:ser>
          <c:idx val="1"/>
          <c:order val="1"/>
          <c:tx>
            <c:strRef>
              <c:f>Γ18!$C$1</c:f>
              <c:strCache>
                <c:ptCount val="1"/>
                <c:pt idx="0">
                  <c:v>Μειώθηκαν</c:v>
                </c:pt>
              </c:strCache>
            </c:strRef>
          </c:tx>
          <c:spPr>
            <a:solidFill>
              <a:schemeClr val="tx2">
                <a:lumMod val="60000"/>
                <a:lumOff val="40000"/>
              </a:schemeClr>
            </a:solidFill>
            <a:ln>
              <a:solidFill>
                <a:schemeClr val="tx2"/>
              </a:solidFill>
            </a:ln>
          </c:spPr>
          <c:invertIfNegative val="0"/>
          <c:dLbls>
            <c:dLbl>
              <c:idx val="3"/>
              <c:layout>
                <c:manualLayout>
                  <c:x val="-3.4970817583714973E-2"/>
                  <c:y val="3.19327792359287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4E-4257-8F3D-A6B47D15806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Γ18!$A$2:$A$11</c:f>
              <c:strCache>
                <c:ptCount val="10"/>
                <c:pt idx="0">
                  <c:v>B 2019</c:v>
                </c:pt>
                <c:pt idx="1">
                  <c:v>A 2020</c:v>
                </c:pt>
                <c:pt idx="2">
                  <c:v>B 2020</c:v>
                </c:pt>
                <c:pt idx="3">
                  <c:v>A 2021</c:v>
                </c:pt>
                <c:pt idx="4">
                  <c:v>B 2021</c:v>
                </c:pt>
                <c:pt idx="5">
                  <c:v>Α 2022</c:v>
                </c:pt>
                <c:pt idx="6">
                  <c:v>Β 2022</c:v>
                </c:pt>
                <c:pt idx="7">
                  <c:v>Α2023</c:v>
                </c:pt>
                <c:pt idx="8">
                  <c:v>Β2023</c:v>
                </c:pt>
                <c:pt idx="9">
                  <c:v>Α2024</c:v>
                </c:pt>
              </c:strCache>
            </c:strRef>
          </c:cat>
          <c:val>
            <c:numRef>
              <c:f>Γ18!$C$2:$C$11</c:f>
              <c:numCache>
                <c:formatCode>0.0</c:formatCode>
                <c:ptCount val="10"/>
                <c:pt idx="0">
                  <c:v>20.100000000000001</c:v>
                </c:pt>
                <c:pt idx="1">
                  <c:v>35.200000000000003</c:v>
                </c:pt>
                <c:pt idx="2">
                  <c:v>31.3</c:v>
                </c:pt>
                <c:pt idx="3">
                  <c:v>16.7</c:v>
                </c:pt>
                <c:pt idx="4">
                  <c:v>9.4</c:v>
                </c:pt>
                <c:pt idx="5">
                  <c:v>7.24</c:v>
                </c:pt>
                <c:pt idx="6">
                  <c:v>6.6</c:v>
                </c:pt>
                <c:pt idx="7">
                  <c:v>9.4</c:v>
                </c:pt>
                <c:pt idx="8">
                  <c:v>6.7</c:v>
                </c:pt>
                <c:pt idx="9">
                  <c:v>10</c:v>
                </c:pt>
              </c:numCache>
            </c:numRef>
          </c:val>
          <c:extLst>
            <c:ext xmlns:c16="http://schemas.microsoft.com/office/drawing/2014/chart" uri="{C3380CC4-5D6E-409C-BE32-E72D297353CC}">
              <c16:uniqueId val="{00000002-764E-4257-8F3D-A6B47D158065}"/>
            </c:ext>
          </c:extLst>
        </c:ser>
        <c:ser>
          <c:idx val="2"/>
          <c:order val="2"/>
          <c:tx>
            <c:strRef>
              <c:f>Γ18!$D$1</c:f>
              <c:strCache>
                <c:ptCount val="1"/>
                <c:pt idx="0">
                  <c:v>Αμετάβλητες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Γ18!$A$2:$A$11</c:f>
              <c:strCache>
                <c:ptCount val="10"/>
                <c:pt idx="0">
                  <c:v>B 2019</c:v>
                </c:pt>
                <c:pt idx="1">
                  <c:v>A 2020</c:v>
                </c:pt>
                <c:pt idx="2">
                  <c:v>B 2020</c:v>
                </c:pt>
                <c:pt idx="3">
                  <c:v>A 2021</c:v>
                </c:pt>
                <c:pt idx="4">
                  <c:v>B 2021</c:v>
                </c:pt>
                <c:pt idx="5">
                  <c:v>Α 2022</c:v>
                </c:pt>
                <c:pt idx="6">
                  <c:v>Β 2022</c:v>
                </c:pt>
                <c:pt idx="7">
                  <c:v>Α2023</c:v>
                </c:pt>
                <c:pt idx="8">
                  <c:v>Β2023</c:v>
                </c:pt>
                <c:pt idx="9">
                  <c:v>Α2024</c:v>
                </c:pt>
              </c:strCache>
            </c:strRef>
          </c:cat>
          <c:val>
            <c:numRef>
              <c:f>Γ18!$D$2:$D$11</c:f>
              <c:numCache>
                <c:formatCode>0.0</c:formatCode>
                <c:ptCount val="10"/>
                <c:pt idx="0">
                  <c:v>70.8</c:v>
                </c:pt>
                <c:pt idx="1">
                  <c:v>58.9</c:v>
                </c:pt>
                <c:pt idx="2">
                  <c:v>61.7</c:v>
                </c:pt>
                <c:pt idx="3">
                  <c:v>58.3</c:v>
                </c:pt>
                <c:pt idx="4">
                  <c:v>55.6</c:v>
                </c:pt>
                <c:pt idx="5">
                  <c:v>32.71</c:v>
                </c:pt>
                <c:pt idx="6">
                  <c:v>43.9</c:v>
                </c:pt>
                <c:pt idx="7">
                  <c:v>46.3</c:v>
                </c:pt>
                <c:pt idx="8">
                  <c:v>58.6</c:v>
                </c:pt>
                <c:pt idx="9">
                  <c:v>56.5</c:v>
                </c:pt>
              </c:numCache>
            </c:numRef>
          </c:val>
          <c:extLst>
            <c:ext xmlns:c16="http://schemas.microsoft.com/office/drawing/2014/chart" uri="{C3380CC4-5D6E-409C-BE32-E72D297353CC}">
              <c16:uniqueId val="{00000003-764E-4257-8F3D-A6B47D158065}"/>
            </c:ext>
          </c:extLst>
        </c:ser>
        <c:dLbls>
          <c:showLegendKey val="0"/>
          <c:showVal val="0"/>
          <c:showCatName val="0"/>
          <c:showSerName val="0"/>
          <c:showPercent val="0"/>
          <c:showBubbleSize val="0"/>
        </c:dLbls>
        <c:gapWidth val="150"/>
        <c:overlap val="100"/>
        <c:axId val="332319360"/>
        <c:axId val="332325248"/>
      </c:barChart>
      <c:catAx>
        <c:axId val="332319360"/>
        <c:scaling>
          <c:orientation val="minMax"/>
        </c:scaling>
        <c:delete val="0"/>
        <c:axPos val="b"/>
        <c:numFmt formatCode="General" sourceLinked="0"/>
        <c:majorTickMark val="out"/>
        <c:minorTickMark val="none"/>
        <c:tickLblPos val="nextTo"/>
        <c:crossAx val="332325248"/>
        <c:crosses val="autoZero"/>
        <c:auto val="1"/>
        <c:lblAlgn val="ctr"/>
        <c:lblOffset val="100"/>
        <c:noMultiLvlLbl val="0"/>
      </c:catAx>
      <c:valAx>
        <c:axId val="332325248"/>
        <c:scaling>
          <c:orientation val="minMax"/>
        </c:scaling>
        <c:delete val="1"/>
        <c:axPos val="l"/>
        <c:majorGridlines/>
        <c:numFmt formatCode="0%" sourceLinked="1"/>
        <c:majorTickMark val="out"/>
        <c:minorTickMark val="none"/>
        <c:tickLblPos val="nextTo"/>
        <c:crossAx val="332319360"/>
        <c:crosses val="autoZero"/>
        <c:crossBetween val="between"/>
      </c:valAx>
    </c:plotArea>
    <c:legend>
      <c:legendPos val="l"/>
      <c:layout>
        <c:manualLayout>
          <c:xMode val="edge"/>
          <c:yMode val="edge"/>
          <c:x val="1.2468827930174564E-2"/>
          <c:y val="0.2369238547731109"/>
          <c:w val="0.14591539523893679"/>
          <c:h val="0.58639750767697951"/>
        </c:manualLayout>
      </c:layout>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a:t>
            </a:r>
            <a:r>
              <a:rPr lang="en-US" sz="1200" baseline="0"/>
              <a:t>19</a:t>
            </a:r>
            <a:endParaRPr lang="el-GR" sz="1200" baseline="0"/>
          </a:p>
          <a:p>
            <a:pPr>
              <a:defRPr sz="1200"/>
            </a:pPr>
            <a:r>
              <a:rPr lang="el-GR" sz="1200"/>
              <a:t>Βαθμός υπερχρέωσης ΜμΕ</a:t>
            </a:r>
            <a:r>
              <a:rPr lang="el-GR" sz="1200" baseline="0"/>
              <a:t> </a:t>
            </a:r>
          </a:p>
          <a:p>
            <a:pPr>
              <a:defRPr sz="1200"/>
            </a:pPr>
            <a:r>
              <a:rPr lang="el-GR" sz="1200" baseline="0"/>
              <a:t>-Συγκριση εξαμήνων-</a:t>
            </a:r>
            <a:endParaRPr lang="el-GR" sz="1200"/>
          </a:p>
        </c:rich>
      </c:tx>
      <c:overlay val="0"/>
    </c:title>
    <c:autoTitleDeleted val="0"/>
    <c:plotArea>
      <c:layout/>
      <c:barChart>
        <c:barDir val="col"/>
        <c:grouping val="clustered"/>
        <c:varyColors val="0"/>
        <c:ser>
          <c:idx val="0"/>
          <c:order val="0"/>
          <c:tx>
            <c:strRef>
              <c:f>Γ19!$B$1</c:f>
              <c:strCache>
                <c:ptCount val="1"/>
                <c:pt idx="0">
                  <c:v>Β 2019</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Γ19!$A$2:$A$4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Γ19!$B$2:$B$4</c:f>
              <c:numCache>
                <c:formatCode>0.0</c:formatCode>
                <c:ptCount val="3"/>
                <c:pt idx="0">
                  <c:v>13.681592039800995</c:v>
                </c:pt>
                <c:pt idx="1">
                  <c:v>7.2139303482587067</c:v>
                </c:pt>
                <c:pt idx="2">
                  <c:v>17.786069651741293</c:v>
                </c:pt>
              </c:numCache>
            </c:numRef>
          </c:val>
          <c:extLst>
            <c:ext xmlns:c16="http://schemas.microsoft.com/office/drawing/2014/chart" uri="{C3380CC4-5D6E-409C-BE32-E72D297353CC}">
              <c16:uniqueId val="{00000000-67F1-4FF8-87F1-D8DC02E78000}"/>
            </c:ext>
          </c:extLst>
        </c:ser>
        <c:ser>
          <c:idx val="1"/>
          <c:order val="1"/>
          <c:tx>
            <c:strRef>
              <c:f>Γ19!$C$1</c:f>
              <c:strCache>
                <c:ptCount val="1"/>
                <c:pt idx="0">
                  <c:v>Α 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Γ19!$A$2:$A$4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Γ19!$C$2:$C$4</c:f>
              <c:numCache>
                <c:formatCode>0.0</c:formatCode>
                <c:ptCount val="3"/>
                <c:pt idx="0">
                  <c:v>13.308457711442786</c:v>
                </c:pt>
                <c:pt idx="1">
                  <c:v>7.7114427860696519</c:v>
                </c:pt>
                <c:pt idx="2">
                  <c:v>22.263681592039806</c:v>
                </c:pt>
              </c:numCache>
            </c:numRef>
          </c:val>
          <c:extLst>
            <c:ext xmlns:c16="http://schemas.microsoft.com/office/drawing/2014/chart" uri="{C3380CC4-5D6E-409C-BE32-E72D297353CC}">
              <c16:uniqueId val="{00000001-67F1-4FF8-87F1-D8DC02E78000}"/>
            </c:ext>
          </c:extLst>
        </c:ser>
        <c:ser>
          <c:idx val="2"/>
          <c:order val="2"/>
          <c:tx>
            <c:strRef>
              <c:f>Γ19!$D$1</c:f>
              <c:strCache>
                <c:ptCount val="1"/>
                <c:pt idx="0">
                  <c:v>Β 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Γ19!$A$2:$A$4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Γ19!$D$2:$D$4</c:f>
              <c:numCache>
                <c:formatCode>General</c:formatCode>
                <c:ptCount val="3"/>
                <c:pt idx="0">
                  <c:v>13.2</c:v>
                </c:pt>
                <c:pt idx="1">
                  <c:v>9.9</c:v>
                </c:pt>
                <c:pt idx="2">
                  <c:v>24.2</c:v>
                </c:pt>
              </c:numCache>
            </c:numRef>
          </c:val>
          <c:extLst>
            <c:ext xmlns:c16="http://schemas.microsoft.com/office/drawing/2014/chart" uri="{C3380CC4-5D6E-409C-BE32-E72D297353CC}">
              <c16:uniqueId val="{00000002-67F1-4FF8-87F1-D8DC02E78000}"/>
            </c:ext>
          </c:extLst>
        </c:ser>
        <c:ser>
          <c:idx val="3"/>
          <c:order val="3"/>
          <c:tx>
            <c:strRef>
              <c:f>Γ19!$E$1</c:f>
              <c:strCache>
                <c:ptCount val="1"/>
                <c:pt idx="0">
                  <c:v>Α2022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Γ19!$A$2:$A$4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Γ19!$E$2:$E$4</c:f>
              <c:numCache>
                <c:formatCode>0.0</c:formatCode>
                <c:ptCount val="3"/>
                <c:pt idx="0">
                  <c:v>12.23</c:v>
                </c:pt>
                <c:pt idx="1">
                  <c:v>9.24</c:v>
                </c:pt>
                <c:pt idx="2">
                  <c:v>16.73</c:v>
                </c:pt>
              </c:numCache>
            </c:numRef>
          </c:val>
          <c:extLst>
            <c:ext xmlns:c16="http://schemas.microsoft.com/office/drawing/2014/chart" uri="{C3380CC4-5D6E-409C-BE32-E72D297353CC}">
              <c16:uniqueId val="{00000003-67F1-4FF8-87F1-D8DC02E78000}"/>
            </c:ext>
          </c:extLst>
        </c:ser>
        <c:ser>
          <c:idx val="4"/>
          <c:order val="4"/>
          <c:tx>
            <c:strRef>
              <c:f>Γ19!$F$1</c:f>
              <c:strCache>
                <c:ptCount val="1"/>
                <c:pt idx="0">
                  <c:v>Β2022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Γ19!$A$2:$A$4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Γ19!$F$2:$F$4</c:f>
              <c:numCache>
                <c:formatCode>0.0</c:formatCode>
                <c:ptCount val="3"/>
                <c:pt idx="0">
                  <c:v>13.9</c:v>
                </c:pt>
                <c:pt idx="1">
                  <c:v>6.8</c:v>
                </c:pt>
                <c:pt idx="2">
                  <c:v>16.2</c:v>
                </c:pt>
              </c:numCache>
            </c:numRef>
          </c:val>
          <c:extLst>
            <c:ext xmlns:c16="http://schemas.microsoft.com/office/drawing/2014/chart" uri="{C3380CC4-5D6E-409C-BE32-E72D297353CC}">
              <c16:uniqueId val="{00000004-67F1-4FF8-87F1-D8DC02E78000}"/>
            </c:ext>
          </c:extLst>
        </c:ser>
        <c:ser>
          <c:idx val="5"/>
          <c:order val="5"/>
          <c:tx>
            <c:strRef>
              <c:f>Γ19!$G$1</c:f>
              <c:strCache>
                <c:ptCount val="1"/>
                <c:pt idx="0">
                  <c:v>Α2023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Γ19!$A$2:$A$4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Γ19!$G$2:$G$4</c:f>
              <c:numCache>
                <c:formatCode>0.0</c:formatCode>
                <c:ptCount val="3"/>
                <c:pt idx="0">
                  <c:v>9.6</c:v>
                </c:pt>
                <c:pt idx="1">
                  <c:v>5.6</c:v>
                </c:pt>
                <c:pt idx="2">
                  <c:v>12</c:v>
                </c:pt>
              </c:numCache>
            </c:numRef>
          </c:val>
          <c:extLst>
            <c:ext xmlns:c16="http://schemas.microsoft.com/office/drawing/2014/chart" uri="{C3380CC4-5D6E-409C-BE32-E72D297353CC}">
              <c16:uniqueId val="{00000005-67F1-4FF8-87F1-D8DC02E78000}"/>
            </c:ext>
          </c:extLst>
        </c:ser>
        <c:ser>
          <c:idx val="6"/>
          <c:order val="6"/>
          <c:tx>
            <c:strRef>
              <c:f>Γ19!$H$1</c:f>
              <c:strCache>
                <c:ptCount val="1"/>
                <c:pt idx="0">
                  <c:v>Β2023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Γ19!$A$2:$A$4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Γ19!$H$2:$H$4</c:f>
              <c:numCache>
                <c:formatCode>0.0</c:formatCode>
                <c:ptCount val="3"/>
                <c:pt idx="0">
                  <c:v>13.11</c:v>
                </c:pt>
                <c:pt idx="1">
                  <c:v>7.37</c:v>
                </c:pt>
                <c:pt idx="2">
                  <c:v>10.11</c:v>
                </c:pt>
              </c:numCache>
            </c:numRef>
          </c:val>
          <c:extLst>
            <c:ext xmlns:c16="http://schemas.microsoft.com/office/drawing/2014/chart" uri="{C3380CC4-5D6E-409C-BE32-E72D297353CC}">
              <c16:uniqueId val="{00000006-67F1-4FF8-87F1-D8DC02E78000}"/>
            </c:ext>
          </c:extLst>
        </c:ser>
        <c:ser>
          <c:idx val="7"/>
          <c:order val="7"/>
          <c:tx>
            <c:strRef>
              <c:f>Γ19!$I$1</c:f>
              <c:strCache>
                <c:ptCount val="1"/>
                <c:pt idx="0">
                  <c:v>Α2024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Γ19!$A$2:$A$4</c:f>
              <c:strCache>
                <c:ptCount val="3"/>
                <c:pt idx="0">
                  <c:v>ΜμΕ με 1 καθυστερημένη οφειλή</c:v>
                </c:pt>
                <c:pt idx="1">
                  <c:v>ΜμΕ με 2 καθυστερημένες οφειλές</c:v>
                </c:pt>
                <c:pt idx="2">
                  <c:v>ΜμΕ με 3 ή και περισσότερες καθυστερημένες οφειλές</c:v>
                </c:pt>
              </c:strCache>
            </c:strRef>
          </c:cat>
          <c:val>
            <c:numRef>
              <c:f>Γ19!$I$2:$I$4</c:f>
              <c:numCache>
                <c:formatCode>0.0</c:formatCode>
                <c:ptCount val="3"/>
                <c:pt idx="0">
                  <c:v>11.8</c:v>
                </c:pt>
                <c:pt idx="1">
                  <c:v>7.1</c:v>
                </c:pt>
                <c:pt idx="2">
                  <c:v>10.1</c:v>
                </c:pt>
              </c:numCache>
            </c:numRef>
          </c:val>
          <c:extLst>
            <c:ext xmlns:c16="http://schemas.microsoft.com/office/drawing/2014/chart" uri="{C3380CC4-5D6E-409C-BE32-E72D297353CC}">
              <c16:uniqueId val="{00000007-67F1-4FF8-87F1-D8DC02E78000}"/>
            </c:ext>
          </c:extLst>
        </c:ser>
        <c:dLbls>
          <c:showLegendKey val="0"/>
          <c:showVal val="0"/>
          <c:showCatName val="0"/>
          <c:showSerName val="0"/>
          <c:showPercent val="0"/>
          <c:showBubbleSize val="0"/>
        </c:dLbls>
        <c:gapWidth val="150"/>
        <c:axId val="333570432"/>
        <c:axId val="333571968"/>
      </c:barChart>
      <c:catAx>
        <c:axId val="333570432"/>
        <c:scaling>
          <c:orientation val="minMax"/>
        </c:scaling>
        <c:delete val="0"/>
        <c:axPos val="b"/>
        <c:numFmt formatCode="General" sourceLinked="0"/>
        <c:majorTickMark val="out"/>
        <c:minorTickMark val="none"/>
        <c:tickLblPos val="nextTo"/>
        <c:crossAx val="333571968"/>
        <c:crosses val="autoZero"/>
        <c:auto val="1"/>
        <c:lblAlgn val="ctr"/>
        <c:lblOffset val="100"/>
        <c:noMultiLvlLbl val="0"/>
      </c:catAx>
      <c:valAx>
        <c:axId val="333571968"/>
        <c:scaling>
          <c:orientation val="minMax"/>
        </c:scaling>
        <c:delete val="1"/>
        <c:axPos val="l"/>
        <c:majorGridlines/>
        <c:numFmt formatCode="0.0" sourceLinked="1"/>
        <c:majorTickMark val="out"/>
        <c:minorTickMark val="none"/>
        <c:tickLblPos val="nextTo"/>
        <c:crossAx val="333570432"/>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2</a:t>
            </a:r>
          </a:p>
          <a:p>
            <a:pPr>
              <a:defRPr sz="1200"/>
            </a:pPr>
            <a:r>
              <a:rPr lang="el-GR" sz="1200"/>
              <a:t>Δείκτης</a:t>
            </a:r>
            <a:r>
              <a:rPr lang="el-GR" sz="1200" baseline="0"/>
              <a:t> προσδοκιών ΜμΕ</a:t>
            </a:r>
            <a:endParaRPr lang="el-GR" sz="1200"/>
          </a:p>
        </c:rich>
      </c:tx>
      <c:overlay val="0"/>
    </c:title>
    <c:autoTitleDeleted val="0"/>
    <c:plotArea>
      <c:layout/>
      <c:lineChart>
        <c:grouping val="standard"/>
        <c:varyColors val="0"/>
        <c:ser>
          <c:idx val="0"/>
          <c:order val="0"/>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Γ2!$B$2:$Y$2</c:f>
              <c:strCache>
                <c:ptCount val="24"/>
                <c:pt idx="0">
                  <c:v>Α2013</c:v>
                </c:pt>
                <c:pt idx="1">
                  <c:v>Β2013</c:v>
                </c:pt>
                <c:pt idx="2">
                  <c:v>Α2014</c:v>
                </c:pt>
                <c:pt idx="3">
                  <c:v>Β2014</c:v>
                </c:pt>
                <c:pt idx="4">
                  <c:v>Α2015</c:v>
                </c:pt>
                <c:pt idx="5">
                  <c:v>Β2015</c:v>
                </c:pt>
                <c:pt idx="6">
                  <c:v>Α2016</c:v>
                </c:pt>
                <c:pt idx="7">
                  <c:v>Β2016</c:v>
                </c:pt>
                <c:pt idx="8">
                  <c:v>Α2017</c:v>
                </c:pt>
                <c:pt idx="9">
                  <c:v>Β2017</c:v>
                </c:pt>
                <c:pt idx="10">
                  <c:v>Α2018</c:v>
                </c:pt>
                <c:pt idx="11">
                  <c:v>Β2018</c:v>
                </c:pt>
                <c:pt idx="12">
                  <c:v>Α2019</c:v>
                </c:pt>
                <c:pt idx="13">
                  <c:v>Β2019</c:v>
                </c:pt>
                <c:pt idx="14">
                  <c:v>Α2020</c:v>
                </c:pt>
                <c:pt idx="15">
                  <c:v>Β2020</c:v>
                </c:pt>
                <c:pt idx="16">
                  <c:v>Α2021</c:v>
                </c:pt>
                <c:pt idx="17">
                  <c:v>Β2021</c:v>
                </c:pt>
                <c:pt idx="18">
                  <c:v>Α2022</c:v>
                </c:pt>
                <c:pt idx="19">
                  <c:v>Β2022</c:v>
                </c:pt>
                <c:pt idx="20">
                  <c:v>Α2023</c:v>
                </c:pt>
                <c:pt idx="21">
                  <c:v>Β2023</c:v>
                </c:pt>
                <c:pt idx="22">
                  <c:v>Α2024</c:v>
                </c:pt>
                <c:pt idx="23">
                  <c:v>Β2024</c:v>
                </c:pt>
              </c:strCache>
            </c:strRef>
          </c:cat>
          <c:val>
            <c:numRef>
              <c:f>Γ2!$B$3:$Y$3</c:f>
              <c:numCache>
                <c:formatCode>0.0</c:formatCode>
                <c:ptCount val="24"/>
                <c:pt idx="0">
                  <c:v>17.917917917917919</c:v>
                </c:pt>
                <c:pt idx="1">
                  <c:v>24.599999999999994</c:v>
                </c:pt>
                <c:pt idx="2">
                  <c:v>29.700000000000003</c:v>
                </c:pt>
                <c:pt idx="3">
                  <c:v>35.170340681362731</c:v>
                </c:pt>
                <c:pt idx="4">
                  <c:v>41.341341341341348</c:v>
                </c:pt>
                <c:pt idx="5">
                  <c:v>15.700000000000003</c:v>
                </c:pt>
                <c:pt idx="6">
                  <c:v>24.924924924924923</c:v>
                </c:pt>
                <c:pt idx="7">
                  <c:v>30.799999999999997</c:v>
                </c:pt>
                <c:pt idx="8">
                  <c:v>30.992978936810417</c:v>
                </c:pt>
                <c:pt idx="9">
                  <c:v>41.482965931863724</c:v>
                </c:pt>
                <c:pt idx="10">
                  <c:v>46.666666666666664</c:v>
                </c:pt>
                <c:pt idx="11">
                  <c:v>52.958876629889673</c:v>
                </c:pt>
                <c:pt idx="12">
                  <c:v>58.758758758758759</c:v>
                </c:pt>
                <c:pt idx="13">
                  <c:v>61.933534743202422</c:v>
                </c:pt>
                <c:pt idx="14">
                  <c:v>66.365461847389554</c:v>
                </c:pt>
                <c:pt idx="15">
                  <c:v>20.140986908358514</c:v>
                </c:pt>
                <c:pt idx="16">
                  <c:v>20.12012012012012</c:v>
                </c:pt>
                <c:pt idx="17">
                  <c:v>46.277665995975859</c:v>
                </c:pt>
                <c:pt idx="18">
                  <c:v>52.361809045226131</c:v>
                </c:pt>
                <c:pt idx="19">
                  <c:v>54.33467741935484</c:v>
                </c:pt>
                <c:pt idx="20">
                  <c:v>69.469469469469473</c:v>
                </c:pt>
                <c:pt idx="21">
                  <c:v>66.734279918864104</c:v>
                </c:pt>
                <c:pt idx="22">
                  <c:v>63.891675025075223</c:v>
                </c:pt>
                <c:pt idx="23">
                  <c:v>55</c:v>
                </c:pt>
              </c:numCache>
            </c:numRef>
          </c:val>
          <c:smooth val="0"/>
          <c:extLst>
            <c:ext xmlns:c16="http://schemas.microsoft.com/office/drawing/2014/chart" uri="{C3380CC4-5D6E-409C-BE32-E72D297353CC}">
              <c16:uniqueId val="{00000000-AE43-4582-8406-31C91D0DB581}"/>
            </c:ext>
          </c:extLst>
        </c:ser>
        <c:dLbls>
          <c:showLegendKey val="0"/>
          <c:showVal val="0"/>
          <c:showCatName val="0"/>
          <c:showSerName val="0"/>
          <c:showPercent val="0"/>
          <c:showBubbleSize val="0"/>
        </c:dLbls>
        <c:smooth val="0"/>
        <c:axId val="286686592"/>
        <c:axId val="286631040"/>
      </c:lineChart>
      <c:catAx>
        <c:axId val="286686592"/>
        <c:scaling>
          <c:orientation val="minMax"/>
        </c:scaling>
        <c:delete val="0"/>
        <c:axPos val="b"/>
        <c:numFmt formatCode="General" sourceLinked="0"/>
        <c:majorTickMark val="out"/>
        <c:minorTickMark val="none"/>
        <c:tickLblPos val="nextTo"/>
        <c:txPr>
          <a:bodyPr/>
          <a:lstStyle/>
          <a:p>
            <a:pPr>
              <a:defRPr sz="700"/>
            </a:pPr>
            <a:endParaRPr lang="el-GR"/>
          </a:p>
        </c:txPr>
        <c:crossAx val="286631040"/>
        <c:crosses val="autoZero"/>
        <c:auto val="1"/>
        <c:lblAlgn val="ctr"/>
        <c:lblOffset val="100"/>
        <c:noMultiLvlLbl val="0"/>
      </c:catAx>
      <c:valAx>
        <c:axId val="286631040"/>
        <c:scaling>
          <c:orientation val="minMax"/>
        </c:scaling>
        <c:delete val="0"/>
        <c:axPos val="l"/>
        <c:majorGridlines/>
        <c:numFmt formatCode="0.0" sourceLinked="1"/>
        <c:majorTickMark val="out"/>
        <c:minorTickMark val="none"/>
        <c:tickLblPos val="nextTo"/>
        <c:crossAx val="286686592"/>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baseline="0">
                <a:effectLst/>
              </a:rPr>
              <a:t>Γράφημα 20</a:t>
            </a:r>
          </a:p>
          <a:p>
            <a:pPr>
              <a:defRPr sz="1200"/>
            </a:pPr>
            <a:r>
              <a:rPr lang="el-GR" sz="1200" b="1" i="0" baseline="0">
                <a:effectLst/>
              </a:rPr>
              <a:t>Ποσοστό ΜμΕ με καθυστερημένες υποχρεώσεις</a:t>
            </a:r>
            <a:endParaRPr lang="el-GR" sz="1200">
              <a:effectLst/>
            </a:endParaRPr>
          </a:p>
          <a:p>
            <a:pPr>
              <a:defRPr sz="1200"/>
            </a:pPr>
            <a:r>
              <a:rPr lang="el-GR" sz="1200" b="1" i="0" baseline="0">
                <a:effectLst/>
              </a:rPr>
              <a:t>ανά κατηγορία υποχρεώσης (Α εξάμηνο 2024)</a:t>
            </a:r>
            <a:endParaRPr lang="el-GR" sz="1200">
              <a:effectLst/>
            </a:endParaRPr>
          </a:p>
          <a:p>
            <a:pPr>
              <a:defRPr sz="1200"/>
            </a:pPr>
            <a:r>
              <a:rPr lang="el-GR" sz="1200" b="1" i="0" baseline="0">
                <a:effectLst/>
              </a:rPr>
              <a:t>-Αποτίμηση-</a:t>
            </a:r>
            <a:endParaRPr lang="el-GR" sz="1200">
              <a:effectLst/>
            </a:endParaRPr>
          </a:p>
        </c:rich>
      </c:tx>
      <c:overlay val="0"/>
    </c:title>
    <c:autoTitleDeleted val="0"/>
    <c:plotArea>
      <c:layout/>
      <c:barChart>
        <c:barDir val="bar"/>
        <c:grouping val="clustered"/>
        <c:varyColors val="0"/>
        <c:ser>
          <c:idx val="0"/>
          <c:order val="0"/>
          <c:tx>
            <c:strRef>
              <c:f>Γ20!$B$1</c:f>
              <c:strCache>
                <c:ptCount val="1"/>
                <c:pt idx="0">
                  <c:v>Α 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Γ20!$A$2:$A$9</c:f>
              <c:strCache>
                <c:ptCount val="8"/>
                <c:pt idx="0">
                  <c:v>Σε προμηθευτές</c:v>
                </c:pt>
                <c:pt idx="1">
                  <c:v>Στον πρώην ΟΑΕΕ </c:v>
                </c:pt>
                <c:pt idx="2">
                  <c:v>Στην εφορία </c:v>
                </c:pt>
                <c:pt idx="3">
                  <c:v>Σε λογαριασμούς ενέργειας </c:v>
                </c:pt>
                <c:pt idx="4">
                  <c:v>Για ενοίκιο*</c:v>
                </c:pt>
                <c:pt idx="5">
                  <c:v>Σε λοιπούς λογαριασμούς </c:v>
                </c:pt>
                <c:pt idx="6">
                  <c:v>Στις τράπεζες/ δάνεια*</c:v>
                </c:pt>
                <c:pt idx="7">
                  <c:v>Στο πρώην ΙΚΑ*</c:v>
                </c:pt>
              </c:strCache>
            </c:strRef>
          </c:cat>
          <c:val>
            <c:numRef>
              <c:f>Γ20!$B$2:$B$9</c:f>
              <c:numCache>
                <c:formatCode>General</c:formatCode>
                <c:ptCount val="8"/>
                <c:pt idx="0">
                  <c:v>11.8</c:v>
                </c:pt>
                <c:pt idx="1">
                  <c:v>13.9</c:v>
                </c:pt>
                <c:pt idx="2">
                  <c:v>12.7</c:v>
                </c:pt>
                <c:pt idx="3">
                  <c:v>7.7</c:v>
                </c:pt>
                <c:pt idx="4">
                  <c:v>7.2</c:v>
                </c:pt>
                <c:pt idx="5">
                  <c:v>5.2</c:v>
                </c:pt>
                <c:pt idx="6">
                  <c:v>7</c:v>
                </c:pt>
                <c:pt idx="7">
                  <c:v>5.7</c:v>
                </c:pt>
              </c:numCache>
            </c:numRef>
          </c:val>
          <c:extLst>
            <c:ext xmlns:c16="http://schemas.microsoft.com/office/drawing/2014/chart" uri="{C3380CC4-5D6E-409C-BE32-E72D297353CC}">
              <c16:uniqueId val="{00000000-62B3-4CC3-8780-65C1A508F142}"/>
            </c:ext>
          </c:extLst>
        </c:ser>
        <c:dLbls>
          <c:showLegendKey val="0"/>
          <c:showVal val="0"/>
          <c:showCatName val="0"/>
          <c:showSerName val="0"/>
          <c:showPercent val="0"/>
          <c:showBubbleSize val="0"/>
        </c:dLbls>
        <c:gapWidth val="150"/>
        <c:axId val="333105792"/>
        <c:axId val="333111680"/>
      </c:barChart>
      <c:catAx>
        <c:axId val="333105792"/>
        <c:scaling>
          <c:orientation val="maxMin"/>
        </c:scaling>
        <c:delete val="0"/>
        <c:axPos val="l"/>
        <c:numFmt formatCode="General" sourceLinked="0"/>
        <c:majorTickMark val="out"/>
        <c:minorTickMark val="none"/>
        <c:tickLblPos val="nextTo"/>
        <c:crossAx val="333111680"/>
        <c:crosses val="autoZero"/>
        <c:auto val="1"/>
        <c:lblAlgn val="ctr"/>
        <c:lblOffset val="100"/>
        <c:noMultiLvlLbl val="0"/>
      </c:catAx>
      <c:valAx>
        <c:axId val="333111680"/>
        <c:scaling>
          <c:orientation val="minMax"/>
        </c:scaling>
        <c:delete val="1"/>
        <c:axPos val="t"/>
        <c:numFmt formatCode="General" sourceLinked="1"/>
        <c:majorTickMark val="out"/>
        <c:minorTickMark val="none"/>
        <c:tickLblPos val="nextTo"/>
        <c:crossAx val="333105792"/>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Γράφημα</a:t>
            </a:r>
            <a:r>
              <a:rPr lang="el-GR" sz="1200" baseline="0"/>
              <a:t> 21</a:t>
            </a:r>
          </a:p>
          <a:p>
            <a:pPr>
              <a:defRPr sz="1200"/>
            </a:pPr>
            <a:r>
              <a:rPr lang="el-GR" sz="1200"/>
              <a:t>Συνολικό ύψος οφειλής/ων </a:t>
            </a:r>
          </a:p>
          <a:p>
            <a:pPr>
              <a:defRPr sz="1200"/>
            </a:pPr>
            <a:r>
              <a:rPr lang="el-GR" sz="800"/>
              <a:t>ΒΑΣΗ: Όσοι έχουν καθυστερημένες οφειλές έστω και σε μια κατηγορία υποχρεώσεων </a:t>
            </a:r>
          </a:p>
        </c:rich>
      </c:tx>
      <c:overlay val="0"/>
    </c:title>
    <c:autoTitleDeleted val="0"/>
    <c:plotArea>
      <c:layout/>
      <c:barChart>
        <c:barDir val="bar"/>
        <c:grouping val="clustered"/>
        <c:varyColors val="0"/>
        <c:ser>
          <c:idx val="0"/>
          <c:order val="0"/>
          <c:tx>
            <c:strRef>
              <c:f>Γ21!$B$2</c:f>
              <c:strCache>
                <c:ptCount val="1"/>
                <c:pt idx="0">
                  <c:v>Συνολικό ύψος οφειλής/ων ΒΑΣΗ: Όσοι έχουν καθυστερημένες οφειλές έστω και σε μια κατηγορία υποχρεώσεων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Γ21!$A$3:$A$13</c:f>
              <c:strCache>
                <c:ptCount val="11"/>
                <c:pt idx="0">
                  <c:v>Έως 500 ευρώ</c:v>
                </c:pt>
                <c:pt idx="1">
                  <c:v>501-1.000</c:v>
                </c:pt>
                <c:pt idx="2">
                  <c:v>1.001-2.000</c:v>
                </c:pt>
                <c:pt idx="3">
                  <c:v>2.001-4.000</c:v>
                </c:pt>
                <c:pt idx="4">
                  <c:v>4001-5.000</c:v>
                </c:pt>
                <c:pt idx="5">
                  <c:v>5.001-10.000</c:v>
                </c:pt>
                <c:pt idx="6">
                  <c:v>10.001-20.000</c:v>
                </c:pt>
                <c:pt idx="7">
                  <c:v>20.001-50.000</c:v>
                </c:pt>
                <c:pt idx="8">
                  <c:v>50.001-100.000</c:v>
                </c:pt>
                <c:pt idx="9">
                  <c:v>&gt;100.000</c:v>
                </c:pt>
                <c:pt idx="10">
                  <c:v>ΔΑ</c:v>
                </c:pt>
              </c:strCache>
            </c:strRef>
          </c:cat>
          <c:val>
            <c:numRef>
              <c:f>Γ21!$B$3:$B$13</c:f>
              <c:numCache>
                <c:formatCode>General</c:formatCode>
                <c:ptCount val="11"/>
                <c:pt idx="0">
                  <c:v>2.5</c:v>
                </c:pt>
                <c:pt idx="1">
                  <c:v>4.0999999999999996</c:v>
                </c:pt>
                <c:pt idx="2">
                  <c:v>6.2</c:v>
                </c:pt>
                <c:pt idx="3">
                  <c:v>7.1</c:v>
                </c:pt>
                <c:pt idx="4">
                  <c:v>6.6</c:v>
                </c:pt>
                <c:pt idx="5">
                  <c:v>16.600000000000001</c:v>
                </c:pt>
                <c:pt idx="6">
                  <c:v>12.9</c:v>
                </c:pt>
                <c:pt idx="7">
                  <c:v>14.1</c:v>
                </c:pt>
                <c:pt idx="8">
                  <c:v>7.5</c:v>
                </c:pt>
                <c:pt idx="9">
                  <c:v>7.9</c:v>
                </c:pt>
                <c:pt idx="10">
                  <c:v>14.5</c:v>
                </c:pt>
              </c:numCache>
            </c:numRef>
          </c:val>
          <c:extLst>
            <c:ext xmlns:c16="http://schemas.microsoft.com/office/drawing/2014/chart" uri="{C3380CC4-5D6E-409C-BE32-E72D297353CC}">
              <c16:uniqueId val="{00000000-2E2E-4DBD-9FD7-43F74A422F9B}"/>
            </c:ext>
          </c:extLst>
        </c:ser>
        <c:dLbls>
          <c:showLegendKey val="0"/>
          <c:showVal val="0"/>
          <c:showCatName val="0"/>
          <c:showSerName val="0"/>
          <c:showPercent val="0"/>
          <c:showBubbleSize val="0"/>
        </c:dLbls>
        <c:gapWidth val="150"/>
        <c:axId val="333406976"/>
        <c:axId val="333408512"/>
      </c:barChart>
      <c:catAx>
        <c:axId val="333406976"/>
        <c:scaling>
          <c:orientation val="maxMin"/>
        </c:scaling>
        <c:delete val="0"/>
        <c:axPos val="l"/>
        <c:numFmt formatCode="General" sourceLinked="0"/>
        <c:majorTickMark val="out"/>
        <c:minorTickMark val="none"/>
        <c:tickLblPos val="nextTo"/>
        <c:crossAx val="333408512"/>
        <c:crosses val="autoZero"/>
        <c:auto val="1"/>
        <c:lblAlgn val="ctr"/>
        <c:lblOffset val="100"/>
        <c:noMultiLvlLbl val="0"/>
      </c:catAx>
      <c:valAx>
        <c:axId val="333408512"/>
        <c:scaling>
          <c:orientation val="minMax"/>
        </c:scaling>
        <c:delete val="1"/>
        <c:axPos val="t"/>
        <c:numFmt formatCode="General" sourceLinked="1"/>
        <c:majorTickMark val="out"/>
        <c:minorTickMark val="none"/>
        <c:tickLblPos val="nextTo"/>
        <c:crossAx val="333406976"/>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baseline="0">
                <a:effectLst/>
              </a:rPr>
              <a:t>Γράφημα 22</a:t>
            </a:r>
          </a:p>
          <a:p>
            <a:pPr>
              <a:defRPr sz="1200"/>
            </a:pPr>
            <a:r>
              <a:rPr lang="el-GR" sz="1200" b="1" i="0" baseline="0">
                <a:effectLst/>
              </a:rPr>
              <a:t>Ποσοστό ΜμΕ που δήλωσαν ότι δεν θα μπορέσουν να ανταποκριθούν στις υποχρεώσεις τους το δεύτερο εξάμηνο του 2024</a:t>
            </a:r>
            <a:endParaRPr lang="el-GR" sz="1200">
              <a:effectLst/>
            </a:endParaRPr>
          </a:p>
        </c:rich>
      </c:tx>
      <c:overlay val="0"/>
    </c:title>
    <c:autoTitleDeleted val="0"/>
    <c:plotArea>
      <c:layout/>
      <c:barChart>
        <c:barDir val="bar"/>
        <c:grouping val="clustered"/>
        <c:varyColors val="0"/>
        <c:ser>
          <c:idx val="0"/>
          <c:order val="0"/>
          <c:tx>
            <c:strRef>
              <c:f>Γ22!$B$1</c:f>
              <c:strCache>
                <c:ptCount val="1"/>
                <c:pt idx="0">
                  <c:v>Β2024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Γ22!$A$2:$A$9</c:f>
              <c:strCache>
                <c:ptCount val="8"/>
                <c:pt idx="0">
                  <c:v>Στον πρώην ΟΑΕΕ </c:v>
                </c:pt>
                <c:pt idx="1">
                  <c:v>Στην εφορία </c:v>
                </c:pt>
                <c:pt idx="2">
                  <c:v>Σε λογαριασμούς ενέργειας </c:v>
                </c:pt>
                <c:pt idx="3">
                  <c:v>Για ενοίκιο*</c:v>
                </c:pt>
                <c:pt idx="4">
                  <c:v>Σε προμηθευτές</c:v>
                </c:pt>
                <c:pt idx="5">
                  <c:v>Σε λοιπούς λογαριασμούς </c:v>
                </c:pt>
                <c:pt idx="6">
                  <c:v>Στις τράπεζες/ δάνεια*</c:v>
                </c:pt>
                <c:pt idx="7">
                  <c:v>Στο πρώην ΙΚΑ*</c:v>
                </c:pt>
              </c:strCache>
            </c:strRef>
          </c:cat>
          <c:val>
            <c:numRef>
              <c:f>Γ22!$B$2:$B$9</c:f>
              <c:numCache>
                <c:formatCode>General</c:formatCode>
                <c:ptCount val="8"/>
                <c:pt idx="0">
                  <c:v>13.3</c:v>
                </c:pt>
                <c:pt idx="1">
                  <c:v>14.1</c:v>
                </c:pt>
                <c:pt idx="2">
                  <c:v>10.3</c:v>
                </c:pt>
                <c:pt idx="3">
                  <c:v>12.5</c:v>
                </c:pt>
                <c:pt idx="4">
                  <c:v>9.1</c:v>
                </c:pt>
                <c:pt idx="5">
                  <c:v>7.7</c:v>
                </c:pt>
                <c:pt idx="6">
                  <c:v>12.2</c:v>
                </c:pt>
                <c:pt idx="7">
                  <c:v>7.9</c:v>
                </c:pt>
              </c:numCache>
            </c:numRef>
          </c:val>
          <c:extLst>
            <c:ext xmlns:c16="http://schemas.microsoft.com/office/drawing/2014/chart" uri="{C3380CC4-5D6E-409C-BE32-E72D297353CC}">
              <c16:uniqueId val="{00000000-418C-4A63-B81F-DBD42FE2609D}"/>
            </c:ext>
          </c:extLst>
        </c:ser>
        <c:dLbls>
          <c:showLegendKey val="0"/>
          <c:showVal val="0"/>
          <c:showCatName val="0"/>
          <c:showSerName val="0"/>
          <c:showPercent val="0"/>
          <c:showBubbleSize val="0"/>
        </c:dLbls>
        <c:gapWidth val="150"/>
        <c:axId val="333593216"/>
        <c:axId val="333611392"/>
      </c:barChart>
      <c:catAx>
        <c:axId val="333593216"/>
        <c:scaling>
          <c:orientation val="maxMin"/>
        </c:scaling>
        <c:delete val="0"/>
        <c:axPos val="l"/>
        <c:numFmt formatCode="General" sourceLinked="0"/>
        <c:majorTickMark val="out"/>
        <c:minorTickMark val="none"/>
        <c:tickLblPos val="nextTo"/>
        <c:crossAx val="333611392"/>
        <c:crosses val="autoZero"/>
        <c:auto val="1"/>
        <c:lblAlgn val="ctr"/>
        <c:lblOffset val="100"/>
        <c:noMultiLvlLbl val="0"/>
      </c:catAx>
      <c:valAx>
        <c:axId val="333611392"/>
        <c:scaling>
          <c:orientation val="minMax"/>
        </c:scaling>
        <c:delete val="1"/>
        <c:axPos val="t"/>
        <c:numFmt formatCode="General" sourceLinked="1"/>
        <c:majorTickMark val="out"/>
        <c:minorTickMark val="none"/>
        <c:tickLblPos val="nextTo"/>
        <c:crossAx val="333593216"/>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sz="1200" b="1" i="0" baseline="0">
                <a:solidFill>
                  <a:sysClr val="windowText" lastClr="000000"/>
                </a:solidFill>
                <a:effectLst/>
              </a:rPr>
              <a:t>Γράφημα 23 </a:t>
            </a:r>
          </a:p>
          <a:p>
            <a:pPr>
              <a:defRPr sz="1400" b="0" i="0" u="none" strike="noStrike" kern="1200" spc="0" baseline="0">
                <a:solidFill>
                  <a:schemeClr val="tx1">
                    <a:lumMod val="65000"/>
                    <a:lumOff val="35000"/>
                  </a:schemeClr>
                </a:solidFill>
                <a:latin typeface="+mn-lt"/>
                <a:ea typeface="+mn-ea"/>
                <a:cs typeface="+mn-cs"/>
              </a:defRPr>
            </a:pPr>
            <a:r>
              <a:rPr lang="el-GR" sz="1200" b="1" i="0" baseline="0">
                <a:solidFill>
                  <a:sysClr val="windowText" lastClr="000000"/>
                </a:solidFill>
                <a:effectLst/>
              </a:rPr>
              <a:t>Δείκτες αβεβαιότητας και βιωσιμότητας ΜμΕ</a:t>
            </a:r>
          </a:p>
        </c:rich>
      </c:tx>
      <c:overlay val="0"/>
      <c:spPr>
        <a:noFill/>
        <a:ln>
          <a:noFill/>
        </a:ln>
        <a:effectLst/>
      </c:spPr>
    </c:title>
    <c:autoTitleDeleted val="0"/>
    <c:plotArea>
      <c:layout/>
      <c:barChart>
        <c:barDir val="col"/>
        <c:grouping val="clustered"/>
        <c:varyColors val="0"/>
        <c:ser>
          <c:idx val="0"/>
          <c:order val="0"/>
          <c:tx>
            <c:strRef>
              <c:f>Γ23!$B$1</c:f>
              <c:strCache>
                <c:ptCount val="1"/>
                <c:pt idx="0">
                  <c:v>Δείκτης αβεβαιότητας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Γ23!$A$2:$A$12</c:f>
              <c:strCache>
                <c:ptCount val="11"/>
                <c:pt idx="0">
                  <c:v>ΙΟΥΛ. 2019</c:v>
                </c:pt>
                <c:pt idx="1">
                  <c:v>ΦΕΒ. 2020</c:v>
                </c:pt>
                <c:pt idx="2">
                  <c:v>ΙΟΥΛ. 2020</c:v>
                </c:pt>
                <c:pt idx="3">
                  <c:v>ΦΕΒ. 2021</c:v>
                </c:pt>
                <c:pt idx="4">
                  <c:v>ΙΟΥΛ. 2021</c:v>
                </c:pt>
                <c:pt idx="5">
                  <c:v>ΦΕΒ. 2022</c:v>
                </c:pt>
                <c:pt idx="6">
                  <c:v>ΙΟΥΛ. 2022</c:v>
                </c:pt>
                <c:pt idx="7">
                  <c:v>ΦΕΒ. 2023</c:v>
                </c:pt>
                <c:pt idx="8">
                  <c:v>ΙΟΥΛ. 2023</c:v>
                </c:pt>
                <c:pt idx="9">
                  <c:v>ΦΕΒ.  2024</c:v>
                </c:pt>
                <c:pt idx="10">
                  <c:v>ΙΟΥΛ. 2024</c:v>
                </c:pt>
              </c:strCache>
            </c:strRef>
          </c:cat>
          <c:val>
            <c:numRef>
              <c:f>Γ23!$B$2:$B$12</c:f>
              <c:numCache>
                <c:formatCode>General</c:formatCode>
                <c:ptCount val="11"/>
                <c:pt idx="0">
                  <c:v>24.1</c:v>
                </c:pt>
                <c:pt idx="1">
                  <c:v>20.9</c:v>
                </c:pt>
                <c:pt idx="2">
                  <c:v>32.700000000000003</c:v>
                </c:pt>
                <c:pt idx="3">
                  <c:v>38.200000000000003</c:v>
                </c:pt>
                <c:pt idx="4">
                  <c:v>36.700000000000003</c:v>
                </c:pt>
                <c:pt idx="5">
                  <c:v>32.799999999999997</c:v>
                </c:pt>
                <c:pt idx="6" formatCode="0.0">
                  <c:v>38.58</c:v>
                </c:pt>
                <c:pt idx="7">
                  <c:v>28.7</c:v>
                </c:pt>
                <c:pt idx="8">
                  <c:v>30.9</c:v>
                </c:pt>
                <c:pt idx="9">
                  <c:v>35.700000000000003</c:v>
                </c:pt>
                <c:pt idx="10">
                  <c:v>36.6</c:v>
                </c:pt>
              </c:numCache>
            </c:numRef>
          </c:val>
          <c:extLst>
            <c:ext xmlns:c16="http://schemas.microsoft.com/office/drawing/2014/chart" uri="{C3380CC4-5D6E-409C-BE32-E72D297353CC}">
              <c16:uniqueId val="{00000000-85CC-41E2-A0E4-129459ADF45B}"/>
            </c:ext>
          </c:extLst>
        </c:ser>
        <c:dLbls>
          <c:showLegendKey val="0"/>
          <c:showVal val="0"/>
          <c:showCatName val="0"/>
          <c:showSerName val="0"/>
          <c:showPercent val="0"/>
          <c:showBubbleSize val="0"/>
        </c:dLbls>
        <c:gapWidth val="219"/>
        <c:overlap val="-27"/>
        <c:axId val="334355456"/>
        <c:axId val="334365440"/>
      </c:barChart>
      <c:lineChart>
        <c:grouping val="standard"/>
        <c:varyColors val="0"/>
        <c:ser>
          <c:idx val="1"/>
          <c:order val="1"/>
          <c:tx>
            <c:strRef>
              <c:f>Γ23!$C$1</c:f>
              <c:strCache>
                <c:ptCount val="1"/>
                <c:pt idx="0">
                  <c:v>Δείκτης βιωσιμότητας</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Γ23!$A$2:$A$10</c:f>
              <c:strCache>
                <c:ptCount val="9"/>
                <c:pt idx="0">
                  <c:v>ΙΟΥΛ. 2019</c:v>
                </c:pt>
                <c:pt idx="1">
                  <c:v>ΦΕΒ. 2020</c:v>
                </c:pt>
                <c:pt idx="2">
                  <c:v>ΙΟΥΛ. 2020</c:v>
                </c:pt>
                <c:pt idx="3">
                  <c:v>ΦΕΒ. 2021</c:v>
                </c:pt>
                <c:pt idx="4">
                  <c:v>ΙΟΥΛ. 2021</c:v>
                </c:pt>
                <c:pt idx="5">
                  <c:v>ΦΕΒ. 2022</c:v>
                </c:pt>
                <c:pt idx="6">
                  <c:v>ΙΟΥΛ. 2022</c:v>
                </c:pt>
                <c:pt idx="7">
                  <c:v>ΦΕΒ. 2023</c:v>
                </c:pt>
                <c:pt idx="8">
                  <c:v>ΙΟΥΛ. 2023</c:v>
                </c:pt>
              </c:strCache>
            </c:strRef>
          </c:cat>
          <c:val>
            <c:numRef>
              <c:f>Γ23!$C$2:$C$12</c:f>
              <c:numCache>
                <c:formatCode>General</c:formatCode>
                <c:ptCount val="11"/>
                <c:pt idx="0">
                  <c:v>1.7</c:v>
                </c:pt>
                <c:pt idx="1">
                  <c:v>1.4</c:v>
                </c:pt>
                <c:pt idx="2">
                  <c:v>5.9</c:v>
                </c:pt>
                <c:pt idx="3" formatCode="0.0">
                  <c:v>5.9925093632958806</c:v>
                </c:pt>
                <c:pt idx="4">
                  <c:v>4.0999999999999996</c:v>
                </c:pt>
                <c:pt idx="5">
                  <c:v>4.5999999999999996</c:v>
                </c:pt>
                <c:pt idx="6">
                  <c:v>6.5</c:v>
                </c:pt>
                <c:pt idx="7">
                  <c:v>3.6</c:v>
                </c:pt>
                <c:pt idx="8">
                  <c:v>4.7</c:v>
                </c:pt>
                <c:pt idx="9">
                  <c:v>2.2000000000000002</c:v>
                </c:pt>
                <c:pt idx="10">
                  <c:v>3.2</c:v>
                </c:pt>
              </c:numCache>
            </c:numRef>
          </c:val>
          <c:smooth val="0"/>
          <c:extLst>
            <c:ext xmlns:c16="http://schemas.microsoft.com/office/drawing/2014/chart" uri="{C3380CC4-5D6E-409C-BE32-E72D297353CC}">
              <c16:uniqueId val="{00000001-85CC-41E2-A0E4-129459ADF45B}"/>
            </c:ext>
          </c:extLst>
        </c:ser>
        <c:dLbls>
          <c:showLegendKey val="0"/>
          <c:showVal val="0"/>
          <c:showCatName val="0"/>
          <c:showSerName val="0"/>
          <c:showPercent val="0"/>
          <c:showBubbleSize val="0"/>
        </c:dLbls>
        <c:marker val="1"/>
        <c:smooth val="0"/>
        <c:axId val="334355456"/>
        <c:axId val="334365440"/>
      </c:lineChart>
      <c:catAx>
        <c:axId val="33435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34365440"/>
        <c:crosses val="autoZero"/>
        <c:auto val="1"/>
        <c:lblAlgn val="ctr"/>
        <c:lblOffset val="100"/>
        <c:noMultiLvlLbl val="0"/>
      </c:catAx>
      <c:valAx>
        <c:axId val="33436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33435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i="0" cap="all" baseline="0">
                <a:effectLst/>
              </a:rPr>
              <a:t>γ</a:t>
            </a:r>
            <a:r>
              <a:rPr lang="el-GR" sz="1200" b="1" i="0" baseline="0">
                <a:effectLst/>
              </a:rPr>
              <a:t>ράφημα</a:t>
            </a:r>
            <a:r>
              <a:rPr lang="el-GR" sz="1200" b="1" i="0" cap="all" baseline="0">
                <a:effectLst/>
              </a:rPr>
              <a:t> 3</a:t>
            </a:r>
            <a:endParaRPr lang="el-GR" sz="1200">
              <a:effectLst/>
            </a:endParaRPr>
          </a:p>
          <a:p>
            <a:pPr>
              <a:defRPr/>
            </a:pPr>
            <a:r>
              <a:rPr lang="el-GR" sz="1200" b="1" i="0" cap="all" baseline="0">
                <a:effectLst/>
              </a:rPr>
              <a:t>κυκλοσ ΕΡΓΑΣΙΩΝ - ΑΠΟΤΙΜΗΣΗ ΕΞΑΜΗΝΟΥ</a:t>
            </a:r>
            <a:endParaRPr lang="el-GR" sz="1200">
              <a:effectLst/>
            </a:endParaRPr>
          </a:p>
          <a:p>
            <a:pPr>
              <a:defRPr/>
            </a:pPr>
            <a:r>
              <a:rPr lang="el-GR" sz="1200" b="1" i="0" cap="all" baseline="0">
                <a:effectLst/>
              </a:rPr>
              <a:t>δ</a:t>
            </a:r>
            <a:r>
              <a:rPr lang="el-GR" sz="1200" b="1" i="0" baseline="0">
                <a:effectLst/>
              </a:rPr>
              <a:t>ιαχρονικό</a:t>
            </a:r>
            <a:r>
              <a:rPr lang="el-GR" sz="1200" b="1" i="0" cap="all" baseline="0">
                <a:effectLst/>
              </a:rPr>
              <a:t> γ</a:t>
            </a:r>
            <a:r>
              <a:rPr lang="el-GR" sz="1200" b="1" i="0" baseline="0">
                <a:effectLst/>
              </a:rPr>
              <a:t>ράφημα</a:t>
            </a:r>
            <a:endParaRPr lang="el-GR" sz="1200">
              <a:effectLst/>
            </a:endParaRPr>
          </a:p>
        </c:rich>
      </c:tx>
      <c:overlay val="0"/>
    </c:title>
    <c:autoTitleDeleted val="0"/>
    <c:plotArea>
      <c:layout/>
      <c:barChart>
        <c:barDir val="col"/>
        <c:grouping val="clustered"/>
        <c:varyColors val="0"/>
        <c:ser>
          <c:idx val="0"/>
          <c:order val="0"/>
          <c:tx>
            <c:strRef>
              <c:f>Γ3!$B$1</c:f>
              <c:strCache>
                <c:ptCount val="1"/>
                <c:pt idx="0">
                  <c:v>Αύξηση</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Γ3!$A$2:$A$11</c:f>
              <c:strCache>
                <c:ptCount val="10"/>
                <c:pt idx="0">
                  <c:v>Β2019</c:v>
                </c:pt>
                <c:pt idx="1">
                  <c:v>Α2020</c:v>
                </c:pt>
                <c:pt idx="2">
                  <c:v>Β2020</c:v>
                </c:pt>
                <c:pt idx="3">
                  <c:v>Α2021</c:v>
                </c:pt>
                <c:pt idx="4">
                  <c:v>Β2021</c:v>
                </c:pt>
                <c:pt idx="5">
                  <c:v>Α2022</c:v>
                </c:pt>
                <c:pt idx="6">
                  <c:v>Β2022</c:v>
                </c:pt>
                <c:pt idx="7">
                  <c:v>Α2023</c:v>
                </c:pt>
                <c:pt idx="8">
                  <c:v>Β2023</c:v>
                </c:pt>
                <c:pt idx="9">
                  <c:v>Α2024</c:v>
                </c:pt>
              </c:strCache>
            </c:strRef>
          </c:cat>
          <c:val>
            <c:numRef>
              <c:f>Γ3!$B$2:$B$11</c:f>
              <c:numCache>
                <c:formatCode>General</c:formatCode>
                <c:ptCount val="10"/>
                <c:pt idx="0">
                  <c:v>29.6</c:v>
                </c:pt>
                <c:pt idx="1">
                  <c:v>5.9</c:v>
                </c:pt>
                <c:pt idx="2">
                  <c:v>11.1</c:v>
                </c:pt>
                <c:pt idx="3">
                  <c:v>20</c:v>
                </c:pt>
                <c:pt idx="4">
                  <c:v>28.1</c:v>
                </c:pt>
                <c:pt idx="5">
                  <c:v>24.2</c:v>
                </c:pt>
                <c:pt idx="6">
                  <c:v>33.299999999999997</c:v>
                </c:pt>
                <c:pt idx="7">
                  <c:v>30.2</c:v>
                </c:pt>
                <c:pt idx="8">
                  <c:v>29.1</c:v>
                </c:pt>
                <c:pt idx="9">
                  <c:v>20.5</c:v>
                </c:pt>
              </c:numCache>
            </c:numRef>
          </c:val>
          <c:extLst>
            <c:ext xmlns:c16="http://schemas.microsoft.com/office/drawing/2014/chart" uri="{C3380CC4-5D6E-409C-BE32-E72D297353CC}">
              <c16:uniqueId val="{00000000-5F8F-4E07-AAA5-E2C0046D4A8F}"/>
            </c:ext>
          </c:extLst>
        </c:ser>
        <c:ser>
          <c:idx val="1"/>
          <c:order val="1"/>
          <c:tx>
            <c:strRef>
              <c:f>Γ3!$C$1</c:f>
              <c:strCache>
                <c:ptCount val="1"/>
                <c:pt idx="0">
                  <c:v>Μείωση</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Γ3!$A$2:$A$11</c:f>
              <c:strCache>
                <c:ptCount val="10"/>
                <c:pt idx="0">
                  <c:v>Β2019</c:v>
                </c:pt>
                <c:pt idx="1">
                  <c:v>Α2020</c:v>
                </c:pt>
                <c:pt idx="2">
                  <c:v>Β2020</c:v>
                </c:pt>
                <c:pt idx="3">
                  <c:v>Α2021</c:v>
                </c:pt>
                <c:pt idx="4">
                  <c:v>Β2021</c:v>
                </c:pt>
                <c:pt idx="5">
                  <c:v>Α2022</c:v>
                </c:pt>
                <c:pt idx="6">
                  <c:v>Β2022</c:v>
                </c:pt>
                <c:pt idx="7">
                  <c:v>Α2023</c:v>
                </c:pt>
                <c:pt idx="8">
                  <c:v>Β2023</c:v>
                </c:pt>
                <c:pt idx="9">
                  <c:v>Α2024</c:v>
                </c:pt>
              </c:strCache>
            </c:strRef>
          </c:cat>
          <c:val>
            <c:numRef>
              <c:f>Γ3!$C$2:$C$11</c:f>
              <c:numCache>
                <c:formatCode>General</c:formatCode>
                <c:ptCount val="10"/>
                <c:pt idx="0">
                  <c:v>30</c:v>
                </c:pt>
                <c:pt idx="1">
                  <c:v>80.599999999999994</c:v>
                </c:pt>
                <c:pt idx="2">
                  <c:v>70.7</c:v>
                </c:pt>
                <c:pt idx="3">
                  <c:v>55</c:v>
                </c:pt>
                <c:pt idx="4">
                  <c:v>46.5</c:v>
                </c:pt>
                <c:pt idx="5">
                  <c:v>46.3</c:v>
                </c:pt>
                <c:pt idx="6">
                  <c:v>33.299999999999997</c:v>
                </c:pt>
                <c:pt idx="7">
                  <c:v>32.299999999999997</c:v>
                </c:pt>
                <c:pt idx="8">
                  <c:v>34.200000000000003</c:v>
                </c:pt>
                <c:pt idx="9">
                  <c:v>46.2</c:v>
                </c:pt>
              </c:numCache>
            </c:numRef>
          </c:val>
          <c:extLst>
            <c:ext xmlns:c16="http://schemas.microsoft.com/office/drawing/2014/chart" uri="{C3380CC4-5D6E-409C-BE32-E72D297353CC}">
              <c16:uniqueId val="{00000001-5F8F-4E07-AAA5-E2C0046D4A8F}"/>
            </c:ext>
          </c:extLst>
        </c:ser>
        <c:ser>
          <c:idx val="2"/>
          <c:order val="2"/>
          <c:tx>
            <c:strRef>
              <c:f>Γ3!$D$1</c:f>
              <c:strCache>
                <c:ptCount val="1"/>
                <c:pt idx="0">
                  <c:v>Αμετάβλητος</c:v>
                </c:pt>
              </c:strCache>
            </c:strRef>
          </c:tx>
          <c:invertIfNegative val="0"/>
          <c:dLbls>
            <c:spPr>
              <a:noFill/>
              <a:ln>
                <a:noFill/>
              </a:ln>
              <a:effectLst/>
            </c:spPr>
            <c:txPr>
              <a:bodyPr/>
              <a:lstStyle/>
              <a:p>
                <a:pPr>
                  <a:defRPr sz="800"/>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Γ3!$A$2:$A$11</c:f>
              <c:strCache>
                <c:ptCount val="10"/>
                <c:pt idx="0">
                  <c:v>Β2019</c:v>
                </c:pt>
                <c:pt idx="1">
                  <c:v>Α2020</c:v>
                </c:pt>
                <c:pt idx="2">
                  <c:v>Β2020</c:v>
                </c:pt>
                <c:pt idx="3">
                  <c:v>Α2021</c:v>
                </c:pt>
                <c:pt idx="4">
                  <c:v>Β2021</c:v>
                </c:pt>
                <c:pt idx="5">
                  <c:v>Α2022</c:v>
                </c:pt>
                <c:pt idx="6">
                  <c:v>Β2022</c:v>
                </c:pt>
                <c:pt idx="7">
                  <c:v>Α2023</c:v>
                </c:pt>
                <c:pt idx="8">
                  <c:v>Β2023</c:v>
                </c:pt>
                <c:pt idx="9">
                  <c:v>Α2024</c:v>
                </c:pt>
              </c:strCache>
            </c:strRef>
          </c:cat>
          <c:val>
            <c:numRef>
              <c:f>Γ3!$D$2:$D$11</c:f>
              <c:numCache>
                <c:formatCode>General</c:formatCode>
                <c:ptCount val="10"/>
                <c:pt idx="0">
                  <c:v>39.9</c:v>
                </c:pt>
                <c:pt idx="1">
                  <c:v>10.8</c:v>
                </c:pt>
                <c:pt idx="2">
                  <c:v>16.899999999999999</c:v>
                </c:pt>
                <c:pt idx="3">
                  <c:v>23</c:v>
                </c:pt>
                <c:pt idx="4">
                  <c:v>23.7</c:v>
                </c:pt>
                <c:pt idx="5">
                  <c:v>26.8</c:v>
                </c:pt>
                <c:pt idx="6">
                  <c:v>32.1</c:v>
                </c:pt>
                <c:pt idx="7">
                  <c:v>35.200000000000003</c:v>
                </c:pt>
                <c:pt idx="8">
                  <c:v>34.6</c:v>
                </c:pt>
                <c:pt idx="9">
                  <c:v>31.1</c:v>
                </c:pt>
              </c:numCache>
            </c:numRef>
          </c:val>
          <c:extLst>
            <c:ext xmlns:c16="http://schemas.microsoft.com/office/drawing/2014/chart" uri="{C3380CC4-5D6E-409C-BE32-E72D297353CC}">
              <c16:uniqueId val="{00000002-5F8F-4E07-AAA5-E2C0046D4A8F}"/>
            </c:ext>
          </c:extLst>
        </c:ser>
        <c:dLbls>
          <c:showLegendKey val="0"/>
          <c:showVal val="1"/>
          <c:showCatName val="0"/>
          <c:showSerName val="0"/>
          <c:showPercent val="0"/>
          <c:showBubbleSize val="0"/>
        </c:dLbls>
        <c:gapWidth val="150"/>
        <c:overlap val="-25"/>
        <c:axId val="288760192"/>
        <c:axId val="288761728"/>
      </c:barChart>
      <c:catAx>
        <c:axId val="288760192"/>
        <c:scaling>
          <c:orientation val="minMax"/>
        </c:scaling>
        <c:delete val="0"/>
        <c:axPos val="b"/>
        <c:numFmt formatCode="General" sourceLinked="0"/>
        <c:majorTickMark val="none"/>
        <c:minorTickMark val="none"/>
        <c:tickLblPos val="nextTo"/>
        <c:crossAx val="288761728"/>
        <c:crosses val="autoZero"/>
        <c:auto val="1"/>
        <c:lblAlgn val="ctr"/>
        <c:lblOffset val="100"/>
        <c:noMultiLvlLbl val="0"/>
      </c:catAx>
      <c:valAx>
        <c:axId val="288761728"/>
        <c:scaling>
          <c:orientation val="minMax"/>
        </c:scaling>
        <c:delete val="1"/>
        <c:axPos val="l"/>
        <c:numFmt formatCode="General" sourceLinked="1"/>
        <c:majorTickMark val="none"/>
        <c:minorTickMark val="none"/>
        <c:tickLblPos val="nextTo"/>
        <c:crossAx val="288760192"/>
        <c:crosses val="autoZero"/>
        <c:crossBetween val="between"/>
      </c:valAx>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800" b="1" i="0" baseline="0">
                <a:effectLst/>
              </a:rPr>
              <a:t>Γράφημα 4</a:t>
            </a:r>
            <a:endParaRPr lang="el-GR">
              <a:effectLst/>
            </a:endParaRPr>
          </a:p>
          <a:p>
            <a:pPr>
              <a:defRPr/>
            </a:pPr>
            <a:r>
              <a:rPr lang="el-GR" sz="1800" b="1" i="0" baseline="0">
                <a:effectLst/>
              </a:rPr>
              <a:t>ΚΥΚΛΟΣ ΕΡΓΑΣΙΩΝ Α ΕΞΑΜΗΝΟΥ 2024 </a:t>
            </a:r>
          </a:p>
          <a:p>
            <a:pPr>
              <a:defRPr/>
            </a:pPr>
            <a:r>
              <a:rPr lang="el-GR" sz="1800" b="1" i="0" baseline="0">
                <a:effectLst/>
              </a:rPr>
              <a:t>ΑΝΑ ΚΑΤΗΓΟΡΙΑ</a:t>
            </a:r>
            <a:endParaRPr lang="el-GR">
              <a:effectLst/>
            </a:endParaRPr>
          </a:p>
        </c:rich>
      </c:tx>
      <c:overlay val="0"/>
    </c:title>
    <c:autoTitleDeleted val="0"/>
    <c:plotArea>
      <c:layout/>
      <c:barChart>
        <c:barDir val="bar"/>
        <c:grouping val="percentStacked"/>
        <c:varyColors val="0"/>
        <c:ser>
          <c:idx val="0"/>
          <c:order val="0"/>
          <c:tx>
            <c:strRef>
              <c:f>Γ4!$B$1</c:f>
              <c:strCache>
                <c:ptCount val="1"/>
                <c:pt idx="0">
                  <c:v>αυξήθηκε</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Γ4!$A$2:$A$26</c:f>
              <c:strCache>
                <c:ptCount val="25"/>
                <c:pt idx="0">
                  <c:v>ΚΛΑΔΟΣ</c:v>
                </c:pt>
                <c:pt idx="1">
                  <c:v>Εμπόριο</c:v>
                </c:pt>
                <c:pt idx="2">
                  <c:v>Μεταποίηση- βιοτεχνία</c:v>
                </c:pt>
                <c:pt idx="3">
                  <c:v>Υπηρεσίες</c:v>
                </c:pt>
                <c:pt idx="4">
                  <c:v>Νομική Μορφή</c:v>
                </c:pt>
                <c:pt idx="5">
                  <c:v>Α.Ε.</c:v>
                </c:pt>
                <c:pt idx="6">
                  <c:v>Ο.Ε.-Ε.Ε/ΕΠΕ</c:v>
                </c:pt>
                <c:pt idx="7">
                  <c:v>Ι.Κ.Ε.</c:v>
                </c:pt>
                <c:pt idx="8">
                  <c:v>Ατομική</c:v>
                </c:pt>
                <c:pt idx="9">
                  <c:v>ΕΤΗΣΙΟΣ ΤΖΙΡΟΣ</c:v>
                </c:pt>
                <c:pt idx="10">
                  <c:v>Έως 50.000</c:v>
                </c:pt>
                <c:pt idx="11">
                  <c:v>50.000-100.000</c:v>
                </c:pt>
                <c:pt idx="12">
                  <c:v>100.000- 300.000</c:v>
                </c:pt>
                <c:pt idx="13">
                  <c:v>Πάνω από 300.000</c:v>
                </c:pt>
                <c:pt idx="14">
                  <c:v>ΑΡ. ΕΡΓΑΖΟΜΕΝΩΝ</c:v>
                </c:pt>
                <c:pt idx="15">
                  <c:v>Χωρίς προσωπικό</c:v>
                </c:pt>
                <c:pt idx="16">
                  <c:v>1 άτομο</c:v>
                </c:pt>
                <c:pt idx="17">
                  <c:v>2-3 άτομα</c:v>
                </c:pt>
                <c:pt idx="18">
                  <c:v>4-5 άτομα</c:v>
                </c:pt>
                <c:pt idx="19">
                  <c:v>Πάνω από 5 άτομα</c:v>
                </c:pt>
                <c:pt idx="20">
                  <c:v>ΠΕΡΙΟΧΗ</c:v>
                </c:pt>
                <c:pt idx="21">
                  <c:v>EL1_ATTIKH</c:v>
                </c:pt>
                <c:pt idx="22">
                  <c:v>EL2_ΝΗΣΙΑ ΑΙΓΑΙΟΥ &amp; ΚΡΗΤΗ</c:v>
                </c:pt>
                <c:pt idx="23">
                  <c:v>EL3_ΒΟΡΕΙΑ ΕΛΛΑΔΑ</c:v>
                </c:pt>
                <c:pt idx="24">
                  <c:v>EL4_ΚΕΝΤΡΙΚΗ ΕΛΛΑΔΑ</c:v>
                </c:pt>
              </c:strCache>
            </c:strRef>
          </c:cat>
          <c:val>
            <c:numRef>
              <c:f>Γ4!$B$2:$B$26</c:f>
              <c:numCache>
                <c:formatCode>General</c:formatCode>
                <c:ptCount val="25"/>
                <c:pt idx="1">
                  <c:v>13.4</c:v>
                </c:pt>
                <c:pt idx="2">
                  <c:v>26.6</c:v>
                </c:pt>
                <c:pt idx="3">
                  <c:v>23.7</c:v>
                </c:pt>
                <c:pt idx="5">
                  <c:v>50</c:v>
                </c:pt>
                <c:pt idx="6">
                  <c:v>26</c:v>
                </c:pt>
                <c:pt idx="7">
                  <c:v>26.8</c:v>
                </c:pt>
                <c:pt idx="8">
                  <c:v>15.8</c:v>
                </c:pt>
                <c:pt idx="10">
                  <c:v>11.3</c:v>
                </c:pt>
                <c:pt idx="11">
                  <c:v>23</c:v>
                </c:pt>
                <c:pt idx="12">
                  <c:v>23.1</c:v>
                </c:pt>
                <c:pt idx="13">
                  <c:v>40.200000000000003</c:v>
                </c:pt>
                <c:pt idx="15">
                  <c:v>10.199999999999999</c:v>
                </c:pt>
                <c:pt idx="16">
                  <c:v>14.4</c:v>
                </c:pt>
                <c:pt idx="17">
                  <c:v>28.3</c:v>
                </c:pt>
                <c:pt idx="18">
                  <c:v>34.4</c:v>
                </c:pt>
                <c:pt idx="19">
                  <c:v>35.299999999999997</c:v>
                </c:pt>
                <c:pt idx="21">
                  <c:v>21.8</c:v>
                </c:pt>
                <c:pt idx="22">
                  <c:v>23.6</c:v>
                </c:pt>
                <c:pt idx="23">
                  <c:v>21.8</c:v>
                </c:pt>
                <c:pt idx="24">
                  <c:v>15.4</c:v>
                </c:pt>
              </c:numCache>
            </c:numRef>
          </c:val>
          <c:extLst>
            <c:ext xmlns:c16="http://schemas.microsoft.com/office/drawing/2014/chart" uri="{C3380CC4-5D6E-409C-BE32-E72D297353CC}">
              <c16:uniqueId val="{00000000-2794-4B6E-B196-2DBB2201F397}"/>
            </c:ext>
          </c:extLst>
        </c:ser>
        <c:ser>
          <c:idx val="1"/>
          <c:order val="1"/>
          <c:tx>
            <c:strRef>
              <c:f>Γ4!$C$1</c:f>
              <c:strCache>
                <c:ptCount val="1"/>
                <c:pt idx="0">
                  <c:v>μειώθηκε</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Γ4!$A$2:$A$26</c:f>
              <c:strCache>
                <c:ptCount val="25"/>
                <c:pt idx="0">
                  <c:v>ΚΛΑΔΟΣ</c:v>
                </c:pt>
                <c:pt idx="1">
                  <c:v>Εμπόριο</c:v>
                </c:pt>
                <c:pt idx="2">
                  <c:v>Μεταποίηση- βιοτεχνία</c:v>
                </c:pt>
                <c:pt idx="3">
                  <c:v>Υπηρεσίες</c:v>
                </c:pt>
                <c:pt idx="4">
                  <c:v>Νομική Μορφή</c:v>
                </c:pt>
                <c:pt idx="5">
                  <c:v>Α.Ε.</c:v>
                </c:pt>
                <c:pt idx="6">
                  <c:v>Ο.Ε.-Ε.Ε/ΕΠΕ</c:v>
                </c:pt>
                <c:pt idx="7">
                  <c:v>Ι.Κ.Ε.</c:v>
                </c:pt>
                <c:pt idx="8">
                  <c:v>Ατομική</c:v>
                </c:pt>
                <c:pt idx="9">
                  <c:v>ΕΤΗΣΙΟΣ ΤΖΙΡΟΣ</c:v>
                </c:pt>
                <c:pt idx="10">
                  <c:v>Έως 50.000</c:v>
                </c:pt>
                <c:pt idx="11">
                  <c:v>50.000-100.000</c:v>
                </c:pt>
                <c:pt idx="12">
                  <c:v>100.000- 300.000</c:v>
                </c:pt>
                <c:pt idx="13">
                  <c:v>Πάνω από 300.000</c:v>
                </c:pt>
                <c:pt idx="14">
                  <c:v>ΑΡ. ΕΡΓΑΖΟΜΕΝΩΝ</c:v>
                </c:pt>
                <c:pt idx="15">
                  <c:v>Χωρίς προσωπικό</c:v>
                </c:pt>
                <c:pt idx="16">
                  <c:v>1 άτομο</c:v>
                </c:pt>
                <c:pt idx="17">
                  <c:v>2-3 άτομα</c:v>
                </c:pt>
                <c:pt idx="18">
                  <c:v>4-5 άτομα</c:v>
                </c:pt>
                <c:pt idx="19">
                  <c:v>Πάνω από 5 άτομα</c:v>
                </c:pt>
                <c:pt idx="20">
                  <c:v>ΠΕΡΙΟΧΗ</c:v>
                </c:pt>
                <c:pt idx="21">
                  <c:v>EL1_ATTIKH</c:v>
                </c:pt>
                <c:pt idx="22">
                  <c:v>EL2_ΝΗΣΙΑ ΑΙΓΑΙΟΥ &amp; ΚΡΗΤΗ</c:v>
                </c:pt>
                <c:pt idx="23">
                  <c:v>EL3_ΒΟΡΕΙΑ ΕΛΛΑΔΑ</c:v>
                </c:pt>
                <c:pt idx="24">
                  <c:v>EL4_ΚΕΝΤΡΙΚΗ ΕΛΛΑΔΑ</c:v>
                </c:pt>
              </c:strCache>
            </c:strRef>
          </c:cat>
          <c:val>
            <c:numRef>
              <c:f>Γ4!$C$2:$C$26</c:f>
              <c:numCache>
                <c:formatCode>General</c:formatCode>
                <c:ptCount val="25"/>
                <c:pt idx="1">
                  <c:v>57.9</c:v>
                </c:pt>
                <c:pt idx="2">
                  <c:v>43.8</c:v>
                </c:pt>
                <c:pt idx="3">
                  <c:v>36.5</c:v>
                </c:pt>
                <c:pt idx="5">
                  <c:v>22.7</c:v>
                </c:pt>
                <c:pt idx="6">
                  <c:v>45.3</c:v>
                </c:pt>
                <c:pt idx="7">
                  <c:v>24.4</c:v>
                </c:pt>
                <c:pt idx="8">
                  <c:v>50.3</c:v>
                </c:pt>
                <c:pt idx="10">
                  <c:v>52.4</c:v>
                </c:pt>
                <c:pt idx="11">
                  <c:v>46.6</c:v>
                </c:pt>
                <c:pt idx="12">
                  <c:v>46.9</c:v>
                </c:pt>
                <c:pt idx="13">
                  <c:v>31.5</c:v>
                </c:pt>
                <c:pt idx="15">
                  <c:v>53.5</c:v>
                </c:pt>
                <c:pt idx="16">
                  <c:v>48.8</c:v>
                </c:pt>
                <c:pt idx="17">
                  <c:v>41.7</c:v>
                </c:pt>
                <c:pt idx="18">
                  <c:v>29.5</c:v>
                </c:pt>
                <c:pt idx="19">
                  <c:v>40.5</c:v>
                </c:pt>
                <c:pt idx="21">
                  <c:v>47.1</c:v>
                </c:pt>
                <c:pt idx="22">
                  <c:v>34</c:v>
                </c:pt>
                <c:pt idx="23">
                  <c:v>44</c:v>
                </c:pt>
                <c:pt idx="24">
                  <c:v>54.3</c:v>
                </c:pt>
              </c:numCache>
            </c:numRef>
          </c:val>
          <c:extLst>
            <c:ext xmlns:c16="http://schemas.microsoft.com/office/drawing/2014/chart" uri="{C3380CC4-5D6E-409C-BE32-E72D297353CC}">
              <c16:uniqueId val="{00000001-2794-4B6E-B196-2DBB2201F397}"/>
            </c:ext>
          </c:extLst>
        </c:ser>
        <c:ser>
          <c:idx val="2"/>
          <c:order val="2"/>
          <c:tx>
            <c:strRef>
              <c:f>Γ4!$D$1</c:f>
              <c:strCache>
                <c:ptCount val="1"/>
                <c:pt idx="0">
                  <c:v>αμετάβλητος/η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Γ4!$A$2:$A$26</c:f>
              <c:strCache>
                <c:ptCount val="25"/>
                <c:pt idx="0">
                  <c:v>ΚΛΑΔΟΣ</c:v>
                </c:pt>
                <c:pt idx="1">
                  <c:v>Εμπόριο</c:v>
                </c:pt>
                <c:pt idx="2">
                  <c:v>Μεταποίηση- βιοτεχνία</c:v>
                </c:pt>
                <c:pt idx="3">
                  <c:v>Υπηρεσίες</c:v>
                </c:pt>
                <c:pt idx="4">
                  <c:v>Νομική Μορφή</c:v>
                </c:pt>
                <c:pt idx="5">
                  <c:v>Α.Ε.</c:v>
                </c:pt>
                <c:pt idx="6">
                  <c:v>Ο.Ε.-Ε.Ε/ΕΠΕ</c:v>
                </c:pt>
                <c:pt idx="7">
                  <c:v>Ι.Κ.Ε.</c:v>
                </c:pt>
                <c:pt idx="8">
                  <c:v>Ατομική</c:v>
                </c:pt>
                <c:pt idx="9">
                  <c:v>ΕΤΗΣΙΟΣ ΤΖΙΡΟΣ</c:v>
                </c:pt>
                <c:pt idx="10">
                  <c:v>Έως 50.000</c:v>
                </c:pt>
                <c:pt idx="11">
                  <c:v>50.000-100.000</c:v>
                </c:pt>
                <c:pt idx="12">
                  <c:v>100.000- 300.000</c:v>
                </c:pt>
                <c:pt idx="13">
                  <c:v>Πάνω από 300.000</c:v>
                </c:pt>
                <c:pt idx="14">
                  <c:v>ΑΡ. ΕΡΓΑΖΟΜΕΝΩΝ</c:v>
                </c:pt>
                <c:pt idx="15">
                  <c:v>Χωρίς προσωπικό</c:v>
                </c:pt>
                <c:pt idx="16">
                  <c:v>1 άτομο</c:v>
                </c:pt>
                <c:pt idx="17">
                  <c:v>2-3 άτομα</c:v>
                </c:pt>
                <c:pt idx="18">
                  <c:v>4-5 άτομα</c:v>
                </c:pt>
                <c:pt idx="19">
                  <c:v>Πάνω από 5 άτομα</c:v>
                </c:pt>
                <c:pt idx="20">
                  <c:v>ΠΕΡΙΟΧΗ</c:v>
                </c:pt>
                <c:pt idx="21">
                  <c:v>EL1_ATTIKH</c:v>
                </c:pt>
                <c:pt idx="22">
                  <c:v>EL2_ΝΗΣΙΑ ΑΙΓΑΙΟΥ &amp; ΚΡΗΤΗ</c:v>
                </c:pt>
                <c:pt idx="23">
                  <c:v>EL3_ΒΟΡΕΙΑ ΕΛΛΑΔΑ</c:v>
                </c:pt>
                <c:pt idx="24">
                  <c:v>EL4_ΚΕΝΤΡΙΚΗ ΕΛΛΑΔΑ</c:v>
                </c:pt>
              </c:strCache>
            </c:strRef>
          </c:cat>
          <c:val>
            <c:numRef>
              <c:f>Γ4!$D$2:$D$26</c:f>
              <c:numCache>
                <c:formatCode>General</c:formatCode>
                <c:ptCount val="25"/>
                <c:pt idx="1">
                  <c:v>27.4</c:v>
                </c:pt>
                <c:pt idx="2">
                  <c:v>27.6</c:v>
                </c:pt>
                <c:pt idx="3">
                  <c:v>36.9</c:v>
                </c:pt>
                <c:pt idx="5">
                  <c:v>27.3</c:v>
                </c:pt>
                <c:pt idx="6">
                  <c:v>23.8</c:v>
                </c:pt>
                <c:pt idx="7">
                  <c:v>43.9</c:v>
                </c:pt>
                <c:pt idx="8">
                  <c:v>32.799999999999997</c:v>
                </c:pt>
                <c:pt idx="10">
                  <c:v>35.1</c:v>
                </c:pt>
                <c:pt idx="11">
                  <c:v>29.3</c:v>
                </c:pt>
                <c:pt idx="12">
                  <c:v>26.2</c:v>
                </c:pt>
                <c:pt idx="13">
                  <c:v>27.6</c:v>
                </c:pt>
                <c:pt idx="15">
                  <c:v>34.9</c:v>
                </c:pt>
                <c:pt idx="16">
                  <c:v>35</c:v>
                </c:pt>
                <c:pt idx="17">
                  <c:v>26.1</c:v>
                </c:pt>
                <c:pt idx="18">
                  <c:v>34.4</c:v>
                </c:pt>
                <c:pt idx="19">
                  <c:v>22.4</c:v>
                </c:pt>
                <c:pt idx="21">
                  <c:v>28.3</c:v>
                </c:pt>
                <c:pt idx="22">
                  <c:v>37.700000000000003</c:v>
                </c:pt>
                <c:pt idx="23">
                  <c:v>32.9</c:v>
                </c:pt>
                <c:pt idx="24">
                  <c:v>29.8</c:v>
                </c:pt>
              </c:numCache>
            </c:numRef>
          </c:val>
          <c:extLst>
            <c:ext xmlns:c16="http://schemas.microsoft.com/office/drawing/2014/chart" uri="{C3380CC4-5D6E-409C-BE32-E72D297353CC}">
              <c16:uniqueId val="{00000002-2794-4B6E-B196-2DBB2201F397}"/>
            </c:ext>
          </c:extLst>
        </c:ser>
        <c:dLbls>
          <c:showLegendKey val="0"/>
          <c:showVal val="0"/>
          <c:showCatName val="0"/>
          <c:showSerName val="0"/>
          <c:showPercent val="0"/>
          <c:showBubbleSize val="0"/>
        </c:dLbls>
        <c:gapWidth val="150"/>
        <c:overlap val="100"/>
        <c:axId val="329672576"/>
        <c:axId val="329674112"/>
      </c:barChart>
      <c:catAx>
        <c:axId val="329672576"/>
        <c:scaling>
          <c:orientation val="maxMin"/>
        </c:scaling>
        <c:delete val="0"/>
        <c:axPos val="l"/>
        <c:numFmt formatCode="General" sourceLinked="0"/>
        <c:majorTickMark val="out"/>
        <c:minorTickMark val="none"/>
        <c:tickLblPos val="nextTo"/>
        <c:crossAx val="329674112"/>
        <c:crosses val="autoZero"/>
        <c:auto val="1"/>
        <c:lblAlgn val="ctr"/>
        <c:lblOffset val="100"/>
        <c:noMultiLvlLbl val="0"/>
      </c:catAx>
      <c:valAx>
        <c:axId val="329674112"/>
        <c:scaling>
          <c:orientation val="minMax"/>
        </c:scaling>
        <c:delete val="1"/>
        <c:axPos val="t"/>
        <c:majorGridlines/>
        <c:numFmt formatCode="0%" sourceLinked="1"/>
        <c:majorTickMark val="out"/>
        <c:minorTickMark val="none"/>
        <c:tickLblPos val="nextTo"/>
        <c:crossAx val="329672576"/>
        <c:crosses val="autoZero"/>
        <c:crossBetween val="between"/>
      </c:valAx>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baseline="0">
                <a:effectLst/>
              </a:rPr>
              <a:t>Γράφημα 5</a:t>
            </a:r>
            <a:endParaRPr lang="el-GR" sz="1200">
              <a:effectLst/>
            </a:endParaRPr>
          </a:p>
          <a:p>
            <a:pPr>
              <a:defRPr sz="1200"/>
            </a:pPr>
            <a:r>
              <a:rPr lang="el-GR" sz="1200" b="1" i="0" baseline="0">
                <a:effectLst/>
              </a:rPr>
              <a:t>Σύγκριση αποτελεσμάτων χρήσης ΜμΕ 5 τελευταίων ετών</a:t>
            </a:r>
            <a:endParaRPr lang="el-GR" sz="1200">
              <a:effectLst/>
            </a:endParaRPr>
          </a:p>
        </c:rich>
      </c:tx>
      <c:overlay val="0"/>
    </c:title>
    <c:autoTitleDeleted val="0"/>
    <c:plotArea>
      <c:layout/>
      <c:barChart>
        <c:barDir val="col"/>
        <c:grouping val="clustered"/>
        <c:varyColors val="0"/>
        <c:ser>
          <c:idx val="0"/>
          <c:order val="0"/>
          <c:tx>
            <c:strRef>
              <c:f>Γ5!$A$2</c:f>
              <c:strCache>
                <c:ptCount val="1"/>
                <c:pt idx="0">
                  <c:v>Με ζημιές</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Γ5!$B$1:$F$1</c:f>
              <c:strCache>
                <c:ptCount val="5"/>
                <c:pt idx="0">
                  <c:v>Χρήση 2019</c:v>
                </c:pt>
                <c:pt idx="1">
                  <c:v>Χρήση 2020</c:v>
                </c:pt>
                <c:pt idx="2">
                  <c:v>Χρήση 2021</c:v>
                </c:pt>
                <c:pt idx="3">
                  <c:v>Χρήση 2022</c:v>
                </c:pt>
                <c:pt idx="4">
                  <c:v>Χρήση 2023</c:v>
                </c:pt>
              </c:strCache>
            </c:strRef>
          </c:cat>
          <c:val>
            <c:numRef>
              <c:f>Γ5!$B$2:$F$2</c:f>
              <c:numCache>
                <c:formatCode>General</c:formatCode>
                <c:ptCount val="5"/>
                <c:pt idx="0">
                  <c:v>27.6</c:v>
                </c:pt>
                <c:pt idx="1">
                  <c:v>47.8</c:v>
                </c:pt>
                <c:pt idx="2">
                  <c:v>36</c:v>
                </c:pt>
                <c:pt idx="3">
                  <c:v>22.4</c:v>
                </c:pt>
                <c:pt idx="4">
                  <c:v>21</c:v>
                </c:pt>
              </c:numCache>
            </c:numRef>
          </c:val>
          <c:extLst>
            <c:ext xmlns:c16="http://schemas.microsoft.com/office/drawing/2014/chart" uri="{C3380CC4-5D6E-409C-BE32-E72D297353CC}">
              <c16:uniqueId val="{00000000-F1B2-402C-A90C-5ABBE348FCAF}"/>
            </c:ext>
          </c:extLst>
        </c:ser>
        <c:ser>
          <c:idx val="1"/>
          <c:order val="1"/>
          <c:tx>
            <c:strRef>
              <c:f>Γ5!$A$3</c:f>
              <c:strCache>
                <c:ptCount val="1"/>
                <c:pt idx="0">
                  <c:v>Ουτε ζημιές ούτε κέρδη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Γ5!$B$1:$F$1</c:f>
              <c:strCache>
                <c:ptCount val="5"/>
                <c:pt idx="0">
                  <c:v>Χρήση 2019</c:v>
                </c:pt>
                <c:pt idx="1">
                  <c:v>Χρήση 2020</c:v>
                </c:pt>
                <c:pt idx="2">
                  <c:v>Χρήση 2021</c:v>
                </c:pt>
                <c:pt idx="3">
                  <c:v>Χρήση 2022</c:v>
                </c:pt>
                <c:pt idx="4">
                  <c:v>Χρήση 2023</c:v>
                </c:pt>
              </c:strCache>
            </c:strRef>
          </c:cat>
          <c:val>
            <c:numRef>
              <c:f>Γ5!$B$3:$F$3</c:f>
              <c:numCache>
                <c:formatCode>General</c:formatCode>
                <c:ptCount val="5"/>
                <c:pt idx="0">
                  <c:v>8.5</c:v>
                </c:pt>
                <c:pt idx="1">
                  <c:v>16.100000000000001</c:v>
                </c:pt>
                <c:pt idx="2">
                  <c:v>17.3</c:v>
                </c:pt>
                <c:pt idx="3">
                  <c:v>16.100000000000001</c:v>
                </c:pt>
                <c:pt idx="4">
                  <c:v>14.8</c:v>
                </c:pt>
              </c:numCache>
            </c:numRef>
          </c:val>
          <c:extLst>
            <c:ext xmlns:c16="http://schemas.microsoft.com/office/drawing/2014/chart" uri="{C3380CC4-5D6E-409C-BE32-E72D297353CC}">
              <c16:uniqueId val="{00000001-F1B2-402C-A90C-5ABBE348FCAF}"/>
            </c:ext>
          </c:extLst>
        </c:ser>
        <c:ser>
          <c:idx val="2"/>
          <c:order val="2"/>
          <c:tx>
            <c:strRef>
              <c:f>Γ5!$A$4</c:f>
              <c:strCache>
                <c:ptCount val="1"/>
                <c:pt idx="0">
                  <c:v>Με κέρδη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Γ5!$B$1:$F$1</c:f>
              <c:strCache>
                <c:ptCount val="5"/>
                <c:pt idx="0">
                  <c:v>Χρήση 2019</c:v>
                </c:pt>
                <c:pt idx="1">
                  <c:v>Χρήση 2020</c:v>
                </c:pt>
                <c:pt idx="2">
                  <c:v>Χρήση 2021</c:v>
                </c:pt>
                <c:pt idx="3">
                  <c:v>Χρήση 2022</c:v>
                </c:pt>
                <c:pt idx="4">
                  <c:v>Χρήση 2023</c:v>
                </c:pt>
              </c:strCache>
            </c:strRef>
          </c:cat>
          <c:val>
            <c:numRef>
              <c:f>Γ5!$B$4:$F$4</c:f>
              <c:numCache>
                <c:formatCode>General</c:formatCode>
                <c:ptCount val="5"/>
                <c:pt idx="0">
                  <c:v>55.2</c:v>
                </c:pt>
                <c:pt idx="1">
                  <c:v>27.3</c:v>
                </c:pt>
                <c:pt idx="2">
                  <c:v>37.5</c:v>
                </c:pt>
                <c:pt idx="3">
                  <c:v>51</c:v>
                </c:pt>
                <c:pt idx="4">
                  <c:v>56.2</c:v>
                </c:pt>
              </c:numCache>
            </c:numRef>
          </c:val>
          <c:extLst>
            <c:ext xmlns:c16="http://schemas.microsoft.com/office/drawing/2014/chart" uri="{C3380CC4-5D6E-409C-BE32-E72D297353CC}">
              <c16:uniqueId val="{00000002-F1B2-402C-A90C-5ABBE348FCAF}"/>
            </c:ext>
          </c:extLst>
        </c:ser>
        <c:ser>
          <c:idx val="3"/>
          <c:order val="3"/>
          <c:tx>
            <c:strRef>
              <c:f>Γ5!$A$5</c:f>
              <c:strCache>
                <c:ptCount val="1"/>
                <c:pt idx="0">
                  <c:v>ΔΑ</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Γ5!$B$1:$F$1</c:f>
              <c:strCache>
                <c:ptCount val="5"/>
                <c:pt idx="0">
                  <c:v>Χρήση 2019</c:v>
                </c:pt>
                <c:pt idx="1">
                  <c:v>Χρήση 2020</c:v>
                </c:pt>
                <c:pt idx="2">
                  <c:v>Χρήση 2021</c:v>
                </c:pt>
                <c:pt idx="3">
                  <c:v>Χρήση 2022</c:v>
                </c:pt>
                <c:pt idx="4">
                  <c:v>Χρήση 2023</c:v>
                </c:pt>
              </c:strCache>
            </c:strRef>
          </c:cat>
          <c:val>
            <c:numRef>
              <c:f>Γ5!$B$5:$F$5</c:f>
              <c:numCache>
                <c:formatCode>General</c:formatCode>
                <c:ptCount val="5"/>
                <c:pt idx="0">
                  <c:v>8.6999999999999993</c:v>
                </c:pt>
                <c:pt idx="1">
                  <c:v>8.8000000000000007</c:v>
                </c:pt>
                <c:pt idx="2">
                  <c:v>9.1</c:v>
                </c:pt>
                <c:pt idx="3">
                  <c:v>10.5</c:v>
                </c:pt>
                <c:pt idx="4">
                  <c:v>8</c:v>
                </c:pt>
              </c:numCache>
            </c:numRef>
          </c:val>
          <c:extLst>
            <c:ext xmlns:c16="http://schemas.microsoft.com/office/drawing/2014/chart" uri="{C3380CC4-5D6E-409C-BE32-E72D297353CC}">
              <c16:uniqueId val="{00000003-F1B2-402C-A90C-5ABBE348FCAF}"/>
            </c:ext>
          </c:extLst>
        </c:ser>
        <c:dLbls>
          <c:showLegendKey val="0"/>
          <c:showVal val="0"/>
          <c:showCatName val="0"/>
          <c:showSerName val="0"/>
          <c:showPercent val="0"/>
          <c:showBubbleSize val="0"/>
        </c:dLbls>
        <c:gapWidth val="150"/>
        <c:axId val="329462528"/>
        <c:axId val="329464064"/>
      </c:barChart>
      <c:catAx>
        <c:axId val="329462528"/>
        <c:scaling>
          <c:orientation val="minMax"/>
        </c:scaling>
        <c:delete val="0"/>
        <c:axPos val="b"/>
        <c:numFmt formatCode="General" sourceLinked="0"/>
        <c:majorTickMark val="out"/>
        <c:minorTickMark val="none"/>
        <c:tickLblPos val="nextTo"/>
        <c:crossAx val="329464064"/>
        <c:crosses val="autoZero"/>
        <c:auto val="1"/>
        <c:lblAlgn val="ctr"/>
        <c:lblOffset val="100"/>
        <c:noMultiLvlLbl val="0"/>
      </c:catAx>
      <c:valAx>
        <c:axId val="329464064"/>
        <c:scaling>
          <c:orientation val="minMax"/>
        </c:scaling>
        <c:delete val="0"/>
        <c:axPos val="l"/>
        <c:majorGridlines/>
        <c:numFmt formatCode="General" sourceLinked="1"/>
        <c:majorTickMark val="out"/>
        <c:minorTickMark val="none"/>
        <c:tickLblPos val="nextTo"/>
        <c:crossAx val="329462528"/>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800" b="1" i="0" baseline="0">
                <a:effectLst/>
              </a:rPr>
              <a:t>ΓΡΑΦΗΜΑ 6</a:t>
            </a:r>
          </a:p>
          <a:p>
            <a:pPr>
              <a:defRPr/>
            </a:pPr>
            <a:r>
              <a:rPr lang="el-GR" sz="1800" b="1" i="0" baseline="0">
                <a:effectLst/>
              </a:rPr>
              <a:t>ΖΗΤΗΣΗ</a:t>
            </a:r>
            <a:r>
              <a:rPr lang="en-US" sz="1800" b="1" i="0" baseline="0">
                <a:effectLst/>
              </a:rPr>
              <a:t> - </a:t>
            </a:r>
            <a:r>
              <a:rPr lang="el-GR" sz="1800" b="1" i="0" baseline="0">
                <a:effectLst/>
              </a:rPr>
              <a:t>ΑΠΟΤΙΜΗΣΗ  ΕΞΑΜΗΝΟΥ</a:t>
            </a:r>
            <a:br>
              <a:rPr lang="el-GR" sz="1800" b="1" i="0" baseline="0">
                <a:effectLst/>
              </a:rPr>
            </a:br>
            <a:r>
              <a:rPr lang="el-GR" sz="1800" b="1" i="0" baseline="0">
                <a:effectLst/>
              </a:rPr>
              <a:t>ΣΥΓΚΡΙΣΗ ΜΕ ΠΡΟΗΓΟΥΜΕΝΕΣ ΕΡΕΥΝΕΣ</a:t>
            </a:r>
            <a:endParaRPr lang="el-GR">
              <a:effectLst/>
            </a:endParaRPr>
          </a:p>
        </c:rich>
      </c:tx>
      <c:overlay val="0"/>
    </c:title>
    <c:autoTitleDeleted val="0"/>
    <c:plotArea>
      <c:layout/>
      <c:barChart>
        <c:barDir val="bar"/>
        <c:grouping val="percentStacked"/>
        <c:varyColors val="0"/>
        <c:ser>
          <c:idx val="0"/>
          <c:order val="0"/>
          <c:tx>
            <c:strRef>
              <c:f>Γ6!$B$1</c:f>
              <c:strCache>
                <c:ptCount val="1"/>
                <c:pt idx="0">
                  <c:v>Αύξηση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Γ6!$A$2:$A$18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B2023</c:v>
                </c:pt>
                <c:pt idx="16">
                  <c:v>Α 2024</c:v>
                </c:pt>
              </c:strCache>
            </c:strRef>
          </c:cat>
          <c:val>
            <c:numRef>
              <c:f>Γ6!$B$2:$B$18</c:f>
              <c:numCache>
                <c:formatCode>General</c:formatCode>
                <c:ptCount val="17"/>
                <c:pt idx="0">
                  <c:v>10.5</c:v>
                </c:pt>
                <c:pt idx="1">
                  <c:v>14.6</c:v>
                </c:pt>
                <c:pt idx="2">
                  <c:v>12.9</c:v>
                </c:pt>
                <c:pt idx="3" formatCode="0.0">
                  <c:v>18.75</c:v>
                </c:pt>
                <c:pt idx="4">
                  <c:v>19.8</c:v>
                </c:pt>
                <c:pt idx="5">
                  <c:v>27.8</c:v>
                </c:pt>
                <c:pt idx="6" formatCode="0.0">
                  <c:v>21.464019851116625</c:v>
                </c:pt>
                <c:pt idx="7">
                  <c:v>29.6</c:v>
                </c:pt>
                <c:pt idx="8">
                  <c:v>7.6</c:v>
                </c:pt>
                <c:pt idx="9">
                  <c:v>13.7</c:v>
                </c:pt>
                <c:pt idx="10">
                  <c:v>21.1</c:v>
                </c:pt>
                <c:pt idx="11">
                  <c:v>32.5</c:v>
                </c:pt>
                <c:pt idx="12">
                  <c:v>28.2</c:v>
                </c:pt>
                <c:pt idx="13">
                  <c:v>36.4</c:v>
                </c:pt>
                <c:pt idx="14">
                  <c:v>30.9</c:v>
                </c:pt>
                <c:pt idx="15">
                  <c:v>29.3</c:v>
                </c:pt>
                <c:pt idx="16">
                  <c:v>20.399999999999999</c:v>
                </c:pt>
              </c:numCache>
            </c:numRef>
          </c:val>
          <c:extLst>
            <c:ext xmlns:c16="http://schemas.microsoft.com/office/drawing/2014/chart" uri="{C3380CC4-5D6E-409C-BE32-E72D297353CC}">
              <c16:uniqueId val="{00000000-D5B6-47F5-B827-7EBAD09D6A8E}"/>
            </c:ext>
          </c:extLst>
        </c:ser>
        <c:ser>
          <c:idx val="1"/>
          <c:order val="1"/>
          <c:tx>
            <c:strRef>
              <c:f>Γ6!$C$1</c:f>
              <c:strCache>
                <c:ptCount val="1"/>
                <c:pt idx="0">
                  <c:v>Μείωση </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Γ6!$A$2:$A$18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B2023</c:v>
                </c:pt>
                <c:pt idx="16">
                  <c:v>Α 2024</c:v>
                </c:pt>
              </c:strCache>
            </c:strRef>
          </c:cat>
          <c:val>
            <c:numRef>
              <c:f>Γ6!$C$2:$C$18</c:f>
              <c:numCache>
                <c:formatCode>General</c:formatCode>
                <c:ptCount val="17"/>
                <c:pt idx="0">
                  <c:v>63.8</c:v>
                </c:pt>
                <c:pt idx="1">
                  <c:v>62.4</c:v>
                </c:pt>
                <c:pt idx="2">
                  <c:v>56.2</c:v>
                </c:pt>
                <c:pt idx="3" formatCode="0.0">
                  <c:v>47.420634920634917</c:v>
                </c:pt>
                <c:pt idx="4">
                  <c:v>45.6</c:v>
                </c:pt>
                <c:pt idx="5">
                  <c:v>36</c:v>
                </c:pt>
                <c:pt idx="6" formatCode="0.0">
                  <c:v>38.83374689826303</c:v>
                </c:pt>
                <c:pt idx="7">
                  <c:v>29.5</c:v>
                </c:pt>
                <c:pt idx="8">
                  <c:v>75.099999999999994</c:v>
                </c:pt>
                <c:pt idx="9">
                  <c:v>66.8</c:v>
                </c:pt>
                <c:pt idx="10">
                  <c:v>51.7</c:v>
                </c:pt>
                <c:pt idx="11">
                  <c:v>37.5</c:v>
                </c:pt>
                <c:pt idx="12">
                  <c:v>44.8</c:v>
                </c:pt>
                <c:pt idx="13">
                  <c:v>31.2</c:v>
                </c:pt>
                <c:pt idx="14">
                  <c:v>31</c:v>
                </c:pt>
                <c:pt idx="15">
                  <c:v>33</c:v>
                </c:pt>
                <c:pt idx="16">
                  <c:v>45.7</c:v>
                </c:pt>
              </c:numCache>
            </c:numRef>
          </c:val>
          <c:extLst>
            <c:ext xmlns:c16="http://schemas.microsoft.com/office/drawing/2014/chart" uri="{C3380CC4-5D6E-409C-BE32-E72D297353CC}">
              <c16:uniqueId val="{00000001-D5B6-47F5-B827-7EBAD09D6A8E}"/>
            </c:ext>
          </c:extLst>
        </c:ser>
        <c:ser>
          <c:idx val="2"/>
          <c:order val="2"/>
          <c:tx>
            <c:strRef>
              <c:f>Γ6!$D$1</c:f>
              <c:strCache>
                <c:ptCount val="1"/>
                <c:pt idx="0">
                  <c:v>Αμετάβλητη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Γ6!$A$2:$A$18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B2023</c:v>
                </c:pt>
                <c:pt idx="16">
                  <c:v>Α 2024</c:v>
                </c:pt>
              </c:strCache>
            </c:strRef>
          </c:cat>
          <c:val>
            <c:numRef>
              <c:f>Γ6!$D$2:$D$18</c:f>
              <c:numCache>
                <c:formatCode>General</c:formatCode>
                <c:ptCount val="17"/>
                <c:pt idx="0">
                  <c:v>25.3</c:v>
                </c:pt>
                <c:pt idx="1">
                  <c:v>22.8</c:v>
                </c:pt>
                <c:pt idx="2">
                  <c:v>30.4</c:v>
                </c:pt>
                <c:pt idx="3" formatCode="0.0">
                  <c:v>33.63095238095238</c:v>
                </c:pt>
                <c:pt idx="4">
                  <c:v>34.200000000000003</c:v>
                </c:pt>
                <c:pt idx="5">
                  <c:v>36</c:v>
                </c:pt>
                <c:pt idx="6" formatCode="0.0">
                  <c:v>39.081885856079403</c:v>
                </c:pt>
                <c:pt idx="7">
                  <c:v>40.700000000000003</c:v>
                </c:pt>
                <c:pt idx="8">
                  <c:v>10.8</c:v>
                </c:pt>
                <c:pt idx="9">
                  <c:v>19.100000000000001</c:v>
                </c:pt>
                <c:pt idx="10">
                  <c:v>25.7</c:v>
                </c:pt>
                <c:pt idx="11">
                  <c:v>29.7</c:v>
                </c:pt>
                <c:pt idx="12">
                  <c:v>26.3</c:v>
                </c:pt>
                <c:pt idx="13">
                  <c:v>32.299999999999997</c:v>
                </c:pt>
                <c:pt idx="14">
                  <c:v>37.200000000000003</c:v>
                </c:pt>
                <c:pt idx="15">
                  <c:v>37.1</c:v>
                </c:pt>
                <c:pt idx="16">
                  <c:v>33.4</c:v>
                </c:pt>
              </c:numCache>
            </c:numRef>
          </c:val>
          <c:extLst>
            <c:ext xmlns:c16="http://schemas.microsoft.com/office/drawing/2014/chart" uri="{C3380CC4-5D6E-409C-BE32-E72D297353CC}">
              <c16:uniqueId val="{00000002-D5B6-47F5-B827-7EBAD09D6A8E}"/>
            </c:ext>
          </c:extLst>
        </c:ser>
        <c:dLbls>
          <c:showLegendKey val="0"/>
          <c:showVal val="0"/>
          <c:showCatName val="0"/>
          <c:showSerName val="0"/>
          <c:showPercent val="0"/>
          <c:showBubbleSize val="0"/>
        </c:dLbls>
        <c:gapWidth val="150"/>
        <c:overlap val="100"/>
        <c:axId val="330118656"/>
        <c:axId val="330120192"/>
      </c:barChart>
      <c:catAx>
        <c:axId val="330118656"/>
        <c:scaling>
          <c:orientation val="minMax"/>
        </c:scaling>
        <c:delete val="0"/>
        <c:axPos val="l"/>
        <c:numFmt formatCode="General" sourceLinked="0"/>
        <c:majorTickMark val="out"/>
        <c:minorTickMark val="none"/>
        <c:tickLblPos val="nextTo"/>
        <c:crossAx val="330120192"/>
        <c:crosses val="autoZero"/>
        <c:auto val="1"/>
        <c:lblAlgn val="ctr"/>
        <c:lblOffset val="100"/>
        <c:noMultiLvlLbl val="0"/>
      </c:catAx>
      <c:valAx>
        <c:axId val="330120192"/>
        <c:scaling>
          <c:orientation val="minMax"/>
        </c:scaling>
        <c:delete val="0"/>
        <c:axPos val="b"/>
        <c:numFmt formatCode="0%" sourceLinked="1"/>
        <c:majorTickMark val="out"/>
        <c:minorTickMark val="none"/>
        <c:tickLblPos val="nextTo"/>
        <c:crossAx val="330118656"/>
        <c:crosses val="autoZero"/>
        <c:crossBetween val="between"/>
      </c:val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i="0" baseline="0">
                <a:effectLst/>
              </a:rPr>
              <a:t>ΓΡΑΦΗΜΑ 7</a:t>
            </a:r>
          </a:p>
          <a:p>
            <a:pPr>
              <a:defRPr/>
            </a:pPr>
            <a:r>
              <a:rPr lang="el-GR" sz="1200" b="1" i="0" baseline="0">
                <a:effectLst/>
              </a:rPr>
              <a:t>ΠΑΡΑΓΓΕΛΙΕΣ </a:t>
            </a:r>
            <a:r>
              <a:rPr lang="en-US" sz="1200" b="1" i="0" baseline="0">
                <a:effectLst/>
              </a:rPr>
              <a:t>- </a:t>
            </a:r>
            <a:r>
              <a:rPr lang="el-GR" sz="1200" b="1" i="0" baseline="0">
                <a:effectLst/>
              </a:rPr>
              <a:t>ΑΠΟΤΙΜΗΣΗ  ΕΞΑΜΗΝΟΥ</a:t>
            </a:r>
            <a:br>
              <a:rPr lang="el-GR" sz="1200" b="1" i="0" baseline="0">
                <a:effectLst/>
              </a:rPr>
            </a:br>
            <a:r>
              <a:rPr lang="el-GR" sz="1200" b="1" i="0" baseline="0">
                <a:effectLst/>
              </a:rPr>
              <a:t>ΣΥΓΚΡΙΣΗ ΜΕ ΠΡΟΗΓΟΥΜΕΝΕΣ ΕΡΕΥΝΕΣ</a:t>
            </a:r>
            <a:endParaRPr lang="el-GR" sz="1200">
              <a:effectLst/>
            </a:endParaRPr>
          </a:p>
        </c:rich>
      </c:tx>
      <c:overlay val="0"/>
    </c:title>
    <c:autoTitleDeleted val="0"/>
    <c:plotArea>
      <c:layout/>
      <c:barChart>
        <c:barDir val="bar"/>
        <c:grouping val="percentStacked"/>
        <c:varyColors val="0"/>
        <c:ser>
          <c:idx val="0"/>
          <c:order val="0"/>
          <c:tx>
            <c:strRef>
              <c:f>Γ7!$B$1</c:f>
              <c:strCache>
                <c:ptCount val="1"/>
                <c:pt idx="0">
                  <c:v>Αύξηση</c:v>
                </c:pt>
              </c:strCache>
            </c:strRef>
          </c:tx>
          <c:invertIfNegative val="0"/>
          <c:dLbls>
            <c:dLbl>
              <c:idx val="26"/>
              <c:layout>
                <c:manualLayout>
                  <c:x val="0"/>
                  <c:y val="2.74207369323050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B71-4BE4-BFFD-58A750B1F54D}"/>
                </c:ext>
              </c:extLst>
            </c:dLbl>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Γ7!$A$2:$A$18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B2023</c:v>
                </c:pt>
                <c:pt idx="16">
                  <c:v>Α2024</c:v>
                </c:pt>
              </c:strCache>
            </c:strRef>
          </c:cat>
          <c:val>
            <c:numRef>
              <c:f>Γ7!$B$2:$B$18</c:f>
              <c:numCache>
                <c:formatCode>General</c:formatCode>
                <c:ptCount val="17"/>
                <c:pt idx="0">
                  <c:v>6.8</c:v>
                </c:pt>
                <c:pt idx="1">
                  <c:v>10.199999999999999</c:v>
                </c:pt>
                <c:pt idx="2">
                  <c:v>9.5</c:v>
                </c:pt>
                <c:pt idx="3" formatCode="0.0">
                  <c:v>13.69047619047619</c:v>
                </c:pt>
                <c:pt idx="4">
                  <c:v>15</c:v>
                </c:pt>
                <c:pt idx="5">
                  <c:v>21</c:v>
                </c:pt>
                <c:pt idx="6" formatCode="0.0">
                  <c:v>17.741935483870968</c:v>
                </c:pt>
                <c:pt idx="7">
                  <c:v>26.1</c:v>
                </c:pt>
                <c:pt idx="8">
                  <c:v>5.5</c:v>
                </c:pt>
                <c:pt idx="9">
                  <c:v>9.1999999999999993</c:v>
                </c:pt>
                <c:pt idx="10">
                  <c:v>17.7</c:v>
                </c:pt>
                <c:pt idx="11">
                  <c:v>27.3</c:v>
                </c:pt>
                <c:pt idx="12">
                  <c:v>25</c:v>
                </c:pt>
                <c:pt idx="13">
                  <c:v>30.5</c:v>
                </c:pt>
                <c:pt idx="14">
                  <c:v>26.2</c:v>
                </c:pt>
                <c:pt idx="15">
                  <c:v>25.3</c:v>
                </c:pt>
                <c:pt idx="16">
                  <c:v>17.2</c:v>
                </c:pt>
              </c:numCache>
            </c:numRef>
          </c:val>
          <c:extLst>
            <c:ext xmlns:c16="http://schemas.microsoft.com/office/drawing/2014/chart" uri="{C3380CC4-5D6E-409C-BE32-E72D297353CC}">
              <c16:uniqueId val="{00000001-CB71-4BE4-BFFD-58A750B1F54D}"/>
            </c:ext>
          </c:extLst>
        </c:ser>
        <c:ser>
          <c:idx val="1"/>
          <c:order val="1"/>
          <c:tx>
            <c:strRef>
              <c:f>Γ7!$C$1</c:f>
              <c:strCache>
                <c:ptCount val="1"/>
                <c:pt idx="0">
                  <c:v>Μείωση </c:v>
                </c:pt>
              </c:strCache>
            </c:strRef>
          </c:tx>
          <c:invertIfNegative val="0"/>
          <c:dLbls>
            <c:dLbl>
              <c:idx val="26"/>
              <c:layout>
                <c:manualLayout>
                  <c:x val="-1.8165304268846503E-3"/>
                  <c:y val="-3.7703513281919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71-4BE4-BFFD-58A750B1F54D}"/>
                </c:ext>
              </c:extLst>
            </c:dLbl>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Γ7!$A$2:$A$18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B2023</c:v>
                </c:pt>
                <c:pt idx="16">
                  <c:v>Α2024</c:v>
                </c:pt>
              </c:strCache>
            </c:strRef>
          </c:cat>
          <c:val>
            <c:numRef>
              <c:f>Γ7!$C$2:$C$18</c:f>
              <c:numCache>
                <c:formatCode>General</c:formatCode>
                <c:ptCount val="17"/>
                <c:pt idx="0">
                  <c:v>69.5</c:v>
                </c:pt>
                <c:pt idx="1">
                  <c:v>65.900000000000006</c:v>
                </c:pt>
                <c:pt idx="2">
                  <c:v>57.6</c:v>
                </c:pt>
                <c:pt idx="3" formatCode="0.0">
                  <c:v>50.297619047619051</c:v>
                </c:pt>
                <c:pt idx="4">
                  <c:v>45.8</c:v>
                </c:pt>
                <c:pt idx="5">
                  <c:v>39</c:v>
                </c:pt>
                <c:pt idx="6" formatCode="0.0">
                  <c:v>37.096774193548384</c:v>
                </c:pt>
                <c:pt idx="7">
                  <c:v>30.3</c:v>
                </c:pt>
                <c:pt idx="8">
                  <c:v>75.2</c:v>
                </c:pt>
                <c:pt idx="9">
                  <c:v>71.5</c:v>
                </c:pt>
                <c:pt idx="10">
                  <c:v>54</c:v>
                </c:pt>
                <c:pt idx="11">
                  <c:v>43.8</c:v>
                </c:pt>
                <c:pt idx="12">
                  <c:v>46.6</c:v>
                </c:pt>
                <c:pt idx="13">
                  <c:v>35.700000000000003</c:v>
                </c:pt>
                <c:pt idx="14">
                  <c:v>32.4</c:v>
                </c:pt>
                <c:pt idx="15">
                  <c:v>37.200000000000003</c:v>
                </c:pt>
                <c:pt idx="16">
                  <c:v>47.3</c:v>
                </c:pt>
              </c:numCache>
            </c:numRef>
          </c:val>
          <c:extLst>
            <c:ext xmlns:c16="http://schemas.microsoft.com/office/drawing/2014/chart" uri="{C3380CC4-5D6E-409C-BE32-E72D297353CC}">
              <c16:uniqueId val="{00000003-CB71-4BE4-BFFD-58A750B1F54D}"/>
            </c:ext>
          </c:extLst>
        </c:ser>
        <c:ser>
          <c:idx val="2"/>
          <c:order val="2"/>
          <c:tx>
            <c:strRef>
              <c:f>Γ7!$D$1</c:f>
              <c:strCache>
                <c:ptCount val="1"/>
                <c:pt idx="0">
                  <c:v>Αμετάβλητες</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Γ7!$A$2:$A$18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B2023</c:v>
                </c:pt>
                <c:pt idx="16">
                  <c:v>Α2024</c:v>
                </c:pt>
              </c:strCache>
            </c:strRef>
          </c:cat>
          <c:val>
            <c:numRef>
              <c:f>Γ7!$D$2:$D$18</c:f>
              <c:numCache>
                <c:formatCode>General</c:formatCode>
                <c:ptCount val="17"/>
                <c:pt idx="0">
                  <c:v>21.3</c:v>
                </c:pt>
                <c:pt idx="1">
                  <c:v>21.8</c:v>
                </c:pt>
                <c:pt idx="2">
                  <c:v>29.2</c:v>
                </c:pt>
                <c:pt idx="3" formatCode="0.0">
                  <c:v>32.936507936507937</c:v>
                </c:pt>
                <c:pt idx="4">
                  <c:v>35.299999999999997</c:v>
                </c:pt>
                <c:pt idx="5">
                  <c:v>36.700000000000003</c:v>
                </c:pt>
                <c:pt idx="6" formatCode="0.0">
                  <c:v>41.935483870967744</c:v>
                </c:pt>
                <c:pt idx="7">
                  <c:v>39.1</c:v>
                </c:pt>
                <c:pt idx="8">
                  <c:v>15.2</c:v>
                </c:pt>
                <c:pt idx="9">
                  <c:v>17.7</c:v>
                </c:pt>
                <c:pt idx="10">
                  <c:v>25.2</c:v>
                </c:pt>
                <c:pt idx="11">
                  <c:v>27.9</c:v>
                </c:pt>
                <c:pt idx="12">
                  <c:v>27.1</c:v>
                </c:pt>
                <c:pt idx="13">
                  <c:v>33.200000000000003</c:v>
                </c:pt>
                <c:pt idx="14">
                  <c:v>39.799999999999997</c:v>
                </c:pt>
                <c:pt idx="15">
                  <c:v>35.6</c:v>
                </c:pt>
                <c:pt idx="16">
                  <c:v>34.299999999999997</c:v>
                </c:pt>
              </c:numCache>
            </c:numRef>
          </c:val>
          <c:extLst>
            <c:ext xmlns:c16="http://schemas.microsoft.com/office/drawing/2014/chart" uri="{C3380CC4-5D6E-409C-BE32-E72D297353CC}">
              <c16:uniqueId val="{00000004-CB71-4BE4-BFFD-58A750B1F54D}"/>
            </c:ext>
          </c:extLst>
        </c:ser>
        <c:dLbls>
          <c:showLegendKey val="0"/>
          <c:showVal val="0"/>
          <c:showCatName val="0"/>
          <c:showSerName val="0"/>
          <c:showPercent val="0"/>
          <c:showBubbleSize val="0"/>
        </c:dLbls>
        <c:gapWidth val="150"/>
        <c:overlap val="100"/>
        <c:axId val="330436608"/>
        <c:axId val="330438144"/>
      </c:barChart>
      <c:catAx>
        <c:axId val="330436608"/>
        <c:scaling>
          <c:orientation val="minMax"/>
        </c:scaling>
        <c:delete val="0"/>
        <c:axPos val="l"/>
        <c:numFmt formatCode="General" sourceLinked="0"/>
        <c:majorTickMark val="out"/>
        <c:minorTickMark val="none"/>
        <c:tickLblPos val="nextTo"/>
        <c:crossAx val="330438144"/>
        <c:crosses val="autoZero"/>
        <c:auto val="1"/>
        <c:lblAlgn val="ctr"/>
        <c:lblOffset val="100"/>
        <c:noMultiLvlLbl val="0"/>
      </c:catAx>
      <c:valAx>
        <c:axId val="330438144"/>
        <c:scaling>
          <c:orientation val="minMax"/>
        </c:scaling>
        <c:delete val="1"/>
        <c:axPos val="b"/>
        <c:majorGridlines/>
        <c:numFmt formatCode="0%" sourceLinked="1"/>
        <c:majorTickMark val="out"/>
        <c:minorTickMark val="none"/>
        <c:tickLblPos val="nextTo"/>
        <c:crossAx val="330436608"/>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b="1" i="0" baseline="0">
                <a:effectLst/>
              </a:rPr>
              <a:t>ΓΡΑΦΗΜΑ 8</a:t>
            </a:r>
          </a:p>
          <a:p>
            <a:pPr>
              <a:defRPr sz="1200"/>
            </a:pPr>
            <a:r>
              <a:rPr lang="el-GR" sz="1200" b="1" i="0" baseline="0">
                <a:effectLst/>
              </a:rPr>
              <a:t>ΡΕΥΣΤΟΤΗΤΑ</a:t>
            </a:r>
            <a:r>
              <a:rPr lang="en-US" sz="1200" b="1" i="0" baseline="0">
                <a:effectLst/>
              </a:rPr>
              <a:t> - </a:t>
            </a:r>
            <a:r>
              <a:rPr lang="el-GR" sz="1200" b="1" i="0" baseline="0">
                <a:effectLst/>
              </a:rPr>
              <a:t>ΑΠΟΤΙΜΗΣΗ  ΕΞΑΜΗΝΟΥ</a:t>
            </a:r>
            <a:br>
              <a:rPr lang="el-GR" sz="1200" b="1" i="0" baseline="0">
                <a:effectLst/>
              </a:rPr>
            </a:br>
            <a:r>
              <a:rPr lang="el-GR" sz="1200" b="1" i="0" baseline="0">
                <a:effectLst/>
              </a:rPr>
              <a:t>ΣΥΓΚΡΙΣΗ ΜΕ ΠΡΟΗΓΟΥΜΕΝΕΣ ΕΡΕΥΝΕΣ</a:t>
            </a:r>
            <a:endParaRPr lang="el-GR" sz="1200">
              <a:effectLst/>
            </a:endParaRPr>
          </a:p>
        </c:rich>
      </c:tx>
      <c:overlay val="0"/>
    </c:title>
    <c:autoTitleDeleted val="0"/>
    <c:plotArea>
      <c:layout/>
      <c:barChart>
        <c:barDir val="bar"/>
        <c:grouping val="percentStacked"/>
        <c:varyColors val="0"/>
        <c:ser>
          <c:idx val="0"/>
          <c:order val="0"/>
          <c:tx>
            <c:strRef>
              <c:f>Γ8!$B$1</c:f>
              <c:strCache>
                <c:ptCount val="1"/>
                <c:pt idx="0">
                  <c:v>Αύξηση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Γ8!$A$2:$A$18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Β2023</c:v>
                </c:pt>
                <c:pt idx="16">
                  <c:v>Α 2024</c:v>
                </c:pt>
              </c:strCache>
            </c:strRef>
          </c:cat>
          <c:val>
            <c:numRef>
              <c:f>Γ8!$B$2:$B$18</c:f>
              <c:numCache>
                <c:formatCode>General</c:formatCode>
                <c:ptCount val="17"/>
                <c:pt idx="0">
                  <c:v>5.7</c:v>
                </c:pt>
                <c:pt idx="1">
                  <c:v>8</c:v>
                </c:pt>
                <c:pt idx="2">
                  <c:v>8.3000000000000007</c:v>
                </c:pt>
                <c:pt idx="3" formatCode="0.0">
                  <c:v>10.119047619047619</c:v>
                </c:pt>
                <c:pt idx="4">
                  <c:v>11.7</c:v>
                </c:pt>
                <c:pt idx="5">
                  <c:v>15.5</c:v>
                </c:pt>
                <c:pt idx="6" formatCode="0.0">
                  <c:v>14.640198511166252</c:v>
                </c:pt>
                <c:pt idx="7">
                  <c:v>18.8</c:v>
                </c:pt>
                <c:pt idx="8">
                  <c:v>5.4</c:v>
                </c:pt>
                <c:pt idx="9">
                  <c:v>7.5</c:v>
                </c:pt>
                <c:pt idx="10">
                  <c:v>15.3</c:v>
                </c:pt>
                <c:pt idx="11">
                  <c:v>22.1</c:v>
                </c:pt>
                <c:pt idx="12">
                  <c:v>22</c:v>
                </c:pt>
                <c:pt idx="13">
                  <c:v>25.6</c:v>
                </c:pt>
                <c:pt idx="14">
                  <c:v>23.3</c:v>
                </c:pt>
                <c:pt idx="15">
                  <c:v>21.5</c:v>
                </c:pt>
                <c:pt idx="16">
                  <c:v>13.3</c:v>
                </c:pt>
              </c:numCache>
            </c:numRef>
          </c:val>
          <c:extLst>
            <c:ext xmlns:c16="http://schemas.microsoft.com/office/drawing/2014/chart" uri="{C3380CC4-5D6E-409C-BE32-E72D297353CC}">
              <c16:uniqueId val="{00000000-D676-4BFA-89B5-234AD2182984}"/>
            </c:ext>
          </c:extLst>
        </c:ser>
        <c:ser>
          <c:idx val="1"/>
          <c:order val="1"/>
          <c:tx>
            <c:strRef>
              <c:f>Γ8!$C$1</c:f>
              <c:strCache>
                <c:ptCount val="1"/>
                <c:pt idx="0">
                  <c:v>Μείωση </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Γ8!$A$2:$A$18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Β2023</c:v>
                </c:pt>
                <c:pt idx="16">
                  <c:v>Α 2024</c:v>
                </c:pt>
              </c:strCache>
            </c:strRef>
          </c:cat>
          <c:val>
            <c:numRef>
              <c:f>Γ8!$C$2:$C$18</c:f>
              <c:numCache>
                <c:formatCode>General</c:formatCode>
                <c:ptCount val="17"/>
                <c:pt idx="0">
                  <c:v>75.8</c:v>
                </c:pt>
                <c:pt idx="1">
                  <c:v>70.099999999999994</c:v>
                </c:pt>
                <c:pt idx="2">
                  <c:v>65.099999999999994</c:v>
                </c:pt>
                <c:pt idx="3" formatCode="0.0">
                  <c:v>58.134920634920633</c:v>
                </c:pt>
                <c:pt idx="4">
                  <c:v>53.2</c:v>
                </c:pt>
                <c:pt idx="5">
                  <c:v>48.4</c:v>
                </c:pt>
                <c:pt idx="6" formatCode="0.0">
                  <c:v>46.401985111662533</c:v>
                </c:pt>
                <c:pt idx="7">
                  <c:v>38.799999999999997</c:v>
                </c:pt>
                <c:pt idx="8">
                  <c:v>78.3</c:v>
                </c:pt>
                <c:pt idx="9">
                  <c:v>74.900000000000006</c:v>
                </c:pt>
                <c:pt idx="10">
                  <c:v>56.1</c:v>
                </c:pt>
                <c:pt idx="11">
                  <c:v>48.8</c:v>
                </c:pt>
                <c:pt idx="12">
                  <c:v>52.7</c:v>
                </c:pt>
                <c:pt idx="13">
                  <c:v>41.5</c:v>
                </c:pt>
                <c:pt idx="14">
                  <c:v>38.799999999999997</c:v>
                </c:pt>
                <c:pt idx="15">
                  <c:v>42.4</c:v>
                </c:pt>
                <c:pt idx="16">
                  <c:v>55.9</c:v>
                </c:pt>
              </c:numCache>
            </c:numRef>
          </c:val>
          <c:extLst>
            <c:ext xmlns:c16="http://schemas.microsoft.com/office/drawing/2014/chart" uri="{C3380CC4-5D6E-409C-BE32-E72D297353CC}">
              <c16:uniqueId val="{00000001-D676-4BFA-89B5-234AD2182984}"/>
            </c:ext>
          </c:extLst>
        </c:ser>
        <c:ser>
          <c:idx val="2"/>
          <c:order val="2"/>
          <c:tx>
            <c:strRef>
              <c:f>Γ8!$D$1</c:f>
              <c:strCache>
                <c:ptCount val="1"/>
                <c:pt idx="0">
                  <c:v>Αμετάβλητη</c:v>
                </c:pt>
              </c:strCache>
            </c:strRef>
          </c:tx>
          <c:invertIfNegative val="0"/>
          <c:dLbls>
            <c:spPr>
              <a:noFill/>
              <a:ln>
                <a:noFill/>
              </a:ln>
              <a:effectLst/>
            </c:spPr>
            <c:txPr>
              <a:bodyPr/>
              <a:lstStyle/>
              <a:p>
                <a:pPr>
                  <a:defRPr b="1"/>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Γ8!$A$2:$A$18</c:f>
              <c:strCache>
                <c:ptCount val="17"/>
                <c:pt idx="0">
                  <c:v>Α2016</c:v>
                </c:pt>
                <c:pt idx="1">
                  <c:v>Β2016</c:v>
                </c:pt>
                <c:pt idx="2">
                  <c:v>Α2017</c:v>
                </c:pt>
                <c:pt idx="3">
                  <c:v>Β2017</c:v>
                </c:pt>
                <c:pt idx="4">
                  <c:v>Α2018</c:v>
                </c:pt>
                <c:pt idx="5">
                  <c:v>Β2018</c:v>
                </c:pt>
                <c:pt idx="6">
                  <c:v>Α2019</c:v>
                </c:pt>
                <c:pt idx="7">
                  <c:v>Β2019</c:v>
                </c:pt>
                <c:pt idx="8">
                  <c:v>Α2020</c:v>
                </c:pt>
                <c:pt idx="9">
                  <c:v>Β2020</c:v>
                </c:pt>
                <c:pt idx="10">
                  <c:v>Α2021</c:v>
                </c:pt>
                <c:pt idx="11">
                  <c:v>Β2021</c:v>
                </c:pt>
                <c:pt idx="12">
                  <c:v>Α2022</c:v>
                </c:pt>
                <c:pt idx="13">
                  <c:v>Β2022</c:v>
                </c:pt>
                <c:pt idx="14">
                  <c:v>Α2023</c:v>
                </c:pt>
                <c:pt idx="15">
                  <c:v>Β2023</c:v>
                </c:pt>
                <c:pt idx="16">
                  <c:v>Α 2024</c:v>
                </c:pt>
              </c:strCache>
            </c:strRef>
          </c:cat>
          <c:val>
            <c:numRef>
              <c:f>Γ8!$D$2:$D$18</c:f>
              <c:numCache>
                <c:formatCode>General</c:formatCode>
                <c:ptCount val="17"/>
                <c:pt idx="0">
                  <c:v>17.8</c:v>
                </c:pt>
                <c:pt idx="1">
                  <c:v>21.2</c:v>
                </c:pt>
                <c:pt idx="2">
                  <c:v>25.8</c:v>
                </c:pt>
                <c:pt idx="3" formatCode="0.0">
                  <c:v>31.25</c:v>
                </c:pt>
                <c:pt idx="4">
                  <c:v>34</c:v>
                </c:pt>
                <c:pt idx="5">
                  <c:v>35.6</c:v>
                </c:pt>
                <c:pt idx="6" formatCode="0.0">
                  <c:v>37.841191066997517</c:v>
                </c:pt>
                <c:pt idx="7">
                  <c:v>41.7</c:v>
                </c:pt>
                <c:pt idx="8">
                  <c:v>15.3</c:v>
                </c:pt>
                <c:pt idx="9">
                  <c:v>16.899999999999999</c:v>
                </c:pt>
                <c:pt idx="10">
                  <c:v>27.2</c:v>
                </c:pt>
                <c:pt idx="11">
                  <c:v>28.9</c:v>
                </c:pt>
                <c:pt idx="12">
                  <c:v>24.8</c:v>
                </c:pt>
                <c:pt idx="13">
                  <c:v>32.700000000000003</c:v>
                </c:pt>
                <c:pt idx="14">
                  <c:v>36.5</c:v>
                </c:pt>
                <c:pt idx="15">
                  <c:v>35.6</c:v>
                </c:pt>
                <c:pt idx="16">
                  <c:v>29.9</c:v>
                </c:pt>
              </c:numCache>
            </c:numRef>
          </c:val>
          <c:extLst>
            <c:ext xmlns:c16="http://schemas.microsoft.com/office/drawing/2014/chart" uri="{C3380CC4-5D6E-409C-BE32-E72D297353CC}">
              <c16:uniqueId val="{00000002-D676-4BFA-89B5-234AD2182984}"/>
            </c:ext>
          </c:extLst>
        </c:ser>
        <c:dLbls>
          <c:showLegendKey val="0"/>
          <c:showVal val="0"/>
          <c:showCatName val="0"/>
          <c:showSerName val="0"/>
          <c:showPercent val="0"/>
          <c:showBubbleSize val="0"/>
        </c:dLbls>
        <c:gapWidth val="150"/>
        <c:overlap val="100"/>
        <c:axId val="330094080"/>
        <c:axId val="330095616"/>
      </c:barChart>
      <c:catAx>
        <c:axId val="330094080"/>
        <c:scaling>
          <c:orientation val="minMax"/>
        </c:scaling>
        <c:delete val="0"/>
        <c:axPos val="l"/>
        <c:numFmt formatCode="General" sourceLinked="0"/>
        <c:majorTickMark val="out"/>
        <c:minorTickMark val="none"/>
        <c:tickLblPos val="nextTo"/>
        <c:crossAx val="330095616"/>
        <c:crosses val="autoZero"/>
        <c:auto val="1"/>
        <c:lblAlgn val="ctr"/>
        <c:lblOffset val="100"/>
        <c:noMultiLvlLbl val="0"/>
      </c:catAx>
      <c:valAx>
        <c:axId val="330095616"/>
        <c:scaling>
          <c:orientation val="minMax"/>
        </c:scaling>
        <c:delete val="1"/>
        <c:axPos val="b"/>
        <c:majorGridlines/>
        <c:numFmt formatCode="0%" sourceLinked="1"/>
        <c:majorTickMark val="out"/>
        <c:minorTickMark val="none"/>
        <c:tickLblPos val="nextTo"/>
        <c:crossAx val="330094080"/>
        <c:crosses val="autoZero"/>
        <c:crossBetween val="between"/>
      </c:valAx>
    </c:plotArea>
    <c:legend>
      <c:legendPos val="b"/>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l-GR" sz="1200" b="1" i="0" baseline="0">
                <a:effectLst/>
              </a:rPr>
              <a:t>Γράφημα 9</a:t>
            </a:r>
            <a:endParaRPr lang="el-GR" sz="1200">
              <a:effectLst/>
            </a:endParaRPr>
          </a:p>
          <a:p>
            <a:pPr>
              <a:defRPr/>
            </a:pPr>
            <a:r>
              <a:rPr lang="el-GR" sz="1200" b="1" i="0" baseline="0">
                <a:effectLst/>
              </a:rPr>
              <a:t>Επάρκεια ταμειακών διαθεσίμων για κάλυψη βασικών υποχρεώσεων επιχειρήσης </a:t>
            </a:r>
            <a:endParaRPr lang="el-GR" sz="1200">
              <a:effectLst/>
            </a:endParaRPr>
          </a:p>
          <a:p>
            <a:pPr>
              <a:defRPr/>
            </a:pPr>
            <a:r>
              <a:rPr lang="el-GR" sz="1200" b="1" i="0" baseline="0">
                <a:effectLst/>
              </a:rPr>
              <a:t>- Συγκριτικό Γράφημα -</a:t>
            </a:r>
            <a:endParaRPr lang="el-GR" sz="1200">
              <a:effectLst/>
            </a:endParaRPr>
          </a:p>
        </c:rich>
      </c:tx>
      <c:overlay val="0"/>
    </c:title>
    <c:autoTitleDeleted val="0"/>
    <c:plotArea>
      <c:layout>
        <c:manualLayout>
          <c:layoutTarget val="inner"/>
          <c:xMode val="edge"/>
          <c:yMode val="edge"/>
          <c:x val="0.24478854733905592"/>
          <c:y val="0.16957928802588998"/>
          <c:w val="0.68108187544172638"/>
          <c:h val="0.66405949256342955"/>
        </c:manualLayout>
      </c:layout>
      <c:barChart>
        <c:barDir val="col"/>
        <c:grouping val="percentStacked"/>
        <c:varyColors val="0"/>
        <c:ser>
          <c:idx val="7"/>
          <c:order val="0"/>
          <c:tx>
            <c:strRef>
              <c:f>Γ9!$A$2</c:f>
              <c:strCache>
                <c:ptCount val="1"/>
                <c:pt idx="0">
                  <c:v>Δεν υπάρχουν ταμειακά διαθέσιμα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Γ9!$B$1:$J$1</c:f>
              <c:strCache>
                <c:ptCount val="9"/>
                <c:pt idx="0">
                  <c:v>Ιούλιος 2024</c:v>
                </c:pt>
                <c:pt idx="1">
                  <c:v>Φεβρουάριος 2024</c:v>
                </c:pt>
                <c:pt idx="2">
                  <c:v>Ιούλιος 2023</c:v>
                </c:pt>
                <c:pt idx="3">
                  <c:v>Φεβρουάριος 2023</c:v>
                </c:pt>
                <c:pt idx="4">
                  <c:v>Ιούλιος 2022</c:v>
                </c:pt>
                <c:pt idx="5">
                  <c:v>Φεβρουάριος 2022</c:v>
                </c:pt>
                <c:pt idx="6">
                  <c:v>Ιούλιος 2021</c:v>
                </c:pt>
                <c:pt idx="7">
                  <c:v>Φεβρουάριος 2021</c:v>
                </c:pt>
                <c:pt idx="8">
                  <c:v>Ιούνιος 2020</c:v>
                </c:pt>
              </c:strCache>
            </c:strRef>
          </c:cat>
          <c:val>
            <c:numRef>
              <c:f>Γ9!$B$2:$J$2</c:f>
              <c:numCache>
                <c:formatCode>0.00%</c:formatCode>
                <c:ptCount val="9"/>
                <c:pt idx="0">
                  <c:v>0.29599999999999999</c:v>
                </c:pt>
                <c:pt idx="1">
                  <c:v>0.255</c:v>
                </c:pt>
                <c:pt idx="2" formatCode="0.0%">
                  <c:v>0.25600000000000001</c:v>
                </c:pt>
                <c:pt idx="3" formatCode="0.0%">
                  <c:v>0.28000000000000003</c:v>
                </c:pt>
                <c:pt idx="4" formatCode="0.0%">
                  <c:v>0.27840199750312111</c:v>
                </c:pt>
                <c:pt idx="5" formatCode="0.0%">
                  <c:v>0.219</c:v>
                </c:pt>
                <c:pt idx="6" formatCode="0.0%">
                  <c:v>0.214</c:v>
                </c:pt>
                <c:pt idx="7" formatCode="0.0%">
                  <c:v>0.247</c:v>
                </c:pt>
                <c:pt idx="8" formatCode="0.0%">
                  <c:v>0.14799999999999999</c:v>
                </c:pt>
              </c:numCache>
            </c:numRef>
          </c:val>
          <c:extLst>
            <c:ext xmlns:c16="http://schemas.microsoft.com/office/drawing/2014/chart" uri="{C3380CC4-5D6E-409C-BE32-E72D297353CC}">
              <c16:uniqueId val="{00000000-A365-45CD-BA44-FD152108E5E3}"/>
            </c:ext>
          </c:extLst>
        </c:ser>
        <c:ser>
          <c:idx val="0"/>
          <c:order val="1"/>
          <c:tx>
            <c:strRef>
              <c:f>Γ9!$A$3</c:f>
              <c:strCache>
                <c:ptCount val="1"/>
                <c:pt idx="0">
                  <c:v>Λιγότερο από 1 μηνα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Γ9!$B$1:$J$1</c:f>
              <c:strCache>
                <c:ptCount val="9"/>
                <c:pt idx="0">
                  <c:v>Ιούλιος 2024</c:v>
                </c:pt>
                <c:pt idx="1">
                  <c:v>Φεβρουάριος 2024</c:v>
                </c:pt>
                <c:pt idx="2">
                  <c:v>Ιούλιος 2023</c:v>
                </c:pt>
                <c:pt idx="3">
                  <c:v>Φεβρουάριος 2023</c:v>
                </c:pt>
                <c:pt idx="4">
                  <c:v>Ιούλιος 2022</c:v>
                </c:pt>
                <c:pt idx="5">
                  <c:v>Φεβρουάριος 2022</c:v>
                </c:pt>
                <c:pt idx="6">
                  <c:v>Ιούλιος 2021</c:v>
                </c:pt>
                <c:pt idx="7">
                  <c:v>Φεβρουάριος 2021</c:v>
                </c:pt>
                <c:pt idx="8">
                  <c:v>Ιούνιος 2020</c:v>
                </c:pt>
              </c:strCache>
            </c:strRef>
          </c:cat>
          <c:val>
            <c:numRef>
              <c:f>Γ9!$B$3:$J$3</c:f>
              <c:numCache>
                <c:formatCode>0.00%</c:formatCode>
                <c:ptCount val="9"/>
                <c:pt idx="0">
                  <c:v>7.2999999999999995E-2</c:v>
                </c:pt>
                <c:pt idx="1">
                  <c:v>8.6999999999999994E-2</c:v>
                </c:pt>
                <c:pt idx="2" formatCode="0.0%">
                  <c:v>9.0999999999999998E-2</c:v>
                </c:pt>
                <c:pt idx="3" formatCode="0.0%">
                  <c:v>7.3999999999999996E-2</c:v>
                </c:pt>
                <c:pt idx="4" formatCode="0.0%">
                  <c:v>9.2384519350811489E-2</c:v>
                </c:pt>
                <c:pt idx="5" formatCode="0.0%">
                  <c:v>0.11</c:v>
                </c:pt>
                <c:pt idx="6" formatCode="0.0%">
                  <c:v>7.6999999999999999E-2</c:v>
                </c:pt>
                <c:pt idx="7" formatCode="0.0%">
                  <c:v>9.6000000000000002E-2</c:v>
                </c:pt>
                <c:pt idx="8" formatCode="0.0%">
                  <c:v>0.107</c:v>
                </c:pt>
              </c:numCache>
            </c:numRef>
          </c:val>
          <c:extLst>
            <c:ext xmlns:c16="http://schemas.microsoft.com/office/drawing/2014/chart" uri="{C3380CC4-5D6E-409C-BE32-E72D297353CC}">
              <c16:uniqueId val="{00000001-A365-45CD-BA44-FD152108E5E3}"/>
            </c:ext>
          </c:extLst>
        </c:ser>
        <c:ser>
          <c:idx val="1"/>
          <c:order val="2"/>
          <c:tx>
            <c:strRef>
              <c:f>Γ9!$A$4</c:f>
              <c:strCache>
                <c:ptCount val="1"/>
                <c:pt idx="0">
                  <c:v>1 μήνα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Γ9!$B$1:$J$1</c:f>
              <c:strCache>
                <c:ptCount val="9"/>
                <c:pt idx="0">
                  <c:v>Ιούλιος 2024</c:v>
                </c:pt>
                <c:pt idx="1">
                  <c:v>Φεβρουάριος 2024</c:v>
                </c:pt>
                <c:pt idx="2">
                  <c:v>Ιούλιος 2023</c:v>
                </c:pt>
                <c:pt idx="3">
                  <c:v>Φεβρουάριος 2023</c:v>
                </c:pt>
                <c:pt idx="4">
                  <c:v>Ιούλιος 2022</c:v>
                </c:pt>
                <c:pt idx="5">
                  <c:v>Φεβρουάριος 2022</c:v>
                </c:pt>
                <c:pt idx="6">
                  <c:v>Ιούλιος 2021</c:v>
                </c:pt>
                <c:pt idx="7">
                  <c:v>Φεβρουάριος 2021</c:v>
                </c:pt>
                <c:pt idx="8">
                  <c:v>Ιούνιος 2020</c:v>
                </c:pt>
              </c:strCache>
            </c:strRef>
          </c:cat>
          <c:val>
            <c:numRef>
              <c:f>Γ9!$B$4:$J$4</c:f>
              <c:numCache>
                <c:formatCode>0.00%</c:formatCode>
                <c:ptCount val="9"/>
                <c:pt idx="0">
                  <c:v>0.152</c:v>
                </c:pt>
                <c:pt idx="1">
                  <c:v>0.16400000000000001</c:v>
                </c:pt>
                <c:pt idx="2" formatCode="0.0%">
                  <c:v>0.121</c:v>
                </c:pt>
                <c:pt idx="3" formatCode="0.0%">
                  <c:v>0.15</c:v>
                </c:pt>
                <c:pt idx="4" formatCode="0.0%">
                  <c:v>0.14981273408239701</c:v>
                </c:pt>
                <c:pt idx="5" formatCode="0.0%">
                  <c:v>0.17599999999999999</c:v>
                </c:pt>
                <c:pt idx="6" formatCode="0.0%">
                  <c:v>0.13300000000000001</c:v>
                </c:pt>
                <c:pt idx="7" formatCode="0.0%">
                  <c:v>0.14399999999999999</c:v>
                </c:pt>
                <c:pt idx="8" formatCode="0.0%">
                  <c:v>0.152</c:v>
                </c:pt>
              </c:numCache>
            </c:numRef>
          </c:val>
          <c:extLst>
            <c:ext xmlns:c16="http://schemas.microsoft.com/office/drawing/2014/chart" uri="{C3380CC4-5D6E-409C-BE32-E72D297353CC}">
              <c16:uniqueId val="{00000002-A365-45CD-BA44-FD152108E5E3}"/>
            </c:ext>
          </c:extLst>
        </c:ser>
        <c:ser>
          <c:idx val="2"/>
          <c:order val="3"/>
          <c:tx>
            <c:strRef>
              <c:f>Γ9!$A$5</c:f>
              <c:strCache>
                <c:ptCount val="1"/>
                <c:pt idx="0">
                  <c:v>2 μήνες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Γ9!$B$1:$J$1</c:f>
              <c:strCache>
                <c:ptCount val="9"/>
                <c:pt idx="0">
                  <c:v>Ιούλιος 2024</c:v>
                </c:pt>
                <c:pt idx="1">
                  <c:v>Φεβρουάριος 2024</c:v>
                </c:pt>
                <c:pt idx="2">
                  <c:v>Ιούλιος 2023</c:v>
                </c:pt>
                <c:pt idx="3">
                  <c:v>Φεβρουάριος 2023</c:v>
                </c:pt>
                <c:pt idx="4">
                  <c:v>Ιούλιος 2022</c:v>
                </c:pt>
                <c:pt idx="5">
                  <c:v>Φεβρουάριος 2022</c:v>
                </c:pt>
                <c:pt idx="6">
                  <c:v>Ιούλιος 2021</c:v>
                </c:pt>
                <c:pt idx="7">
                  <c:v>Φεβρουάριος 2021</c:v>
                </c:pt>
                <c:pt idx="8">
                  <c:v>Ιούνιος 2020</c:v>
                </c:pt>
              </c:strCache>
            </c:strRef>
          </c:cat>
          <c:val>
            <c:numRef>
              <c:f>Γ9!$B$5:$J$5</c:f>
              <c:numCache>
                <c:formatCode>0.00%</c:formatCode>
                <c:ptCount val="9"/>
                <c:pt idx="0">
                  <c:v>9.0999999999999998E-2</c:v>
                </c:pt>
                <c:pt idx="1">
                  <c:v>9.4E-2</c:v>
                </c:pt>
                <c:pt idx="2" formatCode="0.0%">
                  <c:v>0.106</c:v>
                </c:pt>
                <c:pt idx="3" formatCode="0.0%">
                  <c:v>0.109</c:v>
                </c:pt>
                <c:pt idx="4" formatCode="0.0%">
                  <c:v>9.3632958801498134E-2</c:v>
                </c:pt>
                <c:pt idx="5" formatCode="0.0%">
                  <c:v>0.122</c:v>
                </c:pt>
                <c:pt idx="6" formatCode="0.0%">
                  <c:v>0.127</c:v>
                </c:pt>
                <c:pt idx="7" formatCode="0.0%">
                  <c:v>0.13700000000000001</c:v>
                </c:pt>
                <c:pt idx="8" formatCode="0.0%">
                  <c:v>0.13700000000000001</c:v>
                </c:pt>
              </c:numCache>
            </c:numRef>
          </c:val>
          <c:extLst>
            <c:ext xmlns:c16="http://schemas.microsoft.com/office/drawing/2014/chart" uri="{C3380CC4-5D6E-409C-BE32-E72D297353CC}">
              <c16:uniqueId val="{00000003-A365-45CD-BA44-FD152108E5E3}"/>
            </c:ext>
          </c:extLst>
        </c:ser>
        <c:ser>
          <c:idx val="3"/>
          <c:order val="4"/>
          <c:tx>
            <c:strRef>
              <c:f>Γ9!$A$6</c:f>
              <c:strCache>
                <c:ptCount val="1"/>
                <c:pt idx="0">
                  <c:v>3-4 μήνες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Γ9!$B$1:$J$1</c:f>
              <c:strCache>
                <c:ptCount val="9"/>
                <c:pt idx="0">
                  <c:v>Ιούλιος 2024</c:v>
                </c:pt>
                <c:pt idx="1">
                  <c:v>Φεβρουάριος 2024</c:v>
                </c:pt>
                <c:pt idx="2">
                  <c:v>Ιούλιος 2023</c:v>
                </c:pt>
                <c:pt idx="3">
                  <c:v>Φεβρουάριος 2023</c:v>
                </c:pt>
                <c:pt idx="4">
                  <c:v>Ιούλιος 2022</c:v>
                </c:pt>
                <c:pt idx="5">
                  <c:v>Φεβρουάριος 2022</c:v>
                </c:pt>
                <c:pt idx="6">
                  <c:v>Ιούλιος 2021</c:v>
                </c:pt>
                <c:pt idx="7">
                  <c:v>Φεβρουάριος 2021</c:v>
                </c:pt>
                <c:pt idx="8">
                  <c:v>Ιούνιος 2020</c:v>
                </c:pt>
              </c:strCache>
            </c:strRef>
          </c:cat>
          <c:val>
            <c:numRef>
              <c:f>Γ9!$B$6:$J$6</c:f>
              <c:numCache>
                <c:formatCode>0.00%</c:formatCode>
                <c:ptCount val="9"/>
                <c:pt idx="0">
                  <c:v>0.11899999999999999</c:v>
                </c:pt>
                <c:pt idx="1">
                  <c:v>0.111</c:v>
                </c:pt>
                <c:pt idx="2" formatCode="0.0%">
                  <c:v>8.7999999999999995E-2</c:v>
                </c:pt>
                <c:pt idx="3" formatCode="0.0%">
                  <c:v>0.121</c:v>
                </c:pt>
                <c:pt idx="4" formatCode="0.0%">
                  <c:v>8.4900000000000003E-2</c:v>
                </c:pt>
                <c:pt idx="5" formatCode="0.0%">
                  <c:v>0.124</c:v>
                </c:pt>
                <c:pt idx="6" formatCode="0.0%">
                  <c:v>0.113</c:v>
                </c:pt>
                <c:pt idx="7" formatCode="0.0%">
                  <c:v>0.129</c:v>
                </c:pt>
                <c:pt idx="8" formatCode="0.0%">
                  <c:v>0.14799999999999999</c:v>
                </c:pt>
              </c:numCache>
            </c:numRef>
          </c:val>
          <c:extLst>
            <c:ext xmlns:c16="http://schemas.microsoft.com/office/drawing/2014/chart" uri="{C3380CC4-5D6E-409C-BE32-E72D297353CC}">
              <c16:uniqueId val="{00000004-A365-45CD-BA44-FD152108E5E3}"/>
            </c:ext>
          </c:extLst>
        </c:ser>
        <c:ser>
          <c:idx val="4"/>
          <c:order val="5"/>
          <c:tx>
            <c:strRef>
              <c:f>Γ9!$A$7</c:f>
              <c:strCache>
                <c:ptCount val="1"/>
                <c:pt idx="0">
                  <c:v>5-6 μήνες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Γ9!$B$1:$J$1</c:f>
              <c:strCache>
                <c:ptCount val="9"/>
                <c:pt idx="0">
                  <c:v>Ιούλιος 2024</c:v>
                </c:pt>
                <c:pt idx="1">
                  <c:v>Φεβρουάριος 2024</c:v>
                </c:pt>
                <c:pt idx="2">
                  <c:v>Ιούλιος 2023</c:v>
                </c:pt>
                <c:pt idx="3">
                  <c:v>Φεβρουάριος 2023</c:v>
                </c:pt>
                <c:pt idx="4">
                  <c:v>Ιούλιος 2022</c:v>
                </c:pt>
                <c:pt idx="5">
                  <c:v>Φεβρουάριος 2022</c:v>
                </c:pt>
                <c:pt idx="6">
                  <c:v>Ιούλιος 2021</c:v>
                </c:pt>
                <c:pt idx="7">
                  <c:v>Φεβρουάριος 2021</c:v>
                </c:pt>
                <c:pt idx="8">
                  <c:v>Ιούνιος 2020</c:v>
                </c:pt>
              </c:strCache>
            </c:strRef>
          </c:cat>
          <c:val>
            <c:numRef>
              <c:f>Γ9!$B$7:$J$7</c:f>
              <c:numCache>
                <c:formatCode>0.00%</c:formatCode>
                <c:ptCount val="9"/>
                <c:pt idx="0">
                  <c:v>0.115</c:v>
                </c:pt>
                <c:pt idx="1">
                  <c:v>0.113</c:v>
                </c:pt>
                <c:pt idx="2" formatCode="0.0%">
                  <c:v>0.107</c:v>
                </c:pt>
                <c:pt idx="3" formatCode="0.0%">
                  <c:v>0.10199999999999999</c:v>
                </c:pt>
                <c:pt idx="4" formatCode="0.0%">
                  <c:v>0.11990000000000001</c:v>
                </c:pt>
                <c:pt idx="5" formatCode="0.0%">
                  <c:v>0.107</c:v>
                </c:pt>
                <c:pt idx="6" formatCode="0.0%">
                  <c:v>0.13400000000000001</c:v>
                </c:pt>
                <c:pt idx="7" formatCode="0.0%">
                  <c:v>0.10299999999999999</c:v>
                </c:pt>
                <c:pt idx="8" formatCode="0.0%">
                  <c:v>9.9000000000000005E-2</c:v>
                </c:pt>
              </c:numCache>
            </c:numRef>
          </c:val>
          <c:extLst>
            <c:ext xmlns:c16="http://schemas.microsoft.com/office/drawing/2014/chart" uri="{C3380CC4-5D6E-409C-BE32-E72D297353CC}">
              <c16:uniqueId val="{00000005-A365-45CD-BA44-FD152108E5E3}"/>
            </c:ext>
          </c:extLst>
        </c:ser>
        <c:ser>
          <c:idx val="5"/>
          <c:order val="6"/>
          <c:tx>
            <c:strRef>
              <c:f>Γ9!$A$8</c:f>
              <c:strCache>
                <c:ptCount val="1"/>
                <c:pt idx="0">
                  <c:v>Πάνω από 6 μήνες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Γ9!$B$1:$J$1</c:f>
              <c:strCache>
                <c:ptCount val="9"/>
                <c:pt idx="0">
                  <c:v>Ιούλιος 2024</c:v>
                </c:pt>
                <c:pt idx="1">
                  <c:v>Φεβρουάριος 2024</c:v>
                </c:pt>
                <c:pt idx="2">
                  <c:v>Ιούλιος 2023</c:v>
                </c:pt>
                <c:pt idx="3">
                  <c:v>Φεβρουάριος 2023</c:v>
                </c:pt>
                <c:pt idx="4">
                  <c:v>Ιούλιος 2022</c:v>
                </c:pt>
                <c:pt idx="5">
                  <c:v>Φεβρουάριος 2022</c:v>
                </c:pt>
                <c:pt idx="6">
                  <c:v>Ιούλιος 2021</c:v>
                </c:pt>
                <c:pt idx="7">
                  <c:v>Φεβρουάριος 2021</c:v>
                </c:pt>
                <c:pt idx="8">
                  <c:v>Ιούνιος 2020</c:v>
                </c:pt>
              </c:strCache>
            </c:strRef>
          </c:cat>
          <c:val>
            <c:numRef>
              <c:f>Γ9!$B$8:$J$8</c:f>
              <c:numCache>
                <c:formatCode>0.00%</c:formatCode>
                <c:ptCount val="9"/>
                <c:pt idx="0">
                  <c:v>8.5999999999999993E-2</c:v>
                </c:pt>
                <c:pt idx="1">
                  <c:v>0.10100000000000001</c:v>
                </c:pt>
                <c:pt idx="2" formatCode="0.0%">
                  <c:v>0.108</c:v>
                </c:pt>
                <c:pt idx="3" formatCode="0.0%">
                  <c:v>0.09</c:v>
                </c:pt>
                <c:pt idx="4" formatCode="0.0%">
                  <c:v>0.10112359550561797</c:v>
                </c:pt>
                <c:pt idx="5" formatCode="0.0%">
                  <c:v>8.1000000000000003E-2</c:v>
                </c:pt>
                <c:pt idx="6" formatCode="0.0%">
                  <c:v>9.5000000000000001E-2</c:v>
                </c:pt>
                <c:pt idx="7" formatCode="0.0%">
                  <c:v>7.5999999999999998E-2</c:v>
                </c:pt>
                <c:pt idx="8" formatCode="0.0%">
                  <c:v>0.106</c:v>
                </c:pt>
              </c:numCache>
            </c:numRef>
          </c:val>
          <c:extLst>
            <c:ext xmlns:c16="http://schemas.microsoft.com/office/drawing/2014/chart" uri="{C3380CC4-5D6E-409C-BE32-E72D297353CC}">
              <c16:uniqueId val="{00000006-A365-45CD-BA44-FD152108E5E3}"/>
            </c:ext>
          </c:extLst>
        </c:ser>
        <c:dLbls>
          <c:showLegendKey val="0"/>
          <c:showVal val="0"/>
          <c:showCatName val="0"/>
          <c:showSerName val="0"/>
          <c:showPercent val="0"/>
          <c:showBubbleSize val="0"/>
        </c:dLbls>
        <c:gapWidth val="150"/>
        <c:overlap val="100"/>
        <c:axId val="330950144"/>
        <c:axId val="330951680"/>
      </c:barChart>
      <c:catAx>
        <c:axId val="330950144"/>
        <c:scaling>
          <c:orientation val="maxMin"/>
        </c:scaling>
        <c:delete val="0"/>
        <c:axPos val="b"/>
        <c:numFmt formatCode="General" sourceLinked="0"/>
        <c:majorTickMark val="out"/>
        <c:minorTickMark val="none"/>
        <c:tickLblPos val="nextTo"/>
        <c:txPr>
          <a:bodyPr/>
          <a:lstStyle/>
          <a:p>
            <a:pPr>
              <a:defRPr sz="800"/>
            </a:pPr>
            <a:endParaRPr lang="el-GR"/>
          </a:p>
        </c:txPr>
        <c:crossAx val="330951680"/>
        <c:crosses val="autoZero"/>
        <c:auto val="1"/>
        <c:lblAlgn val="ctr"/>
        <c:lblOffset val="100"/>
        <c:noMultiLvlLbl val="0"/>
      </c:catAx>
      <c:valAx>
        <c:axId val="330951680"/>
        <c:scaling>
          <c:orientation val="minMax"/>
        </c:scaling>
        <c:delete val="1"/>
        <c:axPos val="r"/>
        <c:majorGridlines/>
        <c:numFmt formatCode="0%" sourceLinked="1"/>
        <c:majorTickMark val="out"/>
        <c:minorTickMark val="none"/>
        <c:tickLblPos val="nextTo"/>
        <c:crossAx val="330950144"/>
        <c:crosses val="autoZero"/>
        <c:crossBetween val="between"/>
      </c:valAx>
    </c:plotArea>
    <c:legend>
      <c:legendPos val="l"/>
      <c:layout>
        <c:manualLayout>
          <c:xMode val="edge"/>
          <c:yMode val="edge"/>
          <c:x val="2.0066317333109162E-2"/>
          <c:y val="0.17316022390405084"/>
          <c:w val="0.18757530753495671"/>
          <c:h val="0.67223385911712497"/>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D7F6115-AF84-449B-81F2-6712139C4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13149</Words>
  <Characters>71009</Characters>
  <Application>Microsoft Office Word</Application>
  <DocSecurity>0</DocSecurity>
  <Lines>591</Lines>
  <Paragraphs>167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Γιώργος Θανόπουλος</dc:creator>
  <cp:lastModifiedBy>Akis Haralabidis</cp:lastModifiedBy>
  <cp:revision>2</cp:revision>
  <cp:lastPrinted>2024-03-19T07:15:00Z</cp:lastPrinted>
  <dcterms:created xsi:type="dcterms:W3CDTF">2024-09-05T09:30:00Z</dcterms:created>
  <dcterms:modified xsi:type="dcterms:W3CDTF">2024-09-05T09:30:00Z</dcterms:modified>
</cp:coreProperties>
</file>